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73EC0" w14:textId="77777777" w:rsidR="00FA4D54" w:rsidRDefault="00000000" w:rsidP="00326DDF">
      <w:pPr>
        <w:pStyle w:val="Heading1"/>
        <w:shd w:val="clear" w:color="auto" w:fill="FFFFFF" w:themeFill="background1"/>
      </w:pPr>
      <w:r>
        <w:t xml:space="preserve">What Is </w:t>
      </w:r>
      <w:proofErr w:type="spellStart"/>
      <w:r>
        <w:t>GoldenArmorStudioCoin</w:t>
      </w:r>
      <w:proofErr w:type="spellEnd"/>
      <w:r>
        <w:t xml:space="preserve"> (GASC)?</w:t>
      </w:r>
    </w:p>
    <w:p w14:paraId="0C4F4224" w14:textId="77777777" w:rsidR="00FA4D54" w:rsidRDefault="00000000">
      <w:r>
        <w:t>GASC is the studio token of GoldenArmor Studio. It combines fixed smart-contract supply with a dynamic primary-sale price so that early funding directly fuels content development.</w:t>
      </w:r>
    </w:p>
    <w:p w14:paraId="57A91241" w14:textId="77777777" w:rsidR="00FA4D54" w:rsidRDefault="00000000">
      <w:pPr>
        <w:pStyle w:val="ListBullet"/>
      </w:pPr>
      <w:r>
        <w:t>Funds new games, prototypes, and creative projects.</w:t>
      </w:r>
    </w:p>
    <w:p w14:paraId="0C2E23C7" w14:textId="77777777" w:rsidR="00FA4D54" w:rsidRDefault="00000000">
      <w:pPr>
        <w:pStyle w:val="ListBullet"/>
      </w:pPr>
      <w:r>
        <w:t>Lives on Ethereum mainnet as an ERC-20 asset.</w:t>
      </w:r>
    </w:p>
    <w:p w14:paraId="611F4CCD" w14:textId="77777777" w:rsidR="00FA4D54" w:rsidRDefault="00000000">
      <w:pPr>
        <w:pStyle w:val="ListBullet"/>
      </w:pPr>
      <w:r>
        <w:t>Rewards early buyers with tokens that can later trade on public markets.</w:t>
      </w:r>
    </w:p>
    <w:p w14:paraId="08D24791" w14:textId="361E0C39" w:rsidR="00FA4D54" w:rsidRDefault="00000000">
      <w:r>
        <w:t xml:space="preserve">Smart contract: 0xfdfca393Ebf5D6E389d5D3A679504a3182deBED9 (view on </w:t>
      </w:r>
      <w:proofErr w:type="spellStart"/>
      <w:r>
        <w:t>Etherscan</w:t>
      </w:r>
      <w:proofErr w:type="spellEnd"/>
      <w:r>
        <w:t xml:space="preserve">: </w:t>
      </w:r>
      <w:hyperlink r:id="rId6" w:history="1">
        <w:r w:rsidRPr="00326DDF">
          <w:rPr>
            <w:rStyle w:val="Hyperlink"/>
          </w:rPr>
          <w:t>https://etherscan.io/address/0xfdfca393Ebf5D6E389d5D3A679504a3182deBED9</w:t>
        </w:r>
      </w:hyperlink>
      <w:r>
        <w:t>).</w:t>
      </w:r>
    </w:p>
    <w:p w14:paraId="06103928" w14:textId="77777777" w:rsidR="00FA4D54" w:rsidRDefault="00000000">
      <w:pPr>
        <w:pStyle w:val="Heading2"/>
      </w:pPr>
      <w:r>
        <w:t>Current Phase: Primary Sale on This Website</w:t>
      </w:r>
    </w:p>
    <w:p w14:paraId="376D5ED7" w14:textId="77777777" w:rsidR="00FA4D54" w:rsidRDefault="00000000">
      <w:r>
        <w:t>Buyers currently acquire GASC directly from GoldenArmor Studio through the official site, with proceeds routed to studio development efforts.</w:t>
      </w:r>
    </w:p>
    <w:p w14:paraId="79DC377E" w14:textId="733D0300" w:rsidR="00FA4D54" w:rsidRDefault="00000000">
      <w:pPr>
        <w:pStyle w:val="ListBullet"/>
      </w:pPr>
      <w:r>
        <w:t xml:space="preserve">Primary sale URL: </w:t>
      </w:r>
      <w:hyperlink r:id="rId7" w:history="1">
        <w:r w:rsidRPr="00326DDF">
          <w:rPr>
            <w:rStyle w:val="Hyperlink"/>
          </w:rPr>
          <w:t>https://goldenarmorstudio.art/buy-gasc</w:t>
        </w:r>
      </w:hyperlink>
    </w:p>
    <w:p w14:paraId="1049D15D" w14:textId="77777777" w:rsidR="00FA4D54" w:rsidRDefault="00000000">
      <w:pPr>
        <w:pStyle w:val="ListBullet"/>
      </w:pPr>
      <w:r>
        <w:t>Tokens are delivered straight from the studio’s contract on Ethereum.</w:t>
      </w:r>
    </w:p>
    <w:p w14:paraId="7AF1A889" w14:textId="77777777" w:rsidR="00FA4D54" w:rsidRDefault="00000000">
      <w:pPr>
        <w:pStyle w:val="ListBullet"/>
      </w:pPr>
      <w:r>
        <w:t>Revenue funds art, prototypes, and R&amp;D for future releases.</w:t>
      </w:r>
    </w:p>
    <w:p w14:paraId="23DB821D" w14:textId="77777777" w:rsidR="00FA4D54" w:rsidRDefault="00000000">
      <w:r>
        <w:t>Public marketplace trading comes next (see Roadmap to Market).</w:t>
      </w:r>
    </w:p>
    <w:p w14:paraId="371B4D34" w14:textId="77777777" w:rsidR="00FA4D54" w:rsidRDefault="00000000">
      <w:pPr>
        <w:pStyle w:val="Heading2"/>
      </w:pPr>
      <w:r>
        <w:t>How Pricing Works</w:t>
      </w:r>
    </w:p>
    <w:p w14:paraId="2D6DA659" w14:textId="77777777" w:rsidR="00FA4D54" w:rsidRDefault="00000000">
      <w:r>
        <w:t>GASC pricing combines the prevailing ETH/USD rate with an investor-based adjustment that grows as more tokens are sold during the primary sale.</w:t>
      </w:r>
    </w:p>
    <w:p w14:paraId="629371BB" w14:textId="77777777" w:rsidR="00FA4D54" w:rsidRDefault="00000000" w:rsidP="00326DDF">
      <w:pPr>
        <w:pStyle w:val="Heading2"/>
      </w:pPr>
      <w:r>
        <w:t>1. Pegged to Ethereum</w:t>
      </w:r>
    </w:p>
    <w:p w14:paraId="4D7F0520" w14:textId="77777777" w:rsidR="00FA4D54" w:rsidRDefault="00000000">
      <w:pPr>
        <w:pStyle w:val="ListBullet"/>
      </w:pPr>
      <w:r>
        <w:t>The site fetches live ETH/USD quotes several times per hour.</w:t>
      </w:r>
    </w:p>
    <w:p w14:paraId="1CF46F93" w14:textId="77777777" w:rsidR="00FA4D54" w:rsidRDefault="00000000">
      <w:pPr>
        <w:pStyle w:val="ListBullet"/>
      </w:pPr>
      <w:r>
        <w:t>That price determines how many GASC one ETH buys.</w:t>
      </w:r>
    </w:p>
    <w:p w14:paraId="686910CC" w14:textId="77777777" w:rsidR="00FA4D54" w:rsidRDefault="00000000">
      <w:pPr>
        <w:pStyle w:val="ListBullet"/>
      </w:pPr>
      <w:r>
        <w:t>Launch base rate: 1 ETH = 1,000 GASC (current rate varies with market data).</w:t>
      </w:r>
    </w:p>
    <w:p w14:paraId="21B65D5E" w14:textId="77777777" w:rsidR="00FA4D54" w:rsidRDefault="00000000" w:rsidP="00326DDF">
      <w:pPr>
        <w:pStyle w:val="Heading2"/>
      </w:pPr>
      <w:r>
        <w:t>2. Investor-Based Adjustment (Early Buyer Effect)</w:t>
      </w:r>
    </w:p>
    <w:p w14:paraId="6C28B144" w14:textId="77777777" w:rsidR="00FA4D54" w:rsidRDefault="00000000">
      <w:r>
        <w:t>A “Price Increase Per Token” is layered on top of the ETH peg so that participation raises the entry price for the next wave of buyers.</w:t>
      </w:r>
    </w:p>
    <w:p w14:paraId="702580E6" w14:textId="77777777" w:rsidR="00FA4D54" w:rsidRDefault="00000000">
      <w:pPr>
        <w:pStyle w:val="ListBullet"/>
      </w:pPr>
      <w:r>
        <w:t xml:space="preserve">More GASC sold </w:t>
      </w:r>
      <w:r>
        <w:rPr>
          <w:rFonts w:ascii="Arial" w:hAnsi="Arial" w:cs="Arial"/>
        </w:rPr>
        <w:t>→</w:t>
      </w:r>
      <w:r>
        <w:t xml:space="preserve"> higher entry price for new buyers.</w:t>
      </w:r>
    </w:p>
    <w:p w14:paraId="69CEF9DA" w14:textId="77777777" w:rsidR="00FA4D54" w:rsidRDefault="00000000">
      <w:pPr>
        <w:pStyle w:val="ListBullet"/>
      </w:pPr>
      <w:r>
        <w:t>Early backers are rewarded for shouldering earlier-stage risk.</w:t>
      </w:r>
    </w:p>
    <w:p w14:paraId="44541B9A" w14:textId="77777777" w:rsidR="00FA4D54" w:rsidRDefault="00000000">
      <w:pPr>
        <w:pStyle w:val="ListBullet"/>
      </w:pPr>
      <w:r>
        <w:t>Applies only to on-site purchases; secondary markets set their own price later.</w:t>
      </w:r>
    </w:p>
    <w:p w14:paraId="69B3C300" w14:textId="77777777" w:rsidR="00FA4D54" w:rsidRDefault="00000000">
      <w:r>
        <w:t>Intuitively, when few tokens are sold the price stays near the base rate; as totals climb, the price steps up to reflect demand.</w:t>
      </w:r>
    </w:p>
    <w:p w14:paraId="5ACAEF6A" w14:textId="77777777" w:rsidR="00326DDF" w:rsidRDefault="00326DDF"/>
    <w:p w14:paraId="304CD1F5" w14:textId="77777777" w:rsidR="00FA4D54" w:rsidRDefault="00000000">
      <w:pPr>
        <w:pStyle w:val="Heading2"/>
      </w:pPr>
      <w:r>
        <w:lastRenderedPageBreak/>
        <w:t>Roadmap to Market (Uniswap Launch)</w:t>
      </w:r>
    </w:p>
    <w:p w14:paraId="0E1F809E" w14:textId="77777777" w:rsidR="00FA4D54" w:rsidRDefault="00000000">
      <w:r>
        <w:t>Primary sales lay the foundation. Once distribution and readiness targets are met, liquidity opens on public markets in stages:</w:t>
      </w:r>
    </w:p>
    <w:p w14:paraId="6995F45A" w14:textId="6A1C7484" w:rsidR="00FA4D54" w:rsidRDefault="00000000">
      <w:pPr>
        <w:pStyle w:val="ListBullet"/>
      </w:pPr>
      <w:r>
        <w:t xml:space="preserve">Uniswap trading pool: GASC/ETH pair on </w:t>
      </w:r>
      <w:hyperlink r:id="rId8" w:history="1">
        <w:r w:rsidRPr="00326DDF">
          <w:rPr>
            <w:rStyle w:val="Hyperlink"/>
          </w:rPr>
          <w:t>https://app.uniswap.org/</w:t>
        </w:r>
      </w:hyperlink>
      <w:r>
        <w:t xml:space="preserve"> with liquidity seeded from the studio treasury.</w:t>
      </w:r>
    </w:p>
    <w:p w14:paraId="38CC216C" w14:textId="77777777" w:rsidR="00FA4D54" w:rsidRDefault="00000000">
      <w:pPr>
        <w:pStyle w:val="ListBullet"/>
      </w:pPr>
      <w:r>
        <w:t>Open market trading: anyone can buy, sell, or provide liquidity; prices float with supply and demand.</w:t>
      </w:r>
    </w:p>
    <w:p w14:paraId="0A2B0853" w14:textId="77777777" w:rsidR="00FA4D54" w:rsidRDefault="00000000">
      <w:pPr>
        <w:pStyle w:val="ListBullet"/>
      </w:pPr>
      <w:r>
        <w:t>Additional listings: future DEX pairs (e.g., GASC/USDC) and CEX submissions (CoinGecko, CoinMarketCap, etc.).</w:t>
      </w:r>
    </w:p>
    <w:p w14:paraId="2FEB14B2" w14:textId="77777777" w:rsidR="00FA4D54" w:rsidRDefault="00000000">
      <w:r>
        <w:t>Progress updates will appear on official channels and GitHub repositories.</w:t>
      </w:r>
    </w:p>
    <w:p w14:paraId="6885C182" w14:textId="77777777" w:rsidR="00FA4D54" w:rsidRDefault="00000000">
      <w:pPr>
        <w:pStyle w:val="Heading2"/>
      </w:pPr>
      <w:r>
        <w:t>Treasury &amp; Studio Commitment</w:t>
      </w:r>
    </w:p>
    <w:p w14:paraId="6E5D980D" w14:textId="77777777" w:rsidR="00FA4D54" w:rsidRDefault="00000000">
      <w:r>
        <w:t>GoldenArmor Studio operates a public treasury wallet (0xfe1C048CC0A079b56C940F107cAe7938EB744ae0) to align incentives between the studio and token holders.</w:t>
      </w:r>
    </w:p>
    <w:p w14:paraId="179F2648" w14:textId="77777777" w:rsidR="00FA4D54" w:rsidRDefault="00000000">
      <w:pPr>
        <w:pStyle w:val="ListBullet"/>
      </w:pPr>
      <w:r>
        <w:t>Portions of monthly profits are reserved to buy GASC on open markets once trading begins.</w:t>
      </w:r>
    </w:p>
    <w:p w14:paraId="4F8C5FDD" w14:textId="77777777" w:rsidR="00FA4D54" w:rsidRDefault="00000000">
      <w:pPr>
        <w:pStyle w:val="ListBullet"/>
      </w:pPr>
      <w:r>
        <w:t>Treasury-held tokens represent a long-term stake in the ecosystem.</w:t>
      </w:r>
    </w:p>
    <w:p w14:paraId="5746749B" w14:textId="77777777" w:rsidR="00FA4D54" w:rsidRDefault="00000000">
      <w:pPr>
        <w:pStyle w:val="ListBullet"/>
      </w:pPr>
      <w:r>
        <w:t>No guaranteed buyback price, OTC purchases from holders, or circular treasury buybacks.</w:t>
      </w:r>
    </w:p>
    <w:p w14:paraId="44F4378C" w14:textId="77777777" w:rsidR="00FA4D54" w:rsidRDefault="00000000">
      <w:r>
        <w:t>All movements are transparent on-chain and auditable by anyone.</w:t>
      </w:r>
    </w:p>
    <w:p w14:paraId="6803DC82" w14:textId="77777777" w:rsidR="00FA4D54" w:rsidRDefault="00000000">
      <w:pPr>
        <w:pStyle w:val="Heading2"/>
      </w:pPr>
      <w:r>
        <w:t>Transparency &amp; Open Source</w:t>
      </w:r>
    </w:p>
    <w:p w14:paraId="772F6195" w14:textId="77777777" w:rsidR="00FA4D54" w:rsidRDefault="00000000">
      <w:r>
        <w:t>GoldenArmor Studio maintains open repositories so investors can inspect code, deployments, and documentation:</w:t>
      </w:r>
    </w:p>
    <w:p w14:paraId="6FBF82B8" w14:textId="5967FEC2" w:rsidR="00FA4D54" w:rsidRDefault="00000000">
      <w:pPr>
        <w:pStyle w:val="ListBullet"/>
      </w:pPr>
      <w:r>
        <w:t xml:space="preserve">GitHub Organization: </w:t>
      </w:r>
      <w:hyperlink r:id="rId9" w:history="1">
        <w:r w:rsidRPr="00326DDF">
          <w:rPr>
            <w:rStyle w:val="Hyperlink"/>
          </w:rPr>
          <w:t>https://github.com/Golden-Armor-Studios</w:t>
        </w:r>
      </w:hyperlink>
    </w:p>
    <w:p w14:paraId="2106B4C6" w14:textId="2240F6A4" w:rsidR="00FA4D54" w:rsidRDefault="00000000">
      <w:pPr>
        <w:pStyle w:val="ListBullet"/>
      </w:pPr>
      <w:r>
        <w:t xml:space="preserve">GASC repo (contracts, scripts, docs): </w:t>
      </w:r>
      <w:hyperlink r:id="rId10" w:history="1">
        <w:r w:rsidRPr="00326DDF">
          <w:rPr>
            <w:rStyle w:val="Hyperlink"/>
          </w:rPr>
          <w:t>https://github.com/Golden-Armor-Studios/GoldenArmorStudioCoin</w:t>
        </w:r>
      </w:hyperlink>
    </w:p>
    <w:p w14:paraId="1951C103" w14:textId="77777777" w:rsidR="00FA4D54" w:rsidRDefault="00000000">
      <w:r>
        <w:t>Resources include smart-contract source, deployment logs, runbooks, and token metadata.</w:t>
      </w:r>
    </w:p>
    <w:p w14:paraId="70664297" w14:textId="77777777" w:rsidR="00FA4D54" w:rsidRDefault="00000000">
      <w:pPr>
        <w:pStyle w:val="Heading2"/>
      </w:pPr>
      <w:r>
        <w:t>What You’re Supporting When You Buy</w:t>
      </w:r>
    </w:p>
    <w:p w14:paraId="1E158508" w14:textId="77777777" w:rsidR="00FA4D54" w:rsidRDefault="00000000">
      <w:r>
        <w:t>Each primary-sale purchase fuels studio production while granting buyers a scarce token designed for future market trading.</w:t>
      </w:r>
    </w:p>
    <w:p w14:paraId="3A9D4638" w14:textId="77777777" w:rsidR="00FA4D54" w:rsidRDefault="00000000">
      <w:pPr>
        <w:pStyle w:val="ListBullet"/>
      </w:pPr>
      <w:r>
        <w:t>Funds new game concepts, prototypes, and longer-term IP.</w:t>
      </w:r>
    </w:p>
    <w:p w14:paraId="3E9BA2AB" w14:textId="77777777" w:rsidR="00FA4D54" w:rsidRDefault="00000000">
      <w:pPr>
        <w:pStyle w:val="ListBullet"/>
      </w:pPr>
      <w:r>
        <w:t>Delivers tokens governed by a transparent pricing model.</w:t>
      </w:r>
    </w:p>
    <w:p w14:paraId="73BC492B" w14:textId="77777777" w:rsidR="00FA4D54" w:rsidRDefault="00000000">
      <w:pPr>
        <w:pStyle w:val="ListBullet"/>
      </w:pPr>
      <w:r>
        <w:t>Targets future Uniswap listings for broader liquidity.</w:t>
      </w:r>
    </w:p>
    <w:p w14:paraId="194FE8AA" w14:textId="77777777" w:rsidR="00FA4D54" w:rsidRDefault="00000000">
      <w:r>
        <w:t>No outcome is guaranteed, but purchases directly back the creative output of GoldenArmor Studio.</w:t>
      </w:r>
    </w:p>
    <w:p w14:paraId="299D86EB" w14:textId="77777777" w:rsidR="00FA4D54" w:rsidRDefault="00000000">
      <w:pPr>
        <w:pStyle w:val="Heading2"/>
      </w:pPr>
      <w:r>
        <w:lastRenderedPageBreak/>
        <w:t>Risks &amp; Important Disclaimers</w:t>
      </w:r>
    </w:p>
    <w:p w14:paraId="1B4DB1F3" w14:textId="77777777" w:rsidR="00FA4D54" w:rsidRDefault="00000000">
      <w:r>
        <w:t>Prospective buyers should weigh the following before participating:</w:t>
      </w:r>
    </w:p>
    <w:p w14:paraId="0EB0832F" w14:textId="77777777" w:rsidR="00FA4D54" w:rsidRDefault="00000000">
      <w:pPr>
        <w:pStyle w:val="ListBullet"/>
      </w:pPr>
      <w:r>
        <w:t>Price risk: GASC is speculative and can lose all value.</w:t>
      </w:r>
    </w:p>
    <w:p w14:paraId="24A555A0" w14:textId="77777777" w:rsidR="00FA4D54" w:rsidRDefault="00000000">
      <w:pPr>
        <w:pStyle w:val="ListBullet"/>
      </w:pPr>
      <w:r>
        <w:t>No guaranteed returns or price floors; any treasury purchases depend on actual studio performance.</w:t>
      </w:r>
    </w:p>
    <w:p w14:paraId="75D2B3C3" w14:textId="77777777" w:rsidR="00FA4D54" w:rsidRDefault="00000000">
      <w:pPr>
        <w:pStyle w:val="ListBullet"/>
      </w:pPr>
      <w:r>
        <w:t>Smart-contract and technical risk: on-chain systems can be exploited despite best efforts.</w:t>
      </w:r>
    </w:p>
    <w:p w14:paraId="2F473B79" w14:textId="77777777" w:rsidR="00FA4D54" w:rsidRDefault="00000000">
      <w:pPr>
        <w:pStyle w:val="ListBullet"/>
      </w:pPr>
      <w:r>
        <w:t>Regulatory and tax obligations vary by jurisdiction; buyers must conduct their own diligence.</w:t>
      </w:r>
    </w:p>
    <w:p w14:paraId="5AC15FB5" w14:textId="77777777" w:rsidR="00FA4D54" w:rsidRDefault="00000000">
      <w:pPr>
        <w:pStyle w:val="ListBullet"/>
      </w:pPr>
      <w:r>
        <w:t>Never invest more than you can afford to lose.</w:t>
      </w:r>
    </w:p>
    <w:p w14:paraId="478178EC" w14:textId="77777777" w:rsidR="00FA4D54" w:rsidRDefault="00000000">
      <w:r>
        <w:t>Consult a financial or legal advisor if uncertain.</w:t>
      </w:r>
    </w:p>
    <w:p w14:paraId="4D08CB3A" w14:textId="77777777" w:rsidR="00FA4D54" w:rsidRDefault="00000000">
      <w:pPr>
        <w:pStyle w:val="Heading2"/>
      </w:pPr>
      <w:r>
        <w:t>Quick Facts (Summary)</w:t>
      </w:r>
    </w:p>
    <w:p w14:paraId="65695393" w14:textId="77777777" w:rsidR="00FA4D54" w:rsidRDefault="00000000">
      <w:pPr>
        <w:pStyle w:val="ListBullet"/>
      </w:pPr>
      <w:r>
        <w:t>Token: GoldenArmorStudioCoin (GASC)</w:t>
      </w:r>
    </w:p>
    <w:p w14:paraId="14B810A3" w14:textId="77777777" w:rsidR="00FA4D54" w:rsidRDefault="00000000">
      <w:pPr>
        <w:pStyle w:val="ListBullet"/>
      </w:pPr>
      <w:r>
        <w:t>Network: Ethereum mainnet</w:t>
      </w:r>
    </w:p>
    <w:p w14:paraId="7462F5B5" w14:textId="77777777" w:rsidR="00FA4D54" w:rsidRDefault="00000000">
      <w:pPr>
        <w:pStyle w:val="ListBullet"/>
      </w:pPr>
      <w:r>
        <w:t>Contract: 0xfdfca393Ebf5D6E389d5D3A679504a3182deBED9</w:t>
      </w:r>
    </w:p>
    <w:p w14:paraId="13791F50" w14:textId="77777777" w:rsidR="00FA4D54" w:rsidRDefault="00000000">
      <w:pPr>
        <w:pStyle w:val="ListBullet"/>
      </w:pPr>
      <w:r>
        <w:t>Decimals: 18</w:t>
      </w:r>
    </w:p>
    <w:p w14:paraId="28B2EB99" w14:textId="77777777" w:rsidR="00FA4D54" w:rsidRDefault="00000000">
      <w:pPr>
        <w:pStyle w:val="ListBullet"/>
      </w:pPr>
      <w:r>
        <w:t>Initial website rate: 1 ETH = 1,000 GASC (dynamically adjusted)</w:t>
      </w:r>
    </w:p>
    <w:p w14:paraId="73051483" w14:textId="5B6734A3" w:rsidR="00FA4D54" w:rsidRDefault="00000000">
      <w:pPr>
        <w:pStyle w:val="ListBullet"/>
      </w:pPr>
      <w:r>
        <w:t xml:space="preserve">Primary sale: </w:t>
      </w:r>
      <w:hyperlink r:id="rId11" w:history="1">
        <w:r w:rsidRPr="00326DDF">
          <w:rPr>
            <w:rStyle w:val="Hyperlink"/>
          </w:rPr>
          <w:t>https://goldenarmorstudio.art/buy-gasc</w:t>
        </w:r>
      </w:hyperlink>
    </w:p>
    <w:p w14:paraId="24F0CDD1" w14:textId="340D40EB" w:rsidR="00FA4D54" w:rsidRDefault="00000000">
      <w:pPr>
        <w:pStyle w:val="ListBullet"/>
      </w:pPr>
      <w:r>
        <w:t xml:space="preserve">Planned market launch: Uniswap pool at </w:t>
      </w:r>
      <w:hyperlink r:id="rId12" w:history="1">
        <w:r w:rsidRPr="00326DDF">
          <w:rPr>
            <w:rStyle w:val="Hyperlink"/>
          </w:rPr>
          <w:t>https://app.uniswap.org/</w:t>
        </w:r>
      </w:hyperlink>
    </w:p>
    <w:p w14:paraId="451497E1" w14:textId="77777777" w:rsidR="00FA4D54" w:rsidRDefault="00000000">
      <w:pPr>
        <w:pStyle w:val="ListBullet"/>
      </w:pPr>
      <w:r>
        <w:t>Treasury wallet: 0xfe1C048CC0A079b56C940F107cAe7938EB744ae0</w:t>
      </w:r>
    </w:p>
    <w:p w14:paraId="42135B1F" w14:textId="6DB88BBD" w:rsidR="00FA4D54" w:rsidRDefault="00000000">
      <w:pPr>
        <w:pStyle w:val="ListBullet"/>
      </w:pPr>
      <w:r>
        <w:t xml:space="preserve">Code &amp; docs: </w:t>
      </w:r>
      <w:hyperlink r:id="rId13" w:history="1">
        <w:r w:rsidRPr="00326DDF">
          <w:rPr>
            <w:rStyle w:val="Hyperlink"/>
          </w:rPr>
          <w:t>https://github.com/Golden-Armor-Studios/GoldenArmorStudioCoin</w:t>
        </w:r>
      </w:hyperlink>
    </w:p>
    <w:sectPr w:rsidR="00FA4D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7558834">
    <w:abstractNumId w:val="8"/>
  </w:num>
  <w:num w:numId="2" w16cid:durableId="1327443408">
    <w:abstractNumId w:val="6"/>
  </w:num>
  <w:num w:numId="3" w16cid:durableId="1429934094">
    <w:abstractNumId w:val="5"/>
  </w:num>
  <w:num w:numId="4" w16cid:durableId="1860197040">
    <w:abstractNumId w:val="4"/>
  </w:num>
  <w:num w:numId="5" w16cid:durableId="277418065">
    <w:abstractNumId w:val="7"/>
  </w:num>
  <w:num w:numId="6" w16cid:durableId="1635865000">
    <w:abstractNumId w:val="3"/>
  </w:num>
  <w:num w:numId="7" w16cid:durableId="686178044">
    <w:abstractNumId w:val="2"/>
  </w:num>
  <w:num w:numId="8" w16cid:durableId="1084377498">
    <w:abstractNumId w:val="1"/>
  </w:num>
  <w:num w:numId="9" w16cid:durableId="1624269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69E"/>
    <w:rsid w:val="0029639D"/>
    <w:rsid w:val="00326DDF"/>
    <w:rsid w:val="00326F90"/>
    <w:rsid w:val="00AA1D8D"/>
    <w:rsid w:val="00B47730"/>
    <w:rsid w:val="00CB0664"/>
    <w:rsid w:val="00FA4D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FB7A8E"/>
  <w14:defaultImageDpi w14:val="300"/>
  <w15:docId w15:val="{1418ECD6-866F-E949-ABC9-26801F443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DDF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DDF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549E39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6DDF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549E39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6DD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55F51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DD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DD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DD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549E39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DD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DD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DD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326DD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26DDF"/>
    <w:rPr>
      <w:rFonts w:asciiTheme="majorHAnsi" w:eastAsiaTheme="majorEastAsia" w:hAnsiTheme="majorHAnsi" w:cstheme="majorBidi"/>
      <w:bCs/>
      <w:color w:val="549E39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26DDF"/>
    <w:rPr>
      <w:rFonts w:eastAsiaTheme="majorEastAsia" w:cstheme="majorBidi"/>
      <w:b/>
      <w:bCs/>
      <w:color w:val="549E39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26DDF"/>
    <w:rPr>
      <w:rFonts w:asciiTheme="majorHAnsi" w:eastAsiaTheme="majorEastAsia" w:hAnsiTheme="majorHAnsi" w:cstheme="majorBidi"/>
      <w:bCs/>
      <w:color w:val="455F51" w:themeColor="text2"/>
      <w:spacing w:val="14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26DDF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26DDF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DDF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26DDF"/>
    <w:rPr>
      <w:rFonts w:eastAsiaTheme="majorEastAsia" w:cstheme="majorBidi"/>
      <w:iCs/>
      <w:color w:val="455F51" w:themeColor="text2"/>
      <w:sz w:val="40"/>
      <w:szCs w:val="24"/>
    </w:rPr>
  </w:style>
  <w:style w:type="paragraph" w:styleId="ListParagraph">
    <w:name w:val="List Paragraph"/>
    <w:basedOn w:val="Normal"/>
    <w:uiPriority w:val="34"/>
    <w:qFormat/>
    <w:rsid w:val="00326DDF"/>
    <w:pPr>
      <w:spacing w:line="240" w:lineRule="auto"/>
      <w:ind w:left="720" w:hanging="288"/>
      <w:contextualSpacing/>
    </w:pPr>
    <w:rPr>
      <w:color w:val="455F51" w:themeColor="text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26DDF"/>
    <w:pPr>
      <w:spacing w:after="0" w:line="360" w:lineRule="auto"/>
      <w:jc w:val="center"/>
    </w:pPr>
    <w:rPr>
      <w:rFonts w:eastAsiaTheme="minorEastAsia"/>
      <w:b/>
      <w:i/>
      <w:iCs/>
      <w:color w:val="549E39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326DDF"/>
    <w:rPr>
      <w:rFonts w:eastAsiaTheme="minorEastAsia"/>
      <w:b/>
      <w:i/>
      <w:iCs/>
      <w:color w:val="549E39" w:themeColor="accent1"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DDF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DD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DDF"/>
    <w:rPr>
      <w:rFonts w:asciiTheme="majorHAnsi" w:eastAsiaTheme="majorEastAsia" w:hAnsiTheme="majorHAnsi" w:cstheme="majorBidi"/>
      <w:iCs/>
      <w:color w:val="549E39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DD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DD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DD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26DDF"/>
    <w:pPr>
      <w:spacing w:line="240" w:lineRule="auto"/>
    </w:pPr>
    <w:rPr>
      <w:rFonts w:asciiTheme="majorHAnsi" w:eastAsiaTheme="minorEastAsia" w:hAnsiTheme="majorHAnsi"/>
      <w:bCs/>
      <w:smallCaps/>
      <w:color w:val="455F51" w:themeColor="text2"/>
      <w:spacing w:val="6"/>
      <w:sz w:val="22"/>
      <w:szCs w:val="18"/>
    </w:rPr>
  </w:style>
  <w:style w:type="character" w:styleId="Strong">
    <w:name w:val="Strong"/>
    <w:basedOn w:val="DefaultParagraphFont"/>
    <w:uiPriority w:val="22"/>
    <w:qFormat/>
    <w:rsid w:val="00326DDF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326DDF"/>
    <w:rPr>
      <w:b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DDF"/>
    <w:pPr>
      <w:pBdr>
        <w:top w:val="single" w:sz="36" w:space="8" w:color="549E39" w:themeColor="accent1"/>
        <w:left w:val="single" w:sz="36" w:space="8" w:color="549E39" w:themeColor="accent1"/>
        <w:bottom w:val="single" w:sz="36" w:space="8" w:color="549E39" w:themeColor="accent1"/>
        <w:right w:val="single" w:sz="36" w:space="8" w:color="549E39" w:themeColor="accent1"/>
      </w:pBdr>
      <w:shd w:val="clear" w:color="auto" w:fill="549E39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DDF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549E39" w:themeFill="accent1"/>
    </w:rPr>
  </w:style>
  <w:style w:type="character" w:styleId="SubtleEmphasis">
    <w:name w:val="Subtle Emphasis"/>
    <w:basedOn w:val="DefaultParagraphFont"/>
    <w:uiPriority w:val="19"/>
    <w:qFormat/>
    <w:rsid w:val="00326DD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326DDF"/>
    <w:rPr>
      <w:b/>
      <w:bCs/>
      <w:i/>
      <w:iCs/>
      <w:color w:val="549E39" w:themeColor="accent1"/>
    </w:rPr>
  </w:style>
  <w:style w:type="character" w:styleId="SubtleReference">
    <w:name w:val="Subtle Reference"/>
    <w:basedOn w:val="DefaultParagraphFont"/>
    <w:uiPriority w:val="31"/>
    <w:qFormat/>
    <w:rsid w:val="00326DD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326DDF"/>
    <w:rPr>
      <w:b w:val="0"/>
      <w:bCs/>
      <w:smallCaps/>
      <w:color w:val="549E39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26DDF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26DDF"/>
    <w:pPr>
      <w:spacing w:before="480" w:line="264" w:lineRule="auto"/>
      <w:outlineLvl w:val="9"/>
    </w:pPr>
    <w:rPr>
      <w:b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E762A" w:themeColor="accent1" w:themeShade="BF"/>
    </w:rPr>
    <w:tblPr>
      <w:tblStyleRowBandSize w:val="1"/>
      <w:tblStyleColBandSize w:val="1"/>
      <w:tblBorders>
        <w:top w:val="single" w:sz="8" w:space="0" w:color="549E39" w:themeColor="accent1"/>
        <w:bottom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E39" w:themeColor="accent1"/>
          <w:left w:val="nil"/>
          <w:bottom w:val="single" w:sz="8" w:space="0" w:color="549E3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E39" w:themeColor="accent1"/>
          <w:left w:val="nil"/>
          <w:bottom w:val="single" w:sz="8" w:space="0" w:color="549E3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668926" w:themeColor="accent2" w:themeShade="BF"/>
    </w:rPr>
    <w:tblPr>
      <w:tblStyleRowBandSize w:val="1"/>
      <w:tblStyleColBandSize w:val="1"/>
      <w:tblBorders>
        <w:top w:val="single" w:sz="8" w:space="0" w:color="8AB833" w:themeColor="accent2"/>
        <w:bottom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B833" w:themeColor="accent2"/>
          <w:left w:val="nil"/>
          <w:bottom w:val="single" w:sz="8" w:space="0" w:color="8AB83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B833" w:themeColor="accent2"/>
          <w:left w:val="nil"/>
          <w:bottom w:val="single" w:sz="8" w:space="0" w:color="8AB83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939F27" w:themeColor="accent3" w:themeShade="BF"/>
    </w:rPr>
    <w:tblPr>
      <w:tblStyleRowBandSize w:val="1"/>
      <w:tblStyleColBandSize w:val="1"/>
      <w:tblBorders>
        <w:top w:val="single" w:sz="8" w:space="0" w:color="C0CF3A" w:themeColor="accent3"/>
        <w:bottom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F3A" w:themeColor="accent3"/>
          <w:left w:val="nil"/>
          <w:bottom w:val="single" w:sz="8" w:space="0" w:color="C0CF3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F3A" w:themeColor="accent3"/>
          <w:left w:val="nil"/>
          <w:bottom w:val="single" w:sz="8" w:space="0" w:color="C0CF3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17057" w:themeColor="accent4" w:themeShade="BF"/>
    </w:rPr>
    <w:tblPr>
      <w:tblStyleRowBandSize w:val="1"/>
      <w:tblStyleColBandSize w:val="1"/>
      <w:tblBorders>
        <w:top w:val="single" w:sz="8" w:space="0" w:color="029676" w:themeColor="accent4"/>
        <w:bottom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9676" w:themeColor="accent4"/>
          <w:left w:val="nil"/>
          <w:bottom w:val="single" w:sz="8" w:space="0" w:color="02967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9676" w:themeColor="accent4"/>
          <w:left w:val="nil"/>
          <w:bottom w:val="single" w:sz="8" w:space="0" w:color="02967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B98" w:themeColor="accent5" w:themeShade="BF"/>
    </w:rPr>
    <w:tblPr>
      <w:tblStyleRowBandSize w:val="1"/>
      <w:tblStyleColBandSize w:val="1"/>
      <w:tblBorders>
        <w:top w:val="single" w:sz="8" w:space="0" w:color="4AB5C4" w:themeColor="accent5"/>
        <w:bottom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B5C4" w:themeColor="accent5"/>
          <w:left w:val="nil"/>
          <w:bottom w:val="single" w:sz="8" w:space="0" w:color="4AB5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B5C4" w:themeColor="accent5"/>
          <w:left w:val="nil"/>
          <w:bottom w:val="single" w:sz="8" w:space="0" w:color="4AB5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66684" w:themeColor="accent6" w:themeShade="BF"/>
    </w:rPr>
    <w:tblPr>
      <w:tblStyleRowBandSize w:val="1"/>
      <w:tblStyleColBandSize w:val="1"/>
      <w:tblBorders>
        <w:top w:val="single" w:sz="8" w:space="0" w:color="0989B1" w:themeColor="accent6"/>
        <w:bottom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989B1" w:themeColor="accent6"/>
          <w:left w:val="nil"/>
          <w:bottom w:val="single" w:sz="8" w:space="0" w:color="0989B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989B1" w:themeColor="accent6"/>
          <w:left w:val="nil"/>
          <w:bottom w:val="single" w:sz="8" w:space="0" w:color="0989B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band1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band1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band1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band1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band1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  <w:insideH w:val="single" w:sz="8" w:space="0" w:color="549E39" w:themeColor="accent1"/>
        <w:insideV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18" w:space="0" w:color="549E39" w:themeColor="accent1"/>
          <w:right w:val="single" w:sz="8" w:space="0" w:color="549E39" w:themeColor="accent1"/>
          <w:insideH w:val="nil"/>
          <w:insideV w:val="single" w:sz="8" w:space="0" w:color="549E3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H w:val="nil"/>
          <w:insideV w:val="single" w:sz="8" w:space="0" w:color="549E3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  <w:shd w:val="clear" w:color="auto" w:fill="D2EBC9" w:themeFill="accent1" w:themeFillTint="3F"/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V w:val="single" w:sz="8" w:space="0" w:color="549E39" w:themeColor="accent1"/>
        </w:tcBorders>
        <w:shd w:val="clear" w:color="auto" w:fill="D2EBC9" w:themeFill="accent1" w:themeFillTint="3F"/>
      </w:tcPr>
    </w:tblStylePr>
    <w:tblStylePr w:type="band2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V w:val="single" w:sz="8" w:space="0" w:color="549E39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  <w:insideH w:val="single" w:sz="8" w:space="0" w:color="8AB833" w:themeColor="accent2"/>
        <w:insideV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18" w:space="0" w:color="8AB833" w:themeColor="accent2"/>
          <w:right w:val="single" w:sz="8" w:space="0" w:color="8AB833" w:themeColor="accent2"/>
          <w:insideH w:val="nil"/>
          <w:insideV w:val="single" w:sz="8" w:space="0" w:color="8AB83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H w:val="nil"/>
          <w:insideV w:val="single" w:sz="8" w:space="0" w:color="8AB83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band1Vert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  <w:shd w:val="clear" w:color="auto" w:fill="E2F0C9" w:themeFill="accent2" w:themeFillTint="3F"/>
      </w:tcPr>
    </w:tblStylePr>
    <w:tblStylePr w:type="band1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V w:val="single" w:sz="8" w:space="0" w:color="8AB833" w:themeColor="accent2"/>
        </w:tcBorders>
        <w:shd w:val="clear" w:color="auto" w:fill="E2F0C9" w:themeFill="accent2" w:themeFillTint="3F"/>
      </w:tcPr>
    </w:tblStylePr>
    <w:tblStylePr w:type="band2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V w:val="single" w:sz="8" w:space="0" w:color="8AB833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  <w:insideH w:val="single" w:sz="8" w:space="0" w:color="C0CF3A" w:themeColor="accent3"/>
        <w:insideV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18" w:space="0" w:color="C0CF3A" w:themeColor="accent3"/>
          <w:right w:val="single" w:sz="8" w:space="0" w:color="C0CF3A" w:themeColor="accent3"/>
          <w:insideH w:val="nil"/>
          <w:insideV w:val="single" w:sz="8" w:space="0" w:color="C0CF3A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H w:val="nil"/>
          <w:insideV w:val="single" w:sz="8" w:space="0" w:color="C0CF3A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band1Vert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  <w:shd w:val="clear" w:color="auto" w:fill="EFF3CE" w:themeFill="accent3" w:themeFillTint="3F"/>
      </w:tcPr>
    </w:tblStylePr>
    <w:tblStylePr w:type="band1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V w:val="single" w:sz="8" w:space="0" w:color="C0CF3A" w:themeColor="accent3"/>
        </w:tcBorders>
        <w:shd w:val="clear" w:color="auto" w:fill="EFF3CE" w:themeFill="accent3" w:themeFillTint="3F"/>
      </w:tcPr>
    </w:tblStylePr>
    <w:tblStylePr w:type="band2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V w:val="single" w:sz="8" w:space="0" w:color="C0CF3A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  <w:insideH w:val="single" w:sz="8" w:space="0" w:color="029676" w:themeColor="accent4"/>
        <w:insideV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18" w:space="0" w:color="029676" w:themeColor="accent4"/>
          <w:right w:val="single" w:sz="8" w:space="0" w:color="029676" w:themeColor="accent4"/>
          <w:insideH w:val="nil"/>
          <w:insideV w:val="single" w:sz="8" w:space="0" w:color="02967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H w:val="nil"/>
          <w:insideV w:val="single" w:sz="8" w:space="0" w:color="02967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band1Vert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  <w:shd w:val="clear" w:color="auto" w:fill="A7FDEA" w:themeFill="accent4" w:themeFillTint="3F"/>
      </w:tcPr>
    </w:tblStylePr>
    <w:tblStylePr w:type="band1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V w:val="single" w:sz="8" w:space="0" w:color="029676" w:themeColor="accent4"/>
        </w:tcBorders>
        <w:shd w:val="clear" w:color="auto" w:fill="A7FDEA" w:themeFill="accent4" w:themeFillTint="3F"/>
      </w:tcPr>
    </w:tblStylePr>
    <w:tblStylePr w:type="band2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V w:val="single" w:sz="8" w:space="0" w:color="029676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  <w:insideH w:val="single" w:sz="8" w:space="0" w:color="4AB5C4" w:themeColor="accent5"/>
        <w:insideV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18" w:space="0" w:color="4AB5C4" w:themeColor="accent5"/>
          <w:right w:val="single" w:sz="8" w:space="0" w:color="4AB5C4" w:themeColor="accent5"/>
          <w:insideH w:val="nil"/>
          <w:insideV w:val="single" w:sz="8" w:space="0" w:color="4AB5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H w:val="nil"/>
          <w:insideV w:val="single" w:sz="8" w:space="0" w:color="4AB5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band1Vert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  <w:shd w:val="clear" w:color="auto" w:fill="D2ECF0" w:themeFill="accent5" w:themeFillTint="3F"/>
      </w:tcPr>
    </w:tblStylePr>
    <w:tblStylePr w:type="band1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V w:val="single" w:sz="8" w:space="0" w:color="4AB5C4" w:themeColor="accent5"/>
        </w:tcBorders>
        <w:shd w:val="clear" w:color="auto" w:fill="D2ECF0" w:themeFill="accent5" w:themeFillTint="3F"/>
      </w:tcPr>
    </w:tblStylePr>
    <w:tblStylePr w:type="band2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V w:val="single" w:sz="8" w:space="0" w:color="4AB5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  <w:insideH w:val="single" w:sz="8" w:space="0" w:color="0989B1" w:themeColor="accent6"/>
        <w:insideV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18" w:space="0" w:color="0989B1" w:themeColor="accent6"/>
          <w:right w:val="single" w:sz="8" w:space="0" w:color="0989B1" w:themeColor="accent6"/>
          <w:insideH w:val="nil"/>
          <w:insideV w:val="single" w:sz="8" w:space="0" w:color="0989B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H w:val="nil"/>
          <w:insideV w:val="single" w:sz="8" w:space="0" w:color="0989B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band1Vert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  <w:shd w:val="clear" w:color="auto" w:fill="B2E9FB" w:themeFill="accent6" w:themeFillTint="3F"/>
      </w:tcPr>
    </w:tblStylePr>
    <w:tblStylePr w:type="band1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V w:val="single" w:sz="8" w:space="0" w:color="0989B1" w:themeColor="accent6"/>
        </w:tcBorders>
        <w:shd w:val="clear" w:color="auto" w:fill="B2E9FB" w:themeFill="accent6" w:themeFillTint="3F"/>
      </w:tcPr>
    </w:tblStylePr>
    <w:tblStylePr w:type="band2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V w:val="single" w:sz="8" w:space="0" w:color="0989B1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45C" w:themeColor="accent1" w:themeTint="BF"/>
        <w:left w:val="single" w:sz="8" w:space="0" w:color="78C45C" w:themeColor="accent1" w:themeTint="BF"/>
        <w:bottom w:val="single" w:sz="8" w:space="0" w:color="78C45C" w:themeColor="accent1" w:themeTint="BF"/>
        <w:right w:val="single" w:sz="8" w:space="0" w:color="78C45C" w:themeColor="accent1" w:themeTint="BF"/>
        <w:insideH w:val="single" w:sz="8" w:space="0" w:color="78C45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45C" w:themeColor="accent1" w:themeTint="BF"/>
          <w:left w:val="single" w:sz="8" w:space="0" w:color="78C45C" w:themeColor="accent1" w:themeTint="BF"/>
          <w:bottom w:val="single" w:sz="8" w:space="0" w:color="78C45C" w:themeColor="accent1" w:themeTint="BF"/>
          <w:right w:val="single" w:sz="8" w:space="0" w:color="78C45C" w:themeColor="accent1" w:themeTint="BF"/>
          <w:insideH w:val="nil"/>
          <w:insideV w:val="nil"/>
        </w:tcBorders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45C" w:themeColor="accent1" w:themeTint="BF"/>
          <w:left w:val="single" w:sz="8" w:space="0" w:color="78C45C" w:themeColor="accent1" w:themeTint="BF"/>
          <w:bottom w:val="single" w:sz="8" w:space="0" w:color="78C45C" w:themeColor="accent1" w:themeTint="BF"/>
          <w:right w:val="single" w:sz="8" w:space="0" w:color="78C45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BC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BC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9D25D" w:themeColor="accent2" w:themeTint="BF"/>
        <w:left w:val="single" w:sz="8" w:space="0" w:color="A9D25D" w:themeColor="accent2" w:themeTint="BF"/>
        <w:bottom w:val="single" w:sz="8" w:space="0" w:color="A9D25D" w:themeColor="accent2" w:themeTint="BF"/>
        <w:right w:val="single" w:sz="8" w:space="0" w:color="A9D25D" w:themeColor="accent2" w:themeTint="BF"/>
        <w:insideH w:val="single" w:sz="8" w:space="0" w:color="A9D25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D25D" w:themeColor="accent2" w:themeTint="BF"/>
          <w:left w:val="single" w:sz="8" w:space="0" w:color="A9D25D" w:themeColor="accent2" w:themeTint="BF"/>
          <w:bottom w:val="single" w:sz="8" w:space="0" w:color="A9D25D" w:themeColor="accent2" w:themeTint="BF"/>
          <w:right w:val="single" w:sz="8" w:space="0" w:color="A9D25D" w:themeColor="accent2" w:themeTint="BF"/>
          <w:insideH w:val="nil"/>
          <w:insideV w:val="nil"/>
        </w:tcBorders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D25D" w:themeColor="accent2" w:themeTint="BF"/>
          <w:left w:val="single" w:sz="8" w:space="0" w:color="A9D25D" w:themeColor="accent2" w:themeTint="BF"/>
          <w:bottom w:val="single" w:sz="8" w:space="0" w:color="A9D25D" w:themeColor="accent2" w:themeTint="BF"/>
          <w:right w:val="single" w:sz="8" w:space="0" w:color="A9D25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F0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F0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DB6B" w:themeColor="accent3" w:themeTint="BF"/>
        <w:left w:val="single" w:sz="8" w:space="0" w:color="CFDB6B" w:themeColor="accent3" w:themeTint="BF"/>
        <w:bottom w:val="single" w:sz="8" w:space="0" w:color="CFDB6B" w:themeColor="accent3" w:themeTint="BF"/>
        <w:right w:val="single" w:sz="8" w:space="0" w:color="CFDB6B" w:themeColor="accent3" w:themeTint="BF"/>
        <w:insideH w:val="single" w:sz="8" w:space="0" w:color="CFDB6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DB6B" w:themeColor="accent3" w:themeTint="BF"/>
          <w:left w:val="single" w:sz="8" w:space="0" w:color="CFDB6B" w:themeColor="accent3" w:themeTint="BF"/>
          <w:bottom w:val="single" w:sz="8" w:space="0" w:color="CFDB6B" w:themeColor="accent3" w:themeTint="BF"/>
          <w:right w:val="single" w:sz="8" w:space="0" w:color="CFDB6B" w:themeColor="accent3" w:themeTint="BF"/>
          <w:insideH w:val="nil"/>
          <w:insideV w:val="nil"/>
        </w:tcBorders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DB6B" w:themeColor="accent3" w:themeTint="BF"/>
          <w:left w:val="single" w:sz="8" w:space="0" w:color="CFDB6B" w:themeColor="accent3" w:themeTint="BF"/>
          <w:bottom w:val="single" w:sz="8" w:space="0" w:color="CFDB6B" w:themeColor="accent3" w:themeTint="BF"/>
          <w:right w:val="single" w:sz="8" w:space="0" w:color="CFDB6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3C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F3C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3EEBA" w:themeColor="accent4" w:themeTint="BF"/>
        <w:left w:val="single" w:sz="8" w:space="0" w:color="03EEBA" w:themeColor="accent4" w:themeTint="BF"/>
        <w:bottom w:val="single" w:sz="8" w:space="0" w:color="03EEBA" w:themeColor="accent4" w:themeTint="BF"/>
        <w:right w:val="single" w:sz="8" w:space="0" w:color="03EEBA" w:themeColor="accent4" w:themeTint="BF"/>
        <w:insideH w:val="single" w:sz="8" w:space="0" w:color="03EEB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EEBA" w:themeColor="accent4" w:themeTint="BF"/>
          <w:left w:val="single" w:sz="8" w:space="0" w:color="03EEBA" w:themeColor="accent4" w:themeTint="BF"/>
          <w:bottom w:val="single" w:sz="8" w:space="0" w:color="03EEBA" w:themeColor="accent4" w:themeTint="BF"/>
          <w:right w:val="single" w:sz="8" w:space="0" w:color="03EEBA" w:themeColor="accent4" w:themeTint="BF"/>
          <w:insideH w:val="nil"/>
          <w:insideV w:val="nil"/>
        </w:tcBorders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EEBA" w:themeColor="accent4" w:themeTint="BF"/>
          <w:left w:val="single" w:sz="8" w:space="0" w:color="03EEBA" w:themeColor="accent4" w:themeTint="BF"/>
          <w:bottom w:val="single" w:sz="8" w:space="0" w:color="03EEBA" w:themeColor="accent4" w:themeTint="BF"/>
          <w:right w:val="single" w:sz="8" w:space="0" w:color="03EEB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FDE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7FDE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7C7D2" w:themeColor="accent5" w:themeTint="BF"/>
        <w:left w:val="single" w:sz="8" w:space="0" w:color="77C7D2" w:themeColor="accent5" w:themeTint="BF"/>
        <w:bottom w:val="single" w:sz="8" w:space="0" w:color="77C7D2" w:themeColor="accent5" w:themeTint="BF"/>
        <w:right w:val="single" w:sz="8" w:space="0" w:color="77C7D2" w:themeColor="accent5" w:themeTint="BF"/>
        <w:insideH w:val="single" w:sz="8" w:space="0" w:color="77C7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7C7D2" w:themeColor="accent5" w:themeTint="BF"/>
          <w:left w:val="single" w:sz="8" w:space="0" w:color="77C7D2" w:themeColor="accent5" w:themeTint="BF"/>
          <w:bottom w:val="single" w:sz="8" w:space="0" w:color="77C7D2" w:themeColor="accent5" w:themeTint="BF"/>
          <w:right w:val="single" w:sz="8" w:space="0" w:color="77C7D2" w:themeColor="accent5" w:themeTint="BF"/>
          <w:insideH w:val="nil"/>
          <w:insideV w:val="nil"/>
        </w:tcBorders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7C7D2" w:themeColor="accent5" w:themeTint="BF"/>
          <w:left w:val="single" w:sz="8" w:space="0" w:color="77C7D2" w:themeColor="accent5" w:themeTint="BF"/>
          <w:bottom w:val="single" w:sz="8" w:space="0" w:color="77C7D2" w:themeColor="accent5" w:themeTint="BF"/>
          <w:right w:val="single" w:sz="8" w:space="0" w:color="77C7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C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C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7BEF3" w:themeColor="accent6" w:themeTint="BF"/>
        <w:left w:val="single" w:sz="8" w:space="0" w:color="17BEF3" w:themeColor="accent6" w:themeTint="BF"/>
        <w:bottom w:val="single" w:sz="8" w:space="0" w:color="17BEF3" w:themeColor="accent6" w:themeTint="BF"/>
        <w:right w:val="single" w:sz="8" w:space="0" w:color="17BEF3" w:themeColor="accent6" w:themeTint="BF"/>
        <w:insideH w:val="single" w:sz="8" w:space="0" w:color="17BEF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7BEF3" w:themeColor="accent6" w:themeTint="BF"/>
          <w:left w:val="single" w:sz="8" w:space="0" w:color="17BEF3" w:themeColor="accent6" w:themeTint="BF"/>
          <w:bottom w:val="single" w:sz="8" w:space="0" w:color="17BEF3" w:themeColor="accent6" w:themeTint="BF"/>
          <w:right w:val="single" w:sz="8" w:space="0" w:color="17BEF3" w:themeColor="accent6" w:themeTint="BF"/>
          <w:insideH w:val="nil"/>
          <w:insideV w:val="nil"/>
        </w:tcBorders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BEF3" w:themeColor="accent6" w:themeTint="BF"/>
          <w:left w:val="single" w:sz="8" w:space="0" w:color="17BEF3" w:themeColor="accent6" w:themeTint="BF"/>
          <w:bottom w:val="single" w:sz="8" w:space="0" w:color="17BEF3" w:themeColor="accent6" w:themeTint="BF"/>
          <w:right w:val="single" w:sz="8" w:space="0" w:color="17BEF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9F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E9F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E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B83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F3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967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B5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989B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49E39" w:themeColor="accent1"/>
        <w:bottom w:val="single" w:sz="8" w:space="0" w:color="549E3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E39" w:themeColor="accen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549E39" w:themeColor="accent1"/>
          <w:bottom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E39" w:themeColor="accent1"/>
          <w:bottom w:val="single" w:sz="8" w:space="0" w:color="549E39" w:themeColor="accent1"/>
        </w:tcBorders>
      </w:tcPr>
    </w:tblStylePr>
    <w:tblStylePr w:type="band1Vert">
      <w:tblPr/>
      <w:tcPr>
        <w:shd w:val="clear" w:color="auto" w:fill="D2EBC9" w:themeFill="accent1" w:themeFillTint="3F"/>
      </w:tcPr>
    </w:tblStylePr>
    <w:tblStylePr w:type="band1Horz">
      <w:tblPr/>
      <w:tcPr>
        <w:shd w:val="clear" w:color="auto" w:fill="D2EBC9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B833" w:themeColor="accent2"/>
        <w:bottom w:val="single" w:sz="8" w:space="0" w:color="8AB83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B833" w:themeColor="accent2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8AB833" w:themeColor="accent2"/>
          <w:bottom w:val="single" w:sz="8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B833" w:themeColor="accent2"/>
          <w:bottom w:val="single" w:sz="8" w:space="0" w:color="8AB833" w:themeColor="accent2"/>
        </w:tcBorders>
      </w:tcPr>
    </w:tblStylePr>
    <w:tblStylePr w:type="band1Vert">
      <w:tblPr/>
      <w:tcPr>
        <w:shd w:val="clear" w:color="auto" w:fill="E2F0C9" w:themeFill="accent2" w:themeFillTint="3F"/>
      </w:tcPr>
    </w:tblStylePr>
    <w:tblStylePr w:type="band1Horz">
      <w:tblPr/>
      <w:tcPr>
        <w:shd w:val="clear" w:color="auto" w:fill="E2F0C9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CF3A" w:themeColor="accent3"/>
        <w:bottom w:val="single" w:sz="8" w:space="0" w:color="C0CF3A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CF3A" w:themeColor="accent3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C0CF3A" w:themeColor="accent3"/>
          <w:bottom w:val="single" w:sz="8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CF3A" w:themeColor="accent3"/>
          <w:bottom w:val="single" w:sz="8" w:space="0" w:color="C0CF3A" w:themeColor="accent3"/>
        </w:tcBorders>
      </w:tcPr>
    </w:tblStylePr>
    <w:tblStylePr w:type="band1Vert">
      <w:tblPr/>
      <w:tcPr>
        <w:shd w:val="clear" w:color="auto" w:fill="EFF3CE" w:themeFill="accent3" w:themeFillTint="3F"/>
      </w:tcPr>
    </w:tblStylePr>
    <w:tblStylePr w:type="band1Horz">
      <w:tblPr/>
      <w:tcPr>
        <w:shd w:val="clear" w:color="auto" w:fill="EFF3CE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29676" w:themeColor="accent4"/>
        <w:bottom w:val="single" w:sz="8" w:space="0" w:color="02967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9676" w:themeColor="accent4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29676" w:themeColor="accent4"/>
          <w:bottom w:val="single" w:sz="8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9676" w:themeColor="accent4"/>
          <w:bottom w:val="single" w:sz="8" w:space="0" w:color="029676" w:themeColor="accent4"/>
        </w:tcBorders>
      </w:tcPr>
    </w:tblStylePr>
    <w:tblStylePr w:type="band1Vert">
      <w:tblPr/>
      <w:tcPr>
        <w:shd w:val="clear" w:color="auto" w:fill="A7FDEA" w:themeFill="accent4" w:themeFillTint="3F"/>
      </w:tcPr>
    </w:tblStylePr>
    <w:tblStylePr w:type="band1Horz">
      <w:tblPr/>
      <w:tcPr>
        <w:shd w:val="clear" w:color="auto" w:fill="A7FDE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B5C4" w:themeColor="accent5"/>
        <w:bottom w:val="single" w:sz="8" w:space="0" w:color="4AB5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B5C4" w:themeColor="accent5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4AB5C4" w:themeColor="accent5"/>
          <w:bottom w:val="single" w:sz="8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B5C4" w:themeColor="accent5"/>
          <w:bottom w:val="single" w:sz="8" w:space="0" w:color="4AB5C4" w:themeColor="accent5"/>
        </w:tcBorders>
      </w:tcPr>
    </w:tblStylePr>
    <w:tblStylePr w:type="band1Vert">
      <w:tblPr/>
      <w:tcPr>
        <w:shd w:val="clear" w:color="auto" w:fill="D2ECF0" w:themeFill="accent5" w:themeFillTint="3F"/>
      </w:tcPr>
    </w:tblStylePr>
    <w:tblStylePr w:type="band1Horz">
      <w:tblPr/>
      <w:tcPr>
        <w:shd w:val="clear" w:color="auto" w:fill="D2EC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989B1" w:themeColor="accent6"/>
        <w:bottom w:val="single" w:sz="8" w:space="0" w:color="0989B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989B1" w:themeColor="accent6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989B1" w:themeColor="accent6"/>
          <w:bottom w:val="single" w:sz="8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989B1" w:themeColor="accent6"/>
          <w:bottom w:val="single" w:sz="8" w:space="0" w:color="0989B1" w:themeColor="accent6"/>
        </w:tcBorders>
      </w:tcPr>
    </w:tblStylePr>
    <w:tblStylePr w:type="band1Vert">
      <w:tblPr/>
      <w:tcPr>
        <w:shd w:val="clear" w:color="auto" w:fill="B2E9FB" w:themeFill="accent6" w:themeFillTint="3F"/>
      </w:tcPr>
    </w:tblStylePr>
    <w:tblStylePr w:type="band1Horz">
      <w:tblPr/>
      <w:tcPr>
        <w:shd w:val="clear" w:color="auto" w:fill="B2E9FB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E3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49E3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E3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E3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BC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AB833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B83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B83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F0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CF3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CF3A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CF3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CF3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F3C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967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2967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967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967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7FDE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B5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B5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B5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B5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C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989B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989B1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989B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989B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E9F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45C" w:themeColor="accent1" w:themeTint="BF"/>
        <w:left w:val="single" w:sz="8" w:space="0" w:color="78C45C" w:themeColor="accent1" w:themeTint="BF"/>
        <w:bottom w:val="single" w:sz="8" w:space="0" w:color="78C45C" w:themeColor="accent1" w:themeTint="BF"/>
        <w:right w:val="single" w:sz="8" w:space="0" w:color="78C45C" w:themeColor="accent1" w:themeTint="BF"/>
        <w:insideH w:val="single" w:sz="8" w:space="0" w:color="78C45C" w:themeColor="accent1" w:themeTint="BF"/>
        <w:insideV w:val="single" w:sz="8" w:space="0" w:color="78C45C" w:themeColor="accent1" w:themeTint="BF"/>
      </w:tblBorders>
    </w:tblPr>
    <w:tcPr>
      <w:shd w:val="clear" w:color="auto" w:fill="D2EBC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45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shd w:val="clear" w:color="auto" w:fill="A5D893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9D25D" w:themeColor="accent2" w:themeTint="BF"/>
        <w:left w:val="single" w:sz="8" w:space="0" w:color="A9D25D" w:themeColor="accent2" w:themeTint="BF"/>
        <w:bottom w:val="single" w:sz="8" w:space="0" w:color="A9D25D" w:themeColor="accent2" w:themeTint="BF"/>
        <w:right w:val="single" w:sz="8" w:space="0" w:color="A9D25D" w:themeColor="accent2" w:themeTint="BF"/>
        <w:insideH w:val="single" w:sz="8" w:space="0" w:color="A9D25D" w:themeColor="accent2" w:themeTint="BF"/>
        <w:insideV w:val="single" w:sz="8" w:space="0" w:color="A9D25D" w:themeColor="accent2" w:themeTint="BF"/>
      </w:tblBorders>
    </w:tblPr>
    <w:tcPr>
      <w:shd w:val="clear" w:color="auto" w:fill="E2F0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D25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shd w:val="clear" w:color="auto" w:fill="C6E19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DB6B" w:themeColor="accent3" w:themeTint="BF"/>
        <w:left w:val="single" w:sz="8" w:space="0" w:color="CFDB6B" w:themeColor="accent3" w:themeTint="BF"/>
        <w:bottom w:val="single" w:sz="8" w:space="0" w:color="CFDB6B" w:themeColor="accent3" w:themeTint="BF"/>
        <w:right w:val="single" w:sz="8" w:space="0" w:color="CFDB6B" w:themeColor="accent3" w:themeTint="BF"/>
        <w:insideH w:val="single" w:sz="8" w:space="0" w:color="CFDB6B" w:themeColor="accent3" w:themeTint="BF"/>
        <w:insideV w:val="single" w:sz="8" w:space="0" w:color="CFDB6B" w:themeColor="accent3" w:themeTint="BF"/>
      </w:tblBorders>
    </w:tblPr>
    <w:tcPr>
      <w:shd w:val="clear" w:color="auto" w:fill="EFF3C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DB6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3EEBA" w:themeColor="accent4" w:themeTint="BF"/>
        <w:left w:val="single" w:sz="8" w:space="0" w:color="03EEBA" w:themeColor="accent4" w:themeTint="BF"/>
        <w:bottom w:val="single" w:sz="8" w:space="0" w:color="03EEBA" w:themeColor="accent4" w:themeTint="BF"/>
        <w:right w:val="single" w:sz="8" w:space="0" w:color="03EEBA" w:themeColor="accent4" w:themeTint="BF"/>
        <w:insideH w:val="single" w:sz="8" w:space="0" w:color="03EEBA" w:themeColor="accent4" w:themeTint="BF"/>
        <w:insideV w:val="single" w:sz="8" w:space="0" w:color="03EEBA" w:themeColor="accent4" w:themeTint="BF"/>
      </w:tblBorders>
    </w:tblPr>
    <w:tcPr>
      <w:shd w:val="clear" w:color="auto" w:fill="A7FDE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EEB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shd w:val="clear" w:color="auto" w:fill="4FFCD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7C7D2" w:themeColor="accent5" w:themeTint="BF"/>
        <w:left w:val="single" w:sz="8" w:space="0" w:color="77C7D2" w:themeColor="accent5" w:themeTint="BF"/>
        <w:bottom w:val="single" w:sz="8" w:space="0" w:color="77C7D2" w:themeColor="accent5" w:themeTint="BF"/>
        <w:right w:val="single" w:sz="8" w:space="0" w:color="77C7D2" w:themeColor="accent5" w:themeTint="BF"/>
        <w:insideH w:val="single" w:sz="8" w:space="0" w:color="77C7D2" w:themeColor="accent5" w:themeTint="BF"/>
        <w:insideV w:val="single" w:sz="8" w:space="0" w:color="77C7D2" w:themeColor="accent5" w:themeTint="BF"/>
      </w:tblBorders>
    </w:tblPr>
    <w:tcPr>
      <w:shd w:val="clear" w:color="auto" w:fill="D2EC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7C7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shd w:val="clear" w:color="auto" w:fill="A4DA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7BEF3" w:themeColor="accent6" w:themeTint="BF"/>
        <w:left w:val="single" w:sz="8" w:space="0" w:color="17BEF3" w:themeColor="accent6" w:themeTint="BF"/>
        <w:bottom w:val="single" w:sz="8" w:space="0" w:color="17BEF3" w:themeColor="accent6" w:themeTint="BF"/>
        <w:right w:val="single" w:sz="8" w:space="0" w:color="17BEF3" w:themeColor="accent6" w:themeTint="BF"/>
        <w:insideH w:val="single" w:sz="8" w:space="0" w:color="17BEF3" w:themeColor="accent6" w:themeTint="BF"/>
        <w:insideV w:val="single" w:sz="8" w:space="0" w:color="17BEF3" w:themeColor="accent6" w:themeTint="BF"/>
      </w:tblBorders>
    </w:tblPr>
    <w:tcPr>
      <w:shd w:val="clear" w:color="auto" w:fill="B2E9F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7BEF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shd w:val="clear" w:color="auto" w:fill="65D4F7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  <w:insideH w:val="single" w:sz="8" w:space="0" w:color="549E39" w:themeColor="accent1"/>
        <w:insideV w:val="single" w:sz="8" w:space="0" w:color="549E39" w:themeColor="accent1"/>
      </w:tblBorders>
    </w:tblPr>
    <w:tcPr>
      <w:shd w:val="clear" w:color="auto" w:fill="D2EBC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E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FD3" w:themeFill="accent1" w:themeFillTint="33"/>
      </w:tc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tcBorders>
          <w:insideH w:val="single" w:sz="6" w:space="0" w:color="549E39" w:themeColor="accent1"/>
          <w:insideV w:val="single" w:sz="6" w:space="0" w:color="549E39" w:themeColor="accent1"/>
        </w:tcBorders>
        <w:shd w:val="clear" w:color="auto" w:fill="A5D89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  <w:insideH w:val="single" w:sz="8" w:space="0" w:color="8AB833" w:themeColor="accent2"/>
        <w:insideV w:val="single" w:sz="8" w:space="0" w:color="8AB833" w:themeColor="accent2"/>
      </w:tblBorders>
    </w:tblPr>
    <w:tcPr>
      <w:shd w:val="clear" w:color="auto" w:fill="E2F0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3F9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3D3" w:themeFill="accent2" w:themeFillTint="33"/>
      </w:tc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tcBorders>
          <w:insideH w:val="single" w:sz="6" w:space="0" w:color="8AB833" w:themeColor="accent2"/>
          <w:insideV w:val="single" w:sz="6" w:space="0" w:color="8AB833" w:themeColor="accent2"/>
        </w:tcBorders>
        <w:shd w:val="clear" w:color="auto" w:fill="C6E19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  <w:insideH w:val="single" w:sz="8" w:space="0" w:color="C0CF3A" w:themeColor="accent3"/>
        <w:insideV w:val="single" w:sz="8" w:space="0" w:color="C0CF3A" w:themeColor="accent3"/>
      </w:tblBorders>
    </w:tblPr>
    <w:tcPr>
      <w:shd w:val="clear" w:color="auto" w:fill="EFF3C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FA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5D7" w:themeFill="accent3" w:themeFillTint="33"/>
      </w:tc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tcBorders>
          <w:insideH w:val="single" w:sz="6" w:space="0" w:color="C0CF3A" w:themeColor="accent3"/>
          <w:insideV w:val="single" w:sz="6" w:space="0" w:color="C0CF3A" w:themeColor="accent3"/>
        </w:tcBorders>
        <w:shd w:val="clear" w:color="auto" w:fill="DFE79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  <w:insideH w:val="single" w:sz="8" w:space="0" w:color="029676" w:themeColor="accent4"/>
        <w:insideV w:val="single" w:sz="8" w:space="0" w:color="029676" w:themeColor="accent4"/>
      </w:tblBorders>
    </w:tblPr>
    <w:tcPr>
      <w:shd w:val="clear" w:color="auto" w:fill="A7FDE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CFE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FEEE" w:themeFill="accent4" w:themeFillTint="33"/>
      </w:tc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tcBorders>
          <w:insideH w:val="single" w:sz="6" w:space="0" w:color="029676" w:themeColor="accent4"/>
          <w:insideV w:val="single" w:sz="6" w:space="0" w:color="029676" w:themeColor="accent4"/>
        </w:tcBorders>
        <w:shd w:val="clear" w:color="auto" w:fill="4FFCD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  <w:insideH w:val="single" w:sz="8" w:space="0" w:color="4AB5C4" w:themeColor="accent5"/>
        <w:insideV w:val="single" w:sz="8" w:space="0" w:color="4AB5C4" w:themeColor="accent5"/>
      </w:tblBorders>
    </w:tblPr>
    <w:tcPr>
      <w:shd w:val="clear" w:color="auto" w:fill="D2EC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F3" w:themeFill="accent5" w:themeFillTint="33"/>
      </w:tc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tcBorders>
          <w:insideH w:val="single" w:sz="6" w:space="0" w:color="4AB5C4" w:themeColor="accent5"/>
          <w:insideV w:val="single" w:sz="6" w:space="0" w:color="4AB5C4" w:themeColor="accent5"/>
        </w:tcBorders>
        <w:shd w:val="clear" w:color="auto" w:fill="A4DA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  <w:insideH w:val="single" w:sz="8" w:space="0" w:color="0989B1" w:themeColor="accent6"/>
        <w:insideV w:val="single" w:sz="8" w:space="0" w:color="0989B1" w:themeColor="accent6"/>
      </w:tblBorders>
    </w:tblPr>
    <w:tcPr>
      <w:shd w:val="clear" w:color="auto" w:fill="B2E9F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0F6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DFC" w:themeFill="accent6" w:themeFillTint="33"/>
      </w:tc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tcBorders>
          <w:insideH w:val="single" w:sz="6" w:space="0" w:color="0989B1" w:themeColor="accent6"/>
          <w:insideV w:val="single" w:sz="6" w:space="0" w:color="0989B1" w:themeColor="accent6"/>
        </w:tcBorders>
        <w:shd w:val="clear" w:color="auto" w:fill="65D4F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BC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E3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E3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E3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89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893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F0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B83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B83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B83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6E19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6E19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F3C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CF3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CF3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CF3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E79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E79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7FDE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967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967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967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FFCD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FFCD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C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B5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B5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B5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4DA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4DA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E9F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989B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989B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989B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5D4F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5D4F7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49E3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4E1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762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B83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5B1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6892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CF3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691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39F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2967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4A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70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AB5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C6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B9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989B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4435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6668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B83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B833" w:themeColor="accent2"/>
        <w:left w:val="single" w:sz="4" w:space="0" w:color="549E39" w:themeColor="accent1"/>
        <w:bottom w:val="single" w:sz="4" w:space="0" w:color="549E39" w:themeColor="accent1"/>
        <w:right w:val="single" w:sz="4" w:space="0" w:color="549E39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E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25E2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25E22" w:themeColor="accent1" w:themeShade="99"/>
          <w:insideV w:val="nil"/>
        </w:tcBorders>
        <w:shd w:val="clear" w:color="auto" w:fill="325E2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5E22" w:themeFill="accent1" w:themeFillShade="99"/>
      </w:tcPr>
    </w:tblStylePr>
    <w:tblStylePr w:type="band1Vert">
      <w:tblPr/>
      <w:tcPr>
        <w:shd w:val="clear" w:color="auto" w:fill="B7DFA8" w:themeFill="accent1" w:themeFillTint="66"/>
      </w:tcPr>
    </w:tblStylePr>
    <w:tblStylePr w:type="band1Horz">
      <w:tblPr/>
      <w:tcPr>
        <w:shd w:val="clear" w:color="auto" w:fill="A5D89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B833" w:themeColor="accent2"/>
        <w:left w:val="single" w:sz="4" w:space="0" w:color="8AB833" w:themeColor="accent2"/>
        <w:bottom w:val="single" w:sz="4" w:space="0" w:color="8AB833" w:themeColor="accent2"/>
        <w:right w:val="single" w:sz="4" w:space="0" w:color="8AB83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9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6E1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6E1E" w:themeColor="accent2" w:themeShade="99"/>
          <w:insideV w:val="nil"/>
        </w:tcBorders>
        <w:shd w:val="clear" w:color="auto" w:fill="526E1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6E1E" w:themeFill="accent2" w:themeFillShade="99"/>
      </w:tcPr>
    </w:tblStylePr>
    <w:tblStylePr w:type="band1Vert">
      <w:tblPr/>
      <w:tcPr>
        <w:shd w:val="clear" w:color="auto" w:fill="D1E7A8" w:themeFill="accent2" w:themeFillTint="66"/>
      </w:tcPr>
    </w:tblStylePr>
    <w:tblStylePr w:type="band1Horz">
      <w:tblPr/>
      <w:tcPr>
        <w:shd w:val="clear" w:color="auto" w:fill="C6E19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29676" w:themeColor="accent4"/>
        <w:left w:val="single" w:sz="4" w:space="0" w:color="C0CF3A" w:themeColor="accent3"/>
        <w:bottom w:val="single" w:sz="4" w:space="0" w:color="C0CF3A" w:themeColor="accent3"/>
        <w:right w:val="single" w:sz="4" w:space="0" w:color="C0CF3A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A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967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7F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7F1F" w:themeColor="accent3" w:themeShade="99"/>
          <w:insideV w:val="nil"/>
        </w:tcBorders>
        <w:shd w:val="clear" w:color="auto" w:fill="757F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7F1F" w:themeFill="accent3" w:themeFillShade="99"/>
      </w:tcPr>
    </w:tblStylePr>
    <w:tblStylePr w:type="band1Vert">
      <w:tblPr/>
      <w:tcPr>
        <w:shd w:val="clear" w:color="auto" w:fill="E5EBB0" w:themeFill="accent3" w:themeFillTint="66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CF3A" w:themeColor="accent3"/>
        <w:left w:val="single" w:sz="4" w:space="0" w:color="029676" w:themeColor="accent4"/>
        <w:bottom w:val="single" w:sz="4" w:space="0" w:color="029676" w:themeColor="accent4"/>
        <w:right w:val="single" w:sz="4" w:space="0" w:color="02967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E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CF3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59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5946" w:themeColor="accent4" w:themeShade="99"/>
          <w:insideV w:val="nil"/>
        </w:tcBorders>
        <w:shd w:val="clear" w:color="auto" w:fill="0159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946" w:themeFill="accent4" w:themeFillShade="99"/>
      </w:tcPr>
    </w:tblStylePr>
    <w:tblStylePr w:type="band1Vert">
      <w:tblPr/>
      <w:tcPr>
        <w:shd w:val="clear" w:color="auto" w:fill="71FDDE" w:themeFill="accent4" w:themeFillTint="66"/>
      </w:tcPr>
    </w:tblStylePr>
    <w:tblStylePr w:type="band1Horz">
      <w:tblPr/>
      <w:tcPr>
        <w:shd w:val="clear" w:color="auto" w:fill="4FFCD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989B1" w:themeColor="accent6"/>
        <w:left w:val="single" w:sz="4" w:space="0" w:color="4AB5C4" w:themeColor="accent5"/>
        <w:bottom w:val="single" w:sz="4" w:space="0" w:color="4AB5C4" w:themeColor="accent5"/>
        <w:right w:val="single" w:sz="4" w:space="0" w:color="4AB5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989B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86F7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86F7A" w:themeColor="accent5" w:themeShade="99"/>
          <w:insideV w:val="nil"/>
        </w:tcBorders>
        <w:shd w:val="clear" w:color="auto" w:fill="286F7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6F7A" w:themeFill="accent5" w:themeFillShade="99"/>
      </w:tcPr>
    </w:tblStylePr>
    <w:tblStylePr w:type="band1Vert">
      <w:tblPr/>
      <w:tcPr>
        <w:shd w:val="clear" w:color="auto" w:fill="B6E1E7" w:themeFill="accent5" w:themeFillTint="66"/>
      </w:tcPr>
    </w:tblStylePr>
    <w:tblStylePr w:type="band1Horz">
      <w:tblPr/>
      <w:tcPr>
        <w:shd w:val="clear" w:color="auto" w:fill="A4DA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AB5C4" w:themeColor="accent5"/>
        <w:left w:val="single" w:sz="4" w:space="0" w:color="0989B1" w:themeColor="accent6"/>
        <w:bottom w:val="single" w:sz="4" w:space="0" w:color="0989B1" w:themeColor="accent6"/>
        <w:right w:val="single" w:sz="4" w:space="0" w:color="0989B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6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B5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5516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55169" w:themeColor="accent6" w:themeShade="99"/>
          <w:insideV w:val="nil"/>
        </w:tcBorders>
        <w:shd w:val="clear" w:color="auto" w:fill="05516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55169" w:themeFill="accent6" w:themeFillShade="99"/>
      </w:tcPr>
    </w:tblStylePr>
    <w:tblStylePr w:type="band1Vert">
      <w:tblPr/>
      <w:tcPr>
        <w:shd w:val="clear" w:color="auto" w:fill="83DCF8" w:themeFill="accent6" w:themeFillTint="66"/>
      </w:tcPr>
    </w:tblStylePr>
    <w:tblStylePr w:type="band1Horz">
      <w:tblPr/>
      <w:tcPr>
        <w:shd w:val="clear" w:color="auto" w:fill="65D4F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E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9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A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775D" w:themeFill="accent4" w:themeFillShade="CC"/>
      </w:tcPr>
    </w:tblStylePr>
    <w:tblStylePr w:type="lastRow">
      <w:rPr>
        <w:b/>
        <w:bCs/>
        <w:color w:val="0177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CFE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DAA29" w:themeFill="accent3" w:themeFillShade="CC"/>
      </w:tcPr>
    </w:tblStylePr>
    <w:tblStylePr w:type="lastRow">
      <w:rPr>
        <w:b/>
        <w:bCs/>
        <w:color w:val="9DAA2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76D8D" w:themeFill="accent6" w:themeFillShade="CC"/>
      </w:tcPr>
    </w:tblStylePr>
    <w:tblStylePr w:type="lastRow">
      <w:rPr>
        <w:b/>
        <w:bCs/>
        <w:color w:val="076D8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6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95A2" w:themeFill="accent5" w:themeFillShade="CC"/>
      </w:tcPr>
    </w:tblStylePr>
    <w:tblStylePr w:type="lastRow">
      <w:rPr>
        <w:b/>
        <w:bCs/>
        <w:color w:val="3595A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FD3" w:themeFill="accent1" w:themeFillTint="33"/>
    </w:tcPr>
    <w:tblStylePr w:type="firstRow">
      <w:rPr>
        <w:b/>
        <w:bCs/>
      </w:rPr>
      <w:tblPr/>
      <w:tcPr>
        <w:shd w:val="clear" w:color="auto" w:fill="B7DFA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DFA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E762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E762A" w:themeFill="accent1" w:themeFillShade="BF"/>
      </w:tc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shd w:val="clear" w:color="auto" w:fill="A5D893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F3D3" w:themeFill="accent2" w:themeFillTint="33"/>
    </w:tcPr>
    <w:tblStylePr w:type="firstRow">
      <w:rPr>
        <w:b/>
        <w:bCs/>
      </w:rPr>
      <w:tblPr/>
      <w:tcPr>
        <w:shd w:val="clear" w:color="auto" w:fill="D1E7A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E7A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6892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68926" w:themeFill="accent2" w:themeFillShade="BF"/>
      </w:tc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shd w:val="clear" w:color="auto" w:fill="C6E193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5D7" w:themeFill="accent3" w:themeFillTint="33"/>
    </w:tcPr>
    <w:tblStylePr w:type="firstRow">
      <w:rPr>
        <w:b/>
        <w:bCs/>
      </w:rPr>
      <w:tblPr/>
      <w:tcPr>
        <w:shd w:val="clear" w:color="auto" w:fill="E5EBB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BB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39F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39F27" w:themeFill="accent3" w:themeFillShade="BF"/>
      </w:tc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8FEEE" w:themeFill="accent4" w:themeFillTint="33"/>
    </w:tcPr>
    <w:tblStylePr w:type="firstRow">
      <w:rPr>
        <w:b/>
        <w:bCs/>
      </w:rPr>
      <w:tblPr/>
      <w:tcPr>
        <w:shd w:val="clear" w:color="auto" w:fill="71FDD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1FDD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170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17057" w:themeFill="accent4" w:themeFillShade="BF"/>
      </w:tc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shd w:val="clear" w:color="auto" w:fill="4FFCD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F0F3" w:themeFill="accent5" w:themeFillTint="33"/>
    </w:tcPr>
    <w:tblStylePr w:type="firstRow">
      <w:rPr>
        <w:b/>
        <w:bCs/>
      </w:rPr>
      <w:tblPr/>
      <w:tcPr>
        <w:shd w:val="clear" w:color="auto" w:fill="B6E1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E1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B9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B98" w:themeFill="accent5" w:themeFillShade="BF"/>
      </w:tc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shd w:val="clear" w:color="auto" w:fill="A4DA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DFC" w:themeFill="accent6" w:themeFillTint="33"/>
    </w:tcPr>
    <w:tblStylePr w:type="firstRow">
      <w:rPr>
        <w:b/>
        <w:bCs/>
      </w:rPr>
      <w:tblPr/>
      <w:tcPr>
        <w:shd w:val="clear" w:color="auto" w:fill="83DCF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DCF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6668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66684" w:themeFill="accent6" w:themeFillShade="BF"/>
      </w:tc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shd w:val="clear" w:color="auto" w:fill="65D4F7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326DDF"/>
  </w:style>
  <w:style w:type="paragraph" w:customStyle="1" w:styleId="PersonalName">
    <w:name w:val="Personal Name"/>
    <w:basedOn w:val="Title"/>
    <w:qFormat/>
    <w:rsid w:val="00326DDF"/>
    <w:rPr>
      <w:b/>
      <w:caps/>
      <w:color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326DDF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D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uniswap.org/" TargetMode="External"/><Relationship Id="rId13" Type="http://schemas.openxmlformats.org/officeDocument/2006/relationships/hyperlink" Target="https://github.com/Golden-Armor-Studios/GoldenArmorStudioCoin" TargetMode="External"/><Relationship Id="rId3" Type="http://schemas.openxmlformats.org/officeDocument/2006/relationships/styles" Target="styles.xml"/><Relationship Id="rId7" Type="http://schemas.openxmlformats.org/officeDocument/2006/relationships/hyperlink" Target="https://goldenarmorstudio.art/buy-gasc" TargetMode="External"/><Relationship Id="rId12" Type="http://schemas.openxmlformats.org/officeDocument/2006/relationships/hyperlink" Target="https://app.uniswap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therscan.io/address/0xfdfca393Ebf5D6E389d5D3A679504a3182deBED9" TargetMode="External"/><Relationship Id="rId11" Type="http://schemas.openxmlformats.org/officeDocument/2006/relationships/hyperlink" Target="https://goldenarmorstudio.art/buy-gasc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Golden-Armor-Studios/GoldenArmorStudioCo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olden-Armor-Studio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lic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667</Words>
  <Characters>4548</Characters>
  <Application>Microsoft Office Word</Application>
  <DocSecurity>0</DocSecurity>
  <Lines>133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Micheal</cp:lastModifiedBy>
  <cp:revision>2</cp:revision>
  <dcterms:created xsi:type="dcterms:W3CDTF">2013-12-23T23:15:00Z</dcterms:created>
  <dcterms:modified xsi:type="dcterms:W3CDTF">2025-11-20T01:36:00Z</dcterms:modified>
  <cp:category/>
</cp:coreProperties>
</file>