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303520" cy="95907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959076"/>
                    </a:xfrm>
                    <a:prstGeom prst="rect"/>
                  </pic:spPr>
                </pic:pic>
              </a:graphicData>
            </a:graphic>
          </wp:inline>
        </w:drawing>
      </w:r>
    </w:p>
    <w:p>
      <w:pPr>
        <w:pStyle w:val="Heading2"/>
      </w:pPr>
      <w:r>
        <w:t>Introduzione</w:t>
      </w:r>
    </w:p>
    <w:p>
      <w:pPr>
        <w:pStyle w:val="Heading3"/>
      </w:pPr>
      <w:r>
        <w:t>Presentazione dell'Azienda</w:t>
      </w:r>
    </w:p>
    <w:p>
      <w:r>
        <w:t>Agilae S.p.A. è un leader nel settore della consulenza strategico-direzionale, focalizzato sull'innovazione e la creazione di valore sostenibile. La nostra missione è supportare le imprese nel loro percorso di crescita attraverso soluzioni personalizzate che integrano tecnologia avanzata e strategie di business mirate. La visione di Agilae è quella di essere un abilitatore di cambiamenti significativi nel mercato, promuovendo la sostenibilità e il benessere del capitale umano e del territorio in cui operiamo.</w:t>
      </w:r>
    </w:p>
    <w:p>
      <w:pPr>
        <w:pStyle w:val="Heading3"/>
      </w:pPr>
      <w:r>
        <w:t>Impegno verso la Sostenibilità</w:t>
      </w:r>
    </w:p>
    <w:p>
      <w:r>
        <w:t>La sostenibilità è al centro della nostra strategia aziendale. Crediamo fermamente che un approccio sostenibile non solo migliori la nostra performance ambientale e sociale, ma rafforzi anche la nostra posizione competitiva. Agilae integra pratiche sostenibili in ogni aspetto delle sue operazioni, garantendo che le nostre soluzioni non solo soddisfino le esigenze attuali dei clienti, ma contribuiscano anche a un futuro più verde e responsabile.</w:t>
      </w:r>
    </w:p>
    <w:p>
      <w:pPr>
        <w:pStyle w:val="Heading3"/>
      </w:pPr>
      <w:r>
        <w:t>Obiettivi Principali del Bilancio</w:t>
      </w:r>
    </w:p>
    <w:p>
      <w:r>
        <w:t>Questo bilancio di sostenibilità si propone di fornire una visione chiara e trasparente delle nostre iniziative e dei risultati ottenuti. Gli obiettivi chiave includono la riduzione delle emissioni di CO2, l'espansione nei mercati emergenti con un approccio sostenibile, e il miglioramento della soddisfazione dei clienti attraverso innovazioni tecnologiche. Ogni capitolo del rapporto esplorerà in dettaglio le nostre strategie e i progressi compiuti in queste aree.</w:t>
      </w:r>
    </w:p>
    <w:p>
      <w:pPr>
        <w:pStyle w:val="Heading3"/>
      </w:pPr>
      <w:r>
        <w:t>Struttura del Documento</w:t>
      </w:r>
    </w:p>
    <w:p>
      <w:r>
        <w:t>Il bilancio è strutturato in quattro capitoli principali. Il primo capitolo introduce la nostra storia e identità aziendale. Il secondo capitolo si concentra sulle persone, evidenziando le iniziative per il benessere e lo sviluppo dei dipendenti. Il terzo capitolo affronta il nostro impegno verso la sostenibilità ambientale, mentre il quarto capitolo esplora la crescita sostenibile e le pratiche di governance. Ogni sezione è progettata per offrire una comprensione approfondita del nostro impegno verso un futuro sostenibile.</w:t>
      </w:r>
    </w:p>
    <w:p>
      <w:pPr>
        <w:pStyle w:val="Heading2"/>
      </w:pPr>
      <w:r>
        <w:t>Capitolo 1: The Future is Agilae S.p.A.</w:t>
      </w:r>
    </w:p>
    <w:p>
      <w:r>
        <w:t>Immagine rappresentativa del Capitolo 1</w:t>
      </w:r>
    </w:p>
    <w:p>
      <w:pPr>
        <w:pStyle w:val="Heading3"/>
      </w:pPr>
      <w:r>
        <w:t>1.1 La nostra storia</w:t>
      </w:r>
    </w:p>
    <w:p>
      <w:pPr>
        <w:pStyle w:val="Heading3"/>
      </w:pPr>
      <w:r>
        <w:t>Fondazione dell'Azienda</w:t>
      </w:r>
    </w:p>
    <w:p>
      <w:r>
        <w:t>Agilae S.p.A. è stata fondata nel 2010 da un gruppo di esperti nel settore della consulenza strategica e tecnologica. La motivazione principale alla base della creazione dell'azienda era quella di fornire soluzioni innovative che potessero supportare le imprese nella loro trasformazione digitale, mantenendo un forte impegno verso la sostenibilità.</w:t>
      </w:r>
    </w:p>
    <w:p>
      <w:pPr>
        <w:pStyle w:val="Heading3"/>
      </w:pPr>
      <w:r>
        <w:t>Evoluzione nel Tempo</w:t>
      </w:r>
    </w:p>
    <w:p>
      <w:r>
        <w:t>Nel corso degli anni, Agilae ha raggiunto numerosi traguardi significativi. L'espansione del team è stata costante, passando da un piccolo gruppo di fondatori a un'azienda con oltre 350 dipendenti. L'apertura di nuove sedi in città strategiche come Milano, Torino, Bologna e Napoli ha permesso di ampliare la portata dei servizi offerti. Inoltre, l'introduzione di nuovi prodotti e servizi, come le piattaforme di automazione industriale e le soluzioni di cybersecurity, ha rafforzato la posizione di Agilae nel mercato.</w:t>
      </w:r>
    </w:p>
    <w:p>
      <w:r>
        <w:drawing>
          <wp:inline xmlns:a="http://schemas.openxmlformats.org/drawingml/2006/main" xmlns:pic="http://schemas.openxmlformats.org/drawingml/2006/picture">
            <wp:extent cx="5303520" cy="397764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3977640"/>
                    </a:xfrm>
                    <a:prstGeom prst="rect"/>
                  </pic:spPr>
                </pic:pic>
              </a:graphicData>
            </a:graphic>
          </wp:inline>
        </w:drawing>
      </w:r>
    </w:p>
    <w:p>
      <w:pPr>
        <w:pStyle w:val="Heading3"/>
      </w:pPr>
      <w:r>
        <w:t>Impegno verso la Sostenibilità</w:t>
      </w:r>
    </w:p>
    <w:p>
      <w:r>
        <w:t>La sostenibilità è diventata un elemento centrale nella strategia aziendale di Agilae a partire dal 2015. Da allora, l'azienda ha integrato pratiche sostenibili in tutte le sue operazioni, ottenendo certificazioni importanti come la ISO 14001 per la gestione ambientale. Questo impegno è stato ulteriormente rafforzato attraverso partnership strategiche con organizzazioni che condividono gli stessi valori di sostenibilità.</w:t>
      </w:r>
    </w:p>
    <w:p>
      <w:pPr>
        <w:pStyle w:val="Heading3"/>
      </w:pPr>
      <w:r>
        <w:t>Eventi Chiave</w:t>
      </w:r>
    </w:p>
    <w:p>
      <w:r>
        <w:t>Tra gli eventi chiave che hanno segnato la storia di Agilae, spicca l'ottenimento della certificazione B Corp nel 2018, che riconosce l'azienda come un leader nella sostenibilità e nella responsabilità sociale. Inoltre, gli investimenti significativi in ricerca e sviluppo hanno portato al lancio di soluzioni innovative che hanno rivoluzionato il modo in cui le imprese gestiscono i loro processi operativi.</w:t>
      </w:r>
    </w:p>
    <w:p>
      <w:r>
        <w:drawing>
          <wp:inline xmlns:a="http://schemas.openxmlformats.org/drawingml/2006/main" xmlns:pic="http://schemas.openxmlformats.org/drawingml/2006/picture">
            <wp:extent cx="5303520" cy="397764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303520" cy="3977640"/>
                    </a:xfrm>
                    <a:prstGeom prst="rect"/>
                  </pic:spPr>
                </pic:pic>
              </a:graphicData>
            </a:graphic>
          </wp:inline>
        </w:drawing>
      </w:r>
    </w:p>
    <w:p>
      <w:pPr>
        <w:pStyle w:val="Heading3"/>
      </w:pPr>
      <w:r>
        <w:t>1.2 Chi è Agilae S.p.A.</w:t>
      </w:r>
    </w:p>
    <w:p>
      <w:pPr>
        <w:pStyle w:val="Heading3"/>
      </w:pPr>
      <w:r>
        <w:t>Missione</w:t>
      </w:r>
    </w:p>
    <w:p>
      <w:r>
        <w:t>Agilae S.p.A. si propone di essere un partner strategico per le aziende, offrendo soluzioni innovative che promuovono la crescita sostenibile e il miglioramento continuo. La nostra missione è supportare i clienti nella trasformazione digitale, garantendo al contempo il rispetto per l'ambiente e il benessere del capitale umano.</w:t>
      </w:r>
    </w:p>
    <w:p>
      <w:pPr>
        <w:pStyle w:val="Heading3"/>
      </w:pPr>
      <w:r>
        <w:t>Visione</w:t>
      </w:r>
    </w:p>
    <w:p>
      <w:r>
        <w:t>La nostra visione è quella di diventare leader nel settore della consulenza tecnologica, guidando il cambiamento e l'innovazione attraverso un approccio sostenibile. Vediamo un futuro in cui le tecnologie avanzate e le pratiche sostenibili si integrano perfettamente per creare valore duraturo per le imprese e la società.</w:t>
      </w:r>
    </w:p>
    <w:p>
      <w:pPr>
        <w:pStyle w:val="Heading3"/>
      </w:pPr>
      <w:r>
        <w:t>Valori Fondamentali</w:t>
      </w:r>
    </w:p>
    <w:p>
      <w:pPr>
        <w:pStyle w:val="ListBullet"/>
      </w:pPr>
      <w:r>
        <w:rPr>
          <w:b/>
        </w:rPr>
        <w:t>Sostenibilità:</w:t>
      </w:r>
      <w:r>
        <w:t xml:space="preserve"> Impegno costante per ridurre l'impatto ambientale e promuovere pratiche aziendali responsabili.</w:t>
      </w:r>
    </w:p>
    <w:p>
      <w:pPr>
        <w:pStyle w:val="ListBullet"/>
      </w:pPr>
      <w:r>
        <w:rPr>
          <w:b/>
        </w:rPr>
        <w:t>Innovazione:</w:t>
      </w:r>
      <w:r>
        <w:t xml:space="preserve"> Ricerca continua di soluzioni all'avanguardia per affrontare le sfide del mercato.</w:t>
      </w:r>
    </w:p>
    <w:p>
      <w:pPr>
        <w:pStyle w:val="ListBullet"/>
      </w:pPr>
      <w:r>
        <w:rPr>
          <w:b/>
        </w:rPr>
        <w:t>Trasparenza:</w:t>
      </w:r>
      <w:r>
        <w:t xml:space="preserve"> Comunicazione chiara e aperta con tutti gli stakeholder.</w:t>
      </w:r>
    </w:p>
    <w:p>
      <w:pPr>
        <w:pStyle w:val="ListBullet"/>
      </w:pPr>
      <w:r>
        <w:rPr>
          <w:b/>
        </w:rPr>
        <w:t>Responsabilità:</w:t>
      </w:r>
      <w:r>
        <w:t xml:space="preserve"> Dedizione a operare con integrità e rispetto per le persone e il pianeta.</w:t>
      </w:r>
    </w:p>
    <w:p>
      <w:r>
        <w:drawing>
          <wp:inline xmlns:a="http://schemas.openxmlformats.org/drawingml/2006/main" xmlns:pic="http://schemas.openxmlformats.org/drawingml/2006/picture">
            <wp:extent cx="5303520" cy="397764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303520" cy="3977640"/>
                    </a:xfrm>
                    <a:prstGeom prst="rect"/>
                  </pic:spPr>
                </pic:pic>
              </a:graphicData>
            </a:graphic>
          </wp:inline>
        </w:drawing>
      </w:r>
    </w:p>
    <w:p>
      <w:pPr>
        <w:pStyle w:val="Heading3"/>
      </w:pPr>
      <w:r>
        <w:t>Settori di Attività</w:t>
      </w:r>
    </w:p>
    <w:p>
      <w:r>
        <w:t>Agilae offre una vasta gamma di servizi, tra cui:</w:t>
      </w:r>
    </w:p>
    <w:p>
      <w:pPr>
        <w:pStyle w:val="ListBullet"/>
      </w:pPr>
      <w:r>
        <w:rPr>
          <w:b/>
        </w:rPr>
        <w:t>Consulenza Strategica:</w:t>
      </w:r>
      <w:r>
        <w:t xml:space="preserve"> Supporto nella definizione e implementazione di strategie aziendali orientate alla crescita sostenibile.</w:t>
      </w:r>
    </w:p>
    <w:p>
      <w:pPr>
        <w:pStyle w:val="ListBullet"/>
      </w:pPr>
      <w:r>
        <w:rPr>
          <w:b/>
        </w:rPr>
        <w:t>Soluzioni IT Personalizzate:</w:t>
      </w:r>
      <w:r>
        <w:t xml:space="preserve"> Sviluppo di software su misura, gestione infrastrutture IT e implementazione di sistemi ERP.</w:t>
      </w:r>
    </w:p>
    <w:p>
      <w:pPr>
        <w:pStyle w:val="ListBullet"/>
      </w:pPr>
      <w:r>
        <w:rPr>
          <w:b/>
        </w:rPr>
        <w:t>Cyber Security:</w:t>
      </w:r>
      <w:r>
        <w:t xml:space="preserve"> Protezione avanzata dei dati aziendali attraverso soluzioni di sicurezza informatica integrate.</w:t>
      </w:r>
    </w:p>
    <w:p>
      <w:pPr>
        <w:pStyle w:val="ListBullet"/>
      </w:pPr>
      <w:r>
        <w:rPr>
          <w:b/>
        </w:rPr>
        <w:t>Formazione e Supporto:</w:t>
      </w:r>
      <w:r>
        <w:t xml:space="preserve"> Programmi di formazione per lo sviluppo delle competenze digitali del personale e supporto tecnico continuo.</w:t>
      </w:r>
    </w:p>
    <w:p>
      <w:pPr>
        <w:pStyle w:val="ListBullet"/>
      </w:pPr>
      <w:r>
        <w:rPr>
          <w:b/>
        </w:rPr>
        <w:t>Progetti di Innovazione:</w:t>
      </w:r>
      <w:r>
        <w:t xml:space="preserve"> Collaborazione con start-up e aziende tecnologiche per lo sviluppo di progetti innovativi.</w:t>
      </w:r>
    </w:p>
    <w:p>
      <w:r>
        <w:drawing>
          <wp:inline xmlns:a="http://schemas.openxmlformats.org/drawingml/2006/main" xmlns:pic="http://schemas.openxmlformats.org/drawingml/2006/picture">
            <wp:extent cx="5303520" cy="397764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303520" cy="3977640"/>
                    </a:xfrm>
                    <a:prstGeom prst="rect"/>
                  </pic:spPr>
                </pic:pic>
              </a:graphicData>
            </a:graphic>
          </wp:inline>
        </w:drawing>
      </w:r>
    </w:p>
    <w:p>
      <w:pPr>
        <w:pStyle w:val="Heading3"/>
      </w:pPr>
      <w:r>
        <w:t>Risultati e Riconoscimenti</w:t>
      </w:r>
    </w:p>
    <w:p>
      <w:r>
        <w:t>Agilae ha ottenuto numerosi riconoscimenti per il suo impegno verso l'eccellenza e la sostenibilità, tra cui:</w:t>
      </w:r>
    </w:p>
    <w:p>
      <w:pPr>
        <w:pStyle w:val="ListBullet"/>
      </w:pPr>
      <w:r>
        <w:t>Certificazione ISO 9001:2015 per la gestione della qualità.</w:t>
      </w:r>
    </w:p>
    <w:p>
      <w:pPr>
        <w:pStyle w:val="ListBullet"/>
      </w:pPr>
      <w:r>
        <w:t>Certificazione ISO 56002:2019 per la gestione dell'innovazione.</w:t>
      </w:r>
    </w:p>
    <w:p>
      <w:pPr>
        <w:pStyle w:val="ListBullet"/>
      </w:pPr>
      <w:r>
        <w:t>Premio per l'Innovazione Sostenibile 2022.</w:t>
      </w:r>
    </w:p>
    <w:p>
      <w:pPr>
        <w:pStyle w:val="Heading3"/>
      </w:pPr>
      <w:r>
        <w:t>1.3 La nostra identità</w:t>
      </w:r>
    </w:p>
    <w:p>
      <w:pPr>
        <w:pStyle w:val="Heading3"/>
      </w:pPr>
      <w:r>
        <w:t>Posizionamento di Mercato</w:t>
      </w:r>
    </w:p>
    <w:p>
      <w:r>
        <w:t>Agilae S.p.A. è un leader riconosciuto nella consulenza strategica e direzionale, specializzato in innovazione e trasformazione digitale. L'azienda serve settori chiave come l'industria 4.0 e la sicurezza informatica, adattandosi rapidamente alle esigenze del mercato con soluzioni personalizzate.</w:t>
      </w:r>
    </w:p>
    <w:p>
      <w:pPr>
        <w:pStyle w:val="Heading3"/>
      </w:pPr>
      <w:r>
        <w:t>Elementi Distintivi</w:t>
      </w:r>
    </w:p>
    <w:p>
      <w:r>
        <w:t>Agilae si distingue per la sua capacità di integrare innovazione tecnologica e sostenibilità. Le partnership strategiche con istituzioni come il Politecnico di Milano e l'Università di Napoli rafforzano la sua posizione di avanguardia. Le certificazioni ISO 9001 e ISO 56002 testimoniano l'impegno per la qualità e l'innovazione.</w:t>
      </w:r>
    </w:p>
    <w:p>
      <w:pPr>
        <w:pStyle w:val="Heading3"/>
      </w:pPr>
      <w:r>
        <w:t>Sostenibilità nel Modello di Business</w:t>
      </w:r>
    </w:p>
    <w:p>
      <w:r>
        <w:t>La sostenibilità è integrata in ogni aspetto del modello di business di Agilae. L'azienda adotta pratiche sostenibili che riducono l'impatto ambientale e creano valore a lungo termine per tutte le parti interessate.</w:t>
      </w:r>
    </w:p>
    <w:p>
      <w:r>
        <w:drawing>
          <wp:inline xmlns:a="http://schemas.openxmlformats.org/drawingml/2006/main" xmlns:pic="http://schemas.openxmlformats.org/drawingml/2006/picture">
            <wp:extent cx="5303520" cy="397764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303520" cy="3977640"/>
                    </a:xfrm>
                    <a:prstGeom prst="rect"/>
                  </pic:spPr>
                </pic:pic>
              </a:graphicData>
            </a:graphic>
          </wp:inline>
        </w:drawing>
      </w:r>
    </w:p>
    <w:p>
      <w:pPr>
        <w:pStyle w:val="Heading3"/>
      </w:pPr>
      <w:r>
        <w:t>Approccio al Cliente</w:t>
      </w:r>
    </w:p>
    <w:p>
      <w:r>
        <w:t>Agilae adotta una filosofia centrata sul cliente, garantendo trasparenza e attenzione ai dettagli. L'azienda si impegna a comprendere le esigenze specifiche di ciascun cliente, offrendo soluzioni su misura che garantiscono la massima soddisfazione.</w:t>
      </w:r>
    </w:p>
    <w:p>
      <w:pPr>
        <w:pStyle w:val="Heading3"/>
      </w:pPr>
      <w:r>
        <w:t>1.4 La cultura aziendale</w:t>
      </w:r>
    </w:p>
    <w:p>
      <w:pPr>
        <w:pStyle w:val="Heading3"/>
      </w:pPr>
      <w:r>
        <w:t>Valori Aziendali</w:t>
      </w:r>
    </w:p>
    <w:p>
      <w:r>
        <w:t>Agilae S.p.A. si fonda su valori che permeano ogni aspetto della vita aziendale. Integrità, innovazione e sostenibilità sono i pilastri che guidano le nostre decisioni quotidiane. Questi valori si riflettono nelle nostre interazioni con clienti e partner, promuovendo un ambiente di fiducia e collaborazione.</w:t>
      </w:r>
    </w:p>
    <w:p>
      <w:r>
        <w:drawing>
          <wp:inline xmlns:a="http://schemas.openxmlformats.org/drawingml/2006/main" xmlns:pic="http://schemas.openxmlformats.org/drawingml/2006/picture">
            <wp:extent cx="5303520" cy="397764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303520" cy="3977640"/>
                    </a:xfrm>
                    <a:prstGeom prst="rect"/>
                  </pic:spPr>
                </pic:pic>
              </a:graphicData>
            </a:graphic>
          </wp:inline>
        </w:drawing>
      </w:r>
    </w:p>
    <w:p>
      <w:pPr>
        <w:pStyle w:val="Heading3"/>
      </w:pPr>
      <w:r>
        <w:t>Pratiche Interne</w:t>
      </w:r>
    </w:p>
    <w:p>
      <w:r>
        <w:t>Per promuovere un ambiente di lavoro stimolante, Agilae implementa iniziative di team building e programmi di inclusione. Le politiche di lavoro flessibile permettono ai dipendenti di bilanciare le esigenze personali e professionali, migliorando il benessere generale e la produttività.</w:t>
      </w:r>
    </w:p>
    <w:p>
      <w:r>
        <w:drawing>
          <wp:inline xmlns:a="http://schemas.openxmlformats.org/drawingml/2006/main" xmlns:pic="http://schemas.openxmlformats.org/drawingml/2006/picture">
            <wp:extent cx="5303520" cy="397764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303520" cy="3977640"/>
                    </a:xfrm>
                    <a:prstGeom prst="rect"/>
                  </pic:spPr>
                </pic:pic>
              </a:graphicData>
            </a:graphic>
          </wp:inline>
        </w:drawing>
      </w:r>
    </w:p>
    <w:p>
      <w:pPr>
        <w:pStyle w:val="Heading3"/>
      </w:pPr>
      <w:r>
        <w:t>Promozione dell'Innovazione</w:t>
      </w:r>
    </w:p>
    <w:p>
      <w:r>
        <w:t>L'innovazione è al centro della nostra cultura. Agilae incoraggia i dipendenti a esplorare nuove idee attraverso workshop creativi e hackathon interni. Questo approccio non solo stimola la crescita personale, ma contribuisce anche a sviluppare soluzioni all'avanguardia per i nostri clienti.</w:t>
      </w:r>
    </w:p>
    <w:p>
      <w:pPr>
        <w:pStyle w:val="Heading3"/>
      </w:pPr>
      <w:r>
        <w:t>Inclusione e Diversità</w:t>
      </w:r>
    </w:p>
    <w:p>
      <w:r>
        <w:t>Agilae è impegnata a creare un ambiente inclusivo dove ogni individuo è valorizzato. Le nostre politiche di diversità promuovono l'equità e l'inclusione, garantendo che ogni voce sia ascoltata e rispettata.</w:t>
      </w:r>
    </w:p>
    <w:p>
      <w:r>
        <w:t>La cultura aziendale di Agilae non solo supporta il raggiungimento degli obiettivi di sostenibilità, ma crea anche un ambiente di lavoro che ispira e motiva il nostro team a eccellere.</w:t>
      </w:r>
    </w:p>
    <w:p>
      <w:pPr>
        <w:pStyle w:val="Heading3"/>
      </w:pPr>
      <w:r>
        <w:t>1.5 Il processo di doppia materialità</w:t>
      </w:r>
    </w:p>
    <w:p>
      <w:pPr>
        <w:pStyle w:val="Heading3"/>
      </w:pPr>
      <w:r>
        <w:t>Concetto di Doppia Materialità</w:t>
      </w:r>
    </w:p>
    <w:p>
      <w:r>
        <w:t>La doppia materialità è un concetto chiave nel contesto della sostenibilità, che considera sia l'impatto dell'azienda su ambiente e società (materialità d'impatto), sia l'influenza dei fattori esterni sulle performance aziendali (materialità finanziaria). Questo approccio permette di identificare i temi che sono rilevanti per il successo a lungo termine dell'azienda e per il benessere delle comunità e dell'ambiente.</w:t>
      </w:r>
    </w:p>
    <w:p>
      <w:pPr>
        <w:pStyle w:val="Heading3"/>
      </w:pPr>
      <w:r>
        <w:t>Processo di Identificazione</w:t>
      </w:r>
    </w:p>
    <w:p>
      <w:r>
        <w:t>Il processo di identificazione dei temi materiali è stato condotto attraverso un'analisi di contesto dettagliata e il coinvolgimento degli stakeholder. Questo ha permesso di mappare le priorità aziendali in relazione agli impatti ambientali, sociali ed economici, garantendo un allineamento con gli European Sustainability Reporting Standards (ESRS).</w:t>
      </w:r>
    </w:p>
    <w:p>
      <w:pPr>
        <w:pStyle w:val="Heading3"/>
      </w:pPr>
      <w:r>
        <w:t>Mappatura degli Stakeholder</w:t>
      </w:r>
    </w:p>
    <w:p>
      <w:r>
        <w:t>Gli stakeholder sono stati classificati in primari, secondari e terziari, e sono stati coinvolti attraverso consultazioni e questionari. Questo ha garantito una comprensione approfondita delle loro aspettative e delle loro preoccupazioni.</w:t>
      </w:r>
    </w:p>
    <w:p>
      <w:r>
        <w:drawing>
          <wp:inline xmlns:a="http://schemas.openxmlformats.org/drawingml/2006/main" xmlns:pic="http://schemas.openxmlformats.org/drawingml/2006/picture">
            <wp:extent cx="5303520" cy="397764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303520" cy="3977640"/>
                    </a:xfrm>
                    <a:prstGeom prst="rect"/>
                  </pic:spPr>
                </pic:pic>
              </a:graphicData>
            </a:graphic>
          </wp:inline>
        </w:drawing>
      </w:r>
    </w:p>
    <w:p>
      <w:pPr>
        <w:pStyle w:val="Heading3"/>
      </w:pPr>
      <w:r>
        <w:t>Matrice di Doppia Materialità</w:t>
      </w:r>
    </w:p>
    <w:p>
      <w:r>
        <w:t>La matrice di doppia materialità evidenzia i temi prioritari, posizionandoli in base alla loro rilevanza per l'impatto ambientale e sociale e per la performance finanziaria. Questo strumento è fondamentale per guidare le decisioni strategiche dell'azienda.</w:t>
      </w:r>
    </w:p>
    <w:p>
      <w:r>
        <w:drawing>
          <wp:inline xmlns:a="http://schemas.openxmlformats.org/drawingml/2006/main" xmlns:pic="http://schemas.openxmlformats.org/drawingml/2006/picture">
            <wp:extent cx="5303520" cy="397764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303520" cy="3977640"/>
                    </a:xfrm>
                    <a:prstGeom prst="rect"/>
                  </pic:spPr>
                </pic:pic>
              </a:graphicData>
            </a:graphic>
          </wp:inline>
        </w:drawing>
      </w:r>
    </w:p>
    <w:p>
      <w:pPr>
        <w:pStyle w:val="Heading3"/>
      </w:pPr>
      <w:r>
        <w:t>Temi Materiali</w:t>
      </w:r>
    </w:p>
    <w:p>
      <w:r>
        <w:t>I principali temi ambientali, sociali ed economici/governance identificati includono:</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SDG</w:t>
            </w:r>
          </w:p>
        </w:tc>
        <w:tc>
          <w:tcPr>
            <w:tcW w:type="dxa" w:w="0"/>
          </w:tcPr>
          <w:p>
            <w:r>
              <w:t>Tema Materiale</w:t>
            </w:r>
          </w:p>
        </w:tc>
        <w:tc>
          <w:tcPr>
            <w:tcW w:type="dxa" w:w="0"/>
          </w:tcPr>
          <w:p>
            <w:r>
              <w:t>Impatto</w:t>
            </w:r>
          </w:p>
        </w:tc>
        <w:tc>
          <w:tcPr>
            <w:tcW w:type="dxa" w:w="0"/>
          </w:tcPr>
          <w:p>
            <w:r>
              <w:t>Tipo di Impatto</w:t>
            </w:r>
          </w:p>
        </w:tc>
        <w:tc>
          <w:tcPr>
            <w:tcW w:type="dxa" w:w="0"/>
          </w:tcPr>
          <w:p>
            <w:r>
              <w:t>Significatività</w:t>
            </w:r>
          </w:p>
        </w:tc>
        <w:tc>
          <w:tcPr>
            <w:tcW w:type="dxa" w:w="0"/>
          </w:tcPr>
          <w:p>
            <w:r>
              <w:t>Descrizione</w:t>
            </w:r>
          </w:p>
        </w:tc>
      </w:tr>
      <w:tr>
        <w:tc>
          <w:tcPr>
            <w:tcW w:type="dxa" w:w="0"/>
          </w:tcPr>
          <w:p>
            <w:r>
              <w:t>13</w:t>
            </w:r>
          </w:p>
        </w:tc>
        <w:tc>
          <w:tcPr>
            <w:tcW w:type="dxa" w:w="0"/>
          </w:tcPr>
          <w:p>
            <w:r>
              <w:t>Tecnologie in armonia con i bisogni di mercato</w:t>
            </w:r>
          </w:p>
        </w:tc>
        <w:tc>
          <w:tcPr>
            <w:tcW w:type="dxa" w:w="0"/>
          </w:tcPr>
          <w:p>
            <w:r>
              <w:t>Positivo</w:t>
            </w:r>
          </w:p>
        </w:tc>
        <w:tc>
          <w:tcPr>
            <w:tcW w:type="dxa" w:w="0"/>
          </w:tcPr>
          <w:p>
            <w:r>
              <w:t>Vantaggi competitivi, Posizionamento di mercato, Compliance legislativa</w:t>
            </w:r>
          </w:p>
        </w:tc>
        <w:tc>
          <w:tcPr>
            <w:tcW w:type="dxa" w:w="0"/>
          </w:tcPr>
          <w:p>
            <w:r>
              <w:t>★★★★★</w:t>
            </w:r>
          </w:p>
        </w:tc>
        <w:tc>
          <w:tcPr>
            <w:tcW w:type="dxa" w:w="0"/>
          </w:tcPr>
          <w:p>
            <w:r>
              <w:t>Implementazione di tecnologie green per migliorare l'efficienza energetica e ridurre le emissioni.</w:t>
            </w:r>
          </w:p>
        </w:tc>
      </w:tr>
      <w:tr>
        <w:tc>
          <w:tcPr>
            <w:tcW w:type="dxa" w:w="0"/>
          </w:tcPr>
          <w:p>
            <w:r>
              <w:t>9</w:t>
            </w:r>
          </w:p>
        </w:tc>
        <w:tc>
          <w:tcPr>
            <w:tcW w:type="dxa" w:w="0"/>
          </w:tcPr>
          <w:p>
            <w:r>
              <w:t>Qualità del prodotto e continuità operativa</w:t>
            </w:r>
          </w:p>
        </w:tc>
        <w:tc>
          <w:tcPr>
            <w:tcW w:type="dxa" w:w="0"/>
          </w:tcPr>
          <w:p>
            <w:r>
              <w:t>Positivo</w:t>
            </w:r>
          </w:p>
        </w:tc>
        <w:tc>
          <w:tcPr>
            <w:tcW w:type="dxa" w:w="0"/>
          </w:tcPr>
          <w:p>
            <w:r>
              <w:t>Intensificazione della concorrenza, Compliance legislativa, Assorbire CO2</w:t>
            </w:r>
          </w:p>
        </w:tc>
        <w:tc>
          <w:tcPr>
            <w:tcW w:type="dxa" w:w="0"/>
          </w:tcPr>
          <w:p>
            <w:r>
              <w:t>★★★★☆</w:t>
            </w:r>
          </w:p>
        </w:tc>
        <w:tc>
          <w:tcPr>
            <w:tcW w:type="dxa" w:w="0"/>
          </w:tcPr>
          <w:p>
            <w:r>
              <w:t>Garantire prodotti di alta qualità mantenendo una continuità operativa attraverso pratiche sostenibili.</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Capitolo 2: Our People</w:t>
      </w:r>
    </w:p>
    <w:p>
      <w:pPr>
        <w:pStyle w:val="Heading2"/>
      </w:pPr>
    </w:p>
    <w:p>
      <w:r>
        <w:t>Immagine rappresentativa del Capitolo 2</w:t>
      </w:r>
    </w:p>
    <w:p>
      <w:pPr>
        <w:pStyle w:val="Heading3"/>
      </w:pPr>
      <w:r>
        <w:t>Valorizzazione del Personale</w:t>
      </w:r>
    </w:p>
    <w:p>
      <w:r>
        <w:t>In Agilae, le persone sono considerate il cuore pulsante dell'azienda. Ogni dipendente è visto come una risorsa fondamentale, e il loro sviluppo è prioritario. Attraverso politiche di inclusione e programmi di crescita, ci impegniamo a creare un ambiente dove ogni individuo possa esprimere al meglio il proprio potenziale.</w:t>
      </w:r>
    </w:p>
    <w:p>
      <w:pPr>
        <w:pStyle w:val="Heading3"/>
      </w:pPr>
      <w:r>
        <w:t>Benessere e Salute</w:t>
      </w:r>
    </w:p>
    <w:p>
      <w:r>
        <w:t>Il benessere fisico e mentale dei nostri dipendenti è una priorità assoluta. Abbiamo implementato iniziative che spaziano da programmi di supporto psicologico a sessioni di yoga e mindfulness. Queste attività non solo migliorano la qualità della vita lavorativa, ma aumentano anche la produttività e la soddisfazione generale.</w:t>
      </w:r>
    </w:p>
    <w:p>
      <w:pPr>
        <w:pStyle w:val="Heading3"/>
      </w:pPr>
      <w:r>
        <w:t>Formazione e Sviluppo</w:t>
      </w:r>
    </w:p>
    <w:p>
      <w:r>
        <w:t>Investiamo significativamente nella formazione continua, offrendo corsi che vanno dalla formazione obbligatoria a quella tecnica e specifica. Questo non solo arricchisce le competenze dei nostri dipendenti, ma li prepara anche a nuove sfide professionali.</w:t>
      </w:r>
    </w:p>
    <w:p>
      <w:r>
        <w:drawing>
          <wp:inline xmlns:a="http://schemas.openxmlformats.org/drawingml/2006/main" xmlns:pic="http://schemas.openxmlformats.org/drawingml/2006/picture">
            <wp:extent cx="5303520" cy="397764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303520" cy="3977640"/>
                    </a:xfrm>
                    <a:prstGeom prst="rect"/>
                  </pic:spPr>
                </pic:pic>
              </a:graphicData>
            </a:graphic>
          </wp:inline>
        </w:drawing>
      </w:r>
    </w:p>
    <w:p>
      <w:pPr>
        <w:pStyle w:val="Heading3"/>
      </w:pPr>
      <w:r>
        <w:t>Cultura Aziendale</w:t>
      </w:r>
    </w:p>
    <w:p>
      <w:r>
        <w:t>La nostra cultura aziendale promuove un ambiente di lavoro positivo e collaborativo. Valorizziamo la diversità e l'inclusione, e crediamo che un team eterogeneo sia la chiave per l'innovazione e il successo. I nostri valori fondamentali guidano ogni decisione e azione, creando un senso di appartenenza e motivazione tra i dipendenti.</w:t>
      </w:r>
    </w:p>
    <w:p>
      <w:pPr>
        <w:pStyle w:val="Heading3"/>
      </w:pPr>
      <w:r>
        <w:t>Grado di Soddisfazione del Lavoro</w:t>
      </w:r>
    </w:p>
    <w:p>
      <w:r>
        <w:drawing>
          <wp:inline xmlns:a="http://schemas.openxmlformats.org/drawingml/2006/main" xmlns:pic="http://schemas.openxmlformats.org/drawingml/2006/picture">
            <wp:extent cx="5303520" cy="397764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303520" cy="3977640"/>
                    </a:xfrm>
                    <a:prstGeom prst="rect"/>
                  </pic:spPr>
                </pic:pic>
              </a:graphicData>
            </a:graphic>
          </wp:inline>
        </w:drawing>
      </w:r>
    </w:p>
    <w:p>
      <w:pPr>
        <w:pStyle w:val="Heading3"/>
      </w:pPr>
      <w:r>
        <w:t>Statistiche sul Personale</w:t>
      </w:r>
    </w:p>
    <w:tbl>
      <w:tblPr>
        <w:tblW w:type="auto" w:w="0"/>
        <w:tblLook w:firstColumn="1" w:firstRow="1" w:lastColumn="0" w:lastRow="0" w:noHBand="0" w:noVBand="1" w:val="04A0"/>
      </w:tblPr>
      <w:tblGrid>
        <w:gridCol w:w="2880"/>
        <w:gridCol w:w="2880"/>
        <w:gridCol w:w="2880"/>
      </w:tblGrid>
      <w:tr>
        <w:tc>
          <w:tcPr>
            <w:tcW w:type="dxa" w:w="0"/>
          </w:tcPr>
          <w:p>
            <w:r>
              <w:t>Contratto</w:t>
            </w:r>
          </w:p>
        </w:tc>
        <w:tc>
          <w:tcPr>
            <w:tcW w:type="dxa" w:w="0"/>
          </w:tcPr>
          <w:p>
            <w:r>
              <w:t>Uomini</w:t>
            </w:r>
          </w:p>
        </w:tc>
        <w:tc>
          <w:tcPr>
            <w:tcW w:type="dxa" w:w="0"/>
          </w:tcPr>
          <w:p>
            <w:r>
              <w:t>Donne</w:t>
            </w:r>
          </w:p>
        </w:tc>
      </w:tr>
      <w:tr>
        <w:tc>
          <w:tcPr>
            <w:tcW w:type="dxa" w:w="0"/>
          </w:tcPr>
          <w:p>
            <w:r>
              <w:t>Tempo Indeterminato</w:t>
            </w:r>
          </w:p>
        </w:tc>
        <w:tc>
          <w:tcPr>
            <w:tcW w:type="dxa" w:w="0"/>
          </w:tcPr>
          <w:p>
            <w:r>
              <w:t>200</w:t>
            </w:r>
          </w:p>
        </w:tc>
        <w:tc>
          <w:tcPr>
            <w:tcW w:type="dxa" w:w="0"/>
          </w:tcPr>
          <w:p>
            <w:r>
              <w:t>150</w:t>
            </w:r>
          </w:p>
        </w:tc>
      </w:tr>
      <w:tr>
        <w:tc>
          <w:tcPr>
            <w:tcW w:type="dxa" w:w="0"/>
          </w:tcPr>
          <w:p>
            <w:r>
              <w:t>Tempo Determinato</w:t>
            </w:r>
          </w:p>
        </w:tc>
        <w:tc>
          <w:tcPr>
            <w:tcW w:type="dxa" w:w="0"/>
          </w:tcPr>
          <w:p>
            <w:r>
              <w:t>50</w:t>
            </w:r>
          </w:p>
        </w:tc>
        <w:tc>
          <w:tcPr>
            <w:tcW w:type="dxa" w:w="0"/>
          </w:tcPr>
          <w:p>
            <w:r>
              <w:t>30</w:t>
            </w:r>
          </w:p>
        </w:tc>
      </w:tr>
      <w:tr>
        <w:tc>
          <w:tcPr>
            <w:tcW w:type="dxa" w:w="0"/>
          </w:tcPr>
          <w:p>
            <w:r>
              <w:t>Totale Dipendenti per Sesso</w:t>
            </w:r>
          </w:p>
        </w:tc>
        <w:tc>
          <w:tcPr>
            <w:tcW w:type="dxa" w:w="0"/>
          </w:tcPr>
          <w:p>
            <w:r>
              <w:t>250</w:t>
            </w:r>
          </w:p>
        </w:tc>
        <w:tc>
          <w:tcPr>
            <w:tcW w:type="dxa" w:w="0"/>
          </w:tcPr>
          <w:p>
            <w:r>
              <w:t>180</w:t>
            </w:r>
          </w:p>
        </w:tc>
      </w:tr>
      <w:tr>
        <w:tc>
          <w:tcPr>
            <w:tcW w:type="dxa" w:w="0"/>
          </w:tcPr>
          <w:p>
            <w:r>
              <w:t>Totale Dipendenti</w:t>
            </w:r>
          </w:p>
        </w:tc>
        <w:tc>
          <w:tcPr>
            <w:tcW w:type="dxa" w:w="0"/>
          </w:tcPr>
          <w:p>
            <w:r>
              <w:t>430</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2.1 Il Green Team</w:t>
      </w:r>
    </w:p>
    <w:p>
      <w:pPr>
        <w:pStyle w:val="Heading3"/>
      </w:pPr>
    </w:p>
    <w:p>
      <w:pPr>
        <w:pStyle w:val="Heading3"/>
      </w:pPr>
      <w:r>
        <w:t>Composizione del Team</w:t>
      </w:r>
    </w:p>
    <w:p>
      <w:r>
        <w:t>Il Green Team di Agilae è composto da 20 dipendenti, con una crescita del 25% rispetto all'anno precedente. Il team è caratterizzato da una diversità di genere equilibrata, con il 50% di donne e il 50% di uomini. L'età media dei membri è di 35 anni, con una rappresentanza significativa di giovani professionisti sotto i 30 anni.</w:t>
      </w:r>
    </w:p>
    <w:p>
      <w:pPr>
        <w:pStyle w:val="Heading3"/>
      </w:pPr>
      <w:r>
        <w:t>Ruoli Chiave</w:t>
      </w:r>
    </w:p>
    <w:p>
      <w:r>
        <w:t>I ruoli principali all'interno del Green Team includono il Responsabile della Sostenibilità, il Coordinatore delle Iniziative Ambientali, e il Consulente per l'Efficienza Energetica. Ogni membro del team ha responsabilità specifiche che contribuiscono al raggiungimento degli obiettivi di sostenibilità dell'azienda.</w:t>
      </w:r>
    </w:p>
    <w:p>
      <w:pPr>
        <w:pStyle w:val="Heading3"/>
      </w:pPr>
      <w:r>
        <w:t>Valori Condivisi</w:t>
      </w:r>
    </w:p>
    <w:p>
      <w:r>
        <w:t>Il Green Team incarna i valori aziendali di innovazione, responsabilità e collaborazione. Questi valori sono alla base di ogni progetto e iniziativa, guidando il team verso soluzioni sostenibili e innovative che supportano la missione di Agilae.</w:t>
      </w:r>
    </w:p>
    <w:p>
      <w:pPr>
        <w:pStyle w:val="Heading3"/>
      </w:pPr>
      <w:r>
        <w:t>Importanza della Collaborazione</w:t>
      </w:r>
    </w:p>
    <w:p>
      <w:r>
        <w:t>La collaborazione è fondamentale per il successo del Green Team. Attraverso il lavoro di squadra, il team riesce a sviluppare strategie efficaci che promuovono la sostenibilità ambientale e sociale all'interno dell'azienda.</w:t>
      </w:r>
    </w:p>
    <w:p>
      <w:pPr>
        <w:pStyle w:val="Heading3"/>
      </w:pPr>
      <w:r>
        <w:t>Contributo agli Obiettivi di Sostenibilità</w:t>
      </w:r>
    </w:p>
    <w:p>
      <w:r>
        <w:t>Il Green Team gioca un ruolo cruciale nel raggiungimento degli obiettivi di sostenibilità di Agilae, lavorando su progetti che riducono l'impatto ambientale e promuovono pratiche aziendali responsabili.</w:t>
      </w:r>
    </w:p>
    <w:p>
      <w:pPr>
        <w:pStyle w:val="Heading3"/>
      </w:pPr>
      <w:r>
        <w:t>Tabella del Personale</w:t>
      </w:r>
    </w:p>
    <w:tbl>
      <w:tblPr>
        <w:tblW w:type="auto" w:w="0"/>
        <w:tblLook w:firstColumn="1" w:firstRow="1" w:lastColumn="0" w:lastRow="0" w:noHBand="0" w:noVBand="1" w:val="04A0"/>
      </w:tblPr>
      <w:tblGrid>
        <w:gridCol w:w="2880"/>
        <w:gridCol w:w="2880"/>
        <w:gridCol w:w="2880"/>
      </w:tblGrid>
      <w:tr>
        <w:tc>
          <w:tcPr>
            <w:tcW w:type="dxa" w:w="0"/>
          </w:tcPr>
          <w:p>
            <w:r>
              <w:t>Contratto</w:t>
            </w:r>
          </w:p>
        </w:tc>
        <w:tc>
          <w:tcPr>
            <w:tcW w:type="dxa" w:w="0"/>
          </w:tcPr>
          <w:p>
            <w:r>
              <w:t>Uomini</w:t>
            </w:r>
          </w:p>
        </w:tc>
        <w:tc>
          <w:tcPr>
            <w:tcW w:type="dxa" w:w="0"/>
          </w:tcPr>
          <w:p>
            <w:r>
              <w:t>Donne</w:t>
            </w:r>
          </w:p>
        </w:tc>
      </w:tr>
      <w:tr>
        <w:tc>
          <w:tcPr>
            <w:tcW w:type="dxa" w:w="0"/>
          </w:tcPr>
          <w:p>
            <w:r>
              <w:t>Tempo Indeterminato</w:t>
            </w:r>
          </w:p>
        </w:tc>
        <w:tc>
          <w:tcPr>
            <w:tcW w:type="dxa" w:w="0"/>
          </w:tcPr>
          <w:p>
            <w:r>
              <w:t>10</w:t>
            </w:r>
          </w:p>
        </w:tc>
        <w:tc>
          <w:tcPr>
            <w:tcW w:type="dxa" w:w="0"/>
          </w:tcPr>
          <w:p>
            <w:r>
              <w:t>10</w:t>
            </w:r>
          </w:p>
        </w:tc>
      </w:tr>
      <w:tr>
        <w:tc>
          <w:tcPr>
            <w:tcW w:type="dxa" w:w="0"/>
          </w:tcPr>
          <w:p>
            <w:r>
              <w:t>Tempo Determinato</w:t>
            </w:r>
          </w:p>
        </w:tc>
        <w:tc>
          <w:tcPr>
            <w:tcW w:type="dxa" w:w="0"/>
          </w:tcPr>
          <w:p>
            <w:r>
              <w:t>5</w:t>
            </w:r>
          </w:p>
        </w:tc>
        <w:tc>
          <w:tcPr>
            <w:tcW w:type="dxa" w:w="0"/>
          </w:tcPr>
          <w:p>
            <w:r>
              <w:t>5</w:t>
            </w:r>
          </w:p>
        </w:tc>
      </w:tr>
      <w:tr>
        <w:tc>
          <w:tcPr>
            <w:tcW w:type="dxa" w:w="0"/>
          </w:tcPr>
          <w:p>
            <w:r>
              <w:t>Totale Dipendenti per Sesso</w:t>
            </w:r>
          </w:p>
        </w:tc>
        <w:tc>
          <w:tcPr>
            <w:tcW w:type="dxa" w:w="0"/>
          </w:tcPr>
          <w:p>
            <w:r>
              <w:t>15</w:t>
            </w:r>
          </w:p>
        </w:tc>
        <w:tc>
          <w:tcPr>
            <w:tcW w:type="dxa" w:w="0"/>
          </w:tcPr>
          <w:p>
            <w:r>
              <w:t>15</w:t>
            </w:r>
          </w:p>
        </w:tc>
      </w:tr>
      <w:tr>
        <w:tc>
          <w:tcPr>
            <w:tcW w:type="dxa" w:w="0"/>
          </w:tcPr>
          <w:p>
            <w:r>
              <w:t>Totale Dipendenti</w:t>
            </w:r>
          </w:p>
        </w:tc>
        <w:tc>
          <w:tcPr>
            <w:tcW w:type="dxa" w:w="0"/>
          </w:tcPr>
          <w:p>
            <w:r>
              <w:t>30</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2.2 Attrazione e conservazione dei talenti</w:t>
      </w:r>
    </w:p>
    <w:p>
      <w:r>
        <w:drawing>
          <wp:inline xmlns:a="http://schemas.openxmlformats.org/drawingml/2006/main" xmlns:pic="http://schemas.openxmlformats.org/drawingml/2006/picture">
            <wp:extent cx="5303520" cy="397764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303520" cy="3977640"/>
                    </a:xfrm>
                    <a:prstGeom prst="rect"/>
                  </pic:spPr>
                </pic:pic>
              </a:graphicData>
            </a:graphic>
          </wp:inline>
        </w:drawing>
      </w:r>
    </w:p>
    <w:p>
      <w:pPr>
        <w:pStyle w:val="Heading3"/>
      </w:pPr>
    </w:p>
    <w:p>
      <w:pPr>
        <w:pStyle w:val="Heading3"/>
      </w:pPr>
      <w:r>
        <w:t>Strategie di Recruitment</w:t>
      </w:r>
    </w:p>
    <w:p>
      <w:r>
        <w:t>Agilae S.p.A. adotta un approccio innovativo per attrarre nuovi talenti, combinando processi di selezione strutturati con un forte employer branding. L'azienda utilizza piattaforme digitali e social media per raggiungere un pubblico più ampio, garantendo al contempo un'esperienza di candidatura fluida e coinvolgente.</w:t>
      </w:r>
    </w:p>
    <w:p>
      <w:pPr>
        <w:pStyle w:val="Heading3"/>
      </w:pPr>
      <w:r>
        <w:t>Politiche di Retention</w:t>
      </w:r>
    </w:p>
    <w:p>
      <w:r>
        <w:t>Per mantenere il personale, Agilae offre piani di carriera personalizzati, benefit competitivi e un ambiente di lavoro che promuove l'equilibrio vita-lavoro. L'azienda investe in programmi di benessere e flessibilità lavorativa, riducendo così il turnover e migliorando la soddisfazione dei dipendenti.</w:t>
      </w:r>
    </w:p>
    <w:p>
      <w:pPr>
        <w:pStyle w:val="Heading3"/>
      </w:pPr>
      <w:r>
        <w:t>Formazione e Sviluppo</w:t>
      </w:r>
    </w:p>
    <w:p>
      <w:r>
        <w:t>Agilae investe significativamente nella formazione continua dei propri dipendenti, offrendo opportunità di crescita professionale attraverso corsi di aggiornamento, workshop e programmi di mentoring. Queste iniziative sono progettate per sviluppare competenze chiave e supportare il percorso di carriera dei dipendenti.</w:t>
      </w:r>
    </w:p>
    <w:p>
      <w:pPr>
        <w:pStyle w:val="Heading3"/>
      </w:pPr>
      <w:r>
        <w:t>Risultati Ottenuti</w:t>
      </w:r>
    </w:p>
    <w:p>
      <w:r>
        <w:t>Nel 2024, Agilae ha registrato un tasso di retention del 94%, con un incremento del 4% rispetto all'anno precedente. Sono state effettuate 200 nuove assunzioni, mentre il turnover è stato ridotto del 10% grazie alle politiche di retention efficaci.</w:t>
      </w:r>
    </w:p>
    <w:p>
      <w:pPr>
        <w:pStyle w:val="Heading3"/>
      </w:pPr>
      <w:r>
        <w:t>Tabelle delle Assunzioni e Cessazioni</w:t>
      </w:r>
    </w:p>
    <w:tbl>
      <w:tblPr>
        <w:tblW w:type="auto" w:w="0"/>
        <w:tblLook w:firstColumn="1" w:firstRow="1" w:lastColumn="0" w:lastRow="0" w:noHBand="0" w:noVBand="1" w:val="04A0"/>
      </w:tblPr>
      <w:tblGrid>
        <w:gridCol w:w="2880"/>
        <w:gridCol w:w="2880"/>
        <w:gridCol w:w="2880"/>
      </w:tblGrid>
      <w:tr>
        <w:tc>
          <w:tcPr>
            <w:tcW w:type="dxa" w:w="0"/>
          </w:tcPr>
          <w:p>
            <w:r>
              <w:t>Età</w:t>
            </w:r>
          </w:p>
        </w:tc>
        <w:tc>
          <w:tcPr>
            <w:tcW w:type="dxa" w:w="0"/>
          </w:tcPr>
          <w:p>
            <w:r>
              <w:t>Uomini</w:t>
            </w:r>
          </w:p>
        </w:tc>
        <w:tc>
          <w:tcPr>
            <w:tcW w:type="dxa" w:w="0"/>
          </w:tcPr>
          <w:p>
            <w:r>
              <w:t>Donne</w:t>
            </w:r>
          </w:p>
        </w:tc>
      </w:tr>
      <w:tr>
        <w:tc>
          <w:tcPr>
            <w:tcW w:type="dxa" w:w="0"/>
          </w:tcPr>
          <w:p>
            <w:r>
              <w:t>Minori di 30 anni</w:t>
            </w:r>
          </w:p>
        </w:tc>
        <w:tc>
          <w:tcPr>
            <w:tcW w:type="dxa" w:w="0"/>
          </w:tcPr>
          <w:p>
            <w:r>
              <w:t>38</w:t>
            </w:r>
          </w:p>
        </w:tc>
        <w:tc>
          <w:tcPr>
            <w:tcW w:type="dxa" w:w="0"/>
          </w:tcPr>
          <w:p>
            <w:r>
              <w:t>28</w:t>
            </w:r>
          </w:p>
        </w:tc>
      </w:tr>
      <w:tr>
        <w:tc>
          <w:tcPr>
            <w:tcW w:type="dxa" w:w="0"/>
          </w:tcPr>
          <w:p>
            <w:r>
              <w:t>Tra 30 e 50 anni</w:t>
            </w:r>
          </w:p>
        </w:tc>
        <w:tc>
          <w:tcPr>
            <w:tcW w:type="dxa" w:w="0"/>
          </w:tcPr>
          <w:p>
            <w:r>
              <w:t>58</w:t>
            </w:r>
          </w:p>
        </w:tc>
        <w:tc>
          <w:tcPr>
            <w:tcW w:type="dxa" w:w="0"/>
          </w:tcPr>
          <w:p>
            <w:r>
              <w:t>48</w:t>
            </w:r>
          </w:p>
        </w:tc>
      </w:tr>
      <w:tr>
        <w:tc>
          <w:tcPr>
            <w:tcW w:type="dxa" w:w="0"/>
          </w:tcPr>
          <w:p>
            <w:r>
              <w:t>Maggiori di 50 anni</w:t>
            </w:r>
          </w:p>
        </w:tc>
        <w:tc>
          <w:tcPr>
            <w:tcW w:type="dxa" w:w="0"/>
          </w:tcPr>
          <w:p>
            <w:r>
              <w:t>24</w:t>
            </w:r>
          </w:p>
        </w:tc>
        <w:tc>
          <w:tcPr>
            <w:tcW w:type="dxa" w:w="0"/>
          </w:tcPr>
          <w:p>
            <w:r>
              <w:t>19</w:t>
            </w:r>
          </w:p>
        </w:tc>
      </w:tr>
      <w:tr>
        <w:tc>
          <w:tcPr>
            <w:tcW w:type="dxa" w:w="0"/>
          </w:tcPr>
          <w:p>
            <w:r>
              <w:t>Totale per Genere</w:t>
            </w:r>
          </w:p>
        </w:tc>
        <w:tc>
          <w:tcPr>
            <w:tcW w:type="dxa" w:w="0"/>
          </w:tcPr>
          <w:p>
            <w:r>
              <w:t>120</w:t>
            </w:r>
          </w:p>
        </w:tc>
        <w:tc>
          <w:tcPr>
            <w:tcW w:type="dxa" w:w="0"/>
          </w:tcPr>
          <w:p>
            <w:r>
              <w:t>95</w:t>
            </w:r>
          </w:p>
        </w:tc>
      </w:tr>
      <w:tr>
        <w:tc>
          <w:tcPr>
            <w:tcW w:type="dxa" w:w="0"/>
          </w:tcPr>
          <w:p>
            <w:r>
              <w:t>Totale</w:t>
            </w:r>
          </w:p>
        </w:tc>
        <w:tc>
          <w:tcPr>
            <w:tcW w:type="dxa" w:w="0"/>
          </w:tcPr>
          <w:p>
            <w:r>
              <w:t>215</w:t>
            </w:r>
          </w:p>
        </w:tc>
        <w:tc>
          <w:tcPr>
            <w:tcW w:type="dxa" w:w="0"/>
          </w:tcPr>
          <w:p/>
        </w:tc>
      </w:tr>
    </w:tbl>
    <w:p>
      <w:r>
        <w:t>Assunzioni 2020-2025</w:t>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t>Cessazioni 2020-2025</w:t>
        <w:t xml:space="preserve"> </w:t>
      </w:r>
    </w:p>
    <w:p>
      <w:r>
        <w:drawing>
          <wp:inline xmlns:a="http://schemas.openxmlformats.org/drawingml/2006/main" xmlns:pic="http://schemas.openxmlformats.org/drawingml/2006/picture">
            <wp:extent cx="5303520" cy="397764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5303520" cy="3977640"/>
                    </a:xfrm>
                    <a:prstGeom prst="rect"/>
                  </pic:spPr>
                </pic:pic>
              </a:graphicData>
            </a:graphic>
          </wp:inline>
        </w:drawing>
      </w:r>
    </w:p>
    <w:tbl>
      <w:tblPr>
        <w:tblW w:type="auto" w:w="0"/>
        <w:tblLook w:firstColumn="1" w:firstRow="1" w:lastColumn="0" w:lastRow="0" w:noHBand="0" w:noVBand="1" w:val="04A0"/>
      </w:tblPr>
      <w:tblGrid>
        <w:gridCol w:w="2880"/>
        <w:gridCol w:w="2880"/>
        <w:gridCol w:w="2880"/>
      </w:tblGrid>
      <w:tr>
        <w:tc>
          <w:tcPr>
            <w:tcW w:type="dxa" w:w="0"/>
          </w:tcPr>
          <w:p>
            <w:r>
              <w:t>Età</w:t>
            </w:r>
          </w:p>
        </w:tc>
        <w:tc>
          <w:tcPr>
            <w:tcW w:type="dxa" w:w="0"/>
          </w:tcPr>
          <w:p>
            <w:r>
              <w:t>Uomini</w:t>
            </w:r>
          </w:p>
        </w:tc>
        <w:tc>
          <w:tcPr>
            <w:tcW w:type="dxa" w:w="0"/>
          </w:tcPr>
          <w:p>
            <w:r>
              <w:t>Donne</w:t>
            </w:r>
          </w:p>
        </w:tc>
      </w:tr>
      <w:tr>
        <w:tc>
          <w:tcPr>
            <w:tcW w:type="dxa" w:w="0"/>
          </w:tcPr>
          <w:p>
            <w:r>
              <w:t>Minori di 30 anni</w:t>
            </w:r>
          </w:p>
        </w:tc>
        <w:tc>
          <w:tcPr>
            <w:tcW w:type="dxa" w:w="0"/>
          </w:tcPr>
          <w:p>
            <w:r>
              <w:t>14</w:t>
            </w:r>
          </w:p>
        </w:tc>
        <w:tc>
          <w:tcPr>
            <w:tcW w:type="dxa" w:w="0"/>
          </w:tcPr>
          <w:p>
            <w:r>
              <w:t>9</w:t>
            </w:r>
          </w:p>
        </w:tc>
      </w:tr>
      <w:tr>
        <w:tc>
          <w:tcPr>
            <w:tcW w:type="dxa" w:w="0"/>
          </w:tcPr>
          <w:p>
            <w:r>
              <w:t>Tra 30 e 50 anni</w:t>
            </w:r>
          </w:p>
        </w:tc>
        <w:tc>
          <w:tcPr>
            <w:tcW w:type="dxa" w:w="0"/>
          </w:tcPr>
          <w:p>
            <w:r>
              <w:t>24</w:t>
            </w:r>
          </w:p>
        </w:tc>
        <w:tc>
          <w:tcPr>
            <w:tcW w:type="dxa" w:w="0"/>
          </w:tcPr>
          <w:p>
            <w:r>
              <w:t>14</w:t>
            </w:r>
          </w:p>
        </w:tc>
      </w:tr>
      <w:tr>
        <w:tc>
          <w:tcPr>
            <w:tcW w:type="dxa" w:w="0"/>
          </w:tcPr>
          <w:p>
            <w:r>
              <w:t>Maggiori di 50 anni</w:t>
            </w:r>
          </w:p>
        </w:tc>
        <w:tc>
          <w:tcPr>
            <w:tcW w:type="dxa" w:w="0"/>
          </w:tcPr>
          <w:p>
            <w:r>
              <w:t>9</w:t>
            </w:r>
          </w:p>
        </w:tc>
        <w:tc>
          <w:tcPr>
            <w:tcW w:type="dxa" w:w="0"/>
          </w:tcPr>
          <w:p>
            <w:r>
              <w:t>7</w:t>
            </w:r>
          </w:p>
        </w:tc>
      </w:tr>
      <w:tr>
        <w:tc>
          <w:tcPr>
            <w:tcW w:type="dxa" w:w="0"/>
          </w:tcPr>
          <w:p>
            <w:r>
              <w:t>Totale per Genere</w:t>
            </w:r>
          </w:p>
        </w:tc>
        <w:tc>
          <w:tcPr>
            <w:tcW w:type="dxa" w:w="0"/>
          </w:tcPr>
          <w:p>
            <w:r>
              <w:t>47</w:t>
            </w:r>
          </w:p>
        </w:tc>
        <w:tc>
          <w:tcPr>
            <w:tcW w:type="dxa" w:w="0"/>
          </w:tcPr>
          <w:p>
            <w:r>
              <w:t>30</w:t>
            </w:r>
          </w:p>
        </w:tc>
      </w:tr>
      <w:tr>
        <w:tc>
          <w:tcPr>
            <w:tcW w:type="dxa" w:w="0"/>
          </w:tcPr>
          <w:p>
            <w:r>
              <w:t>Totale</w:t>
            </w:r>
          </w:p>
        </w:tc>
        <w:tc>
          <w:tcPr>
            <w:tcW w:type="dxa" w:w="0"/>
          </w:tcPr>
          <w:p>
            <w:r>
              <w:t>77</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2.3 Crescita e sviluppo del personale</w:t>
      </w:r>
    </w:p>
    <w:p>
      <w:r>
        <w:drawing>
          <wp:inline xmlns:a="http://schemas.openxmlformats.org/drawingml/2006/main" xmlns:pic="http://schemas.openxmlformats.org/drawingml/2006/picture">
            <wp:extent cx="5303520" cy="397764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5303520" cy="3977640"/>
                    </a:xfrm>
                    <a:prstGeom prst="rect"/>
                  </pic:spPr>
                </pic:pic>
              </a:graphicData>
            </a:graphic>
          </wp:inline>
        </w:drawing>
      </w:r>
    </w:p>
    <w:p>
      <w:pPr>
        <w:pStyle w:val="Heading3"/>
      </w:pPr>
    </w:p>
    <w:p>
      <w:pPr>
        <w:pStyle w:val="Heading3"/>
      </w:pPr>
      <w:r>
        <w:t>Programmi di Formazione</w:t>
      </w:r>
    </w:p>
    <w:p>
      <w:r>
        <w:t>Agilae S.p.A. offre una vasta gamma di programmi di formazione per i suoi dipendenti, tra cui corsi, workshop e seminari. Questi programmi sono progettati per sviluppare competenze tecniche e trasversali, essenziali per il successo professionale. I dipendenti hanno accesso a corsi di aggiornamento su tecnologie emergenti, workshop su soft skills e seminari su leadership e gestione del cambiamento.</w:t>
      </w:r>
    </w:p>
    <w:p>
      <w:pPr>
        <w:pStyle w:val="Heading3"/>
      </w:pPr>
      <w:r>
        <w:t>Piani di Carriera</w:t>
      </w:r>
    </w:p>
    <w:p>
      <w:r>
        <w:t>L'azienda supporta la crescita interna attraverso piani di carriera personalizzati, che aiutano i dipendenti a raggiungere i loro obiettivi professionali. Agilae promuove attivamente le promozioni interne, valorizzando il talento e l'impegno dei suoi collaboratori. I dipendenti sono incoraggiati a partecipare a programmi di sviluppo professionale per prepararsi a ruoli di maggiore responsabilità.</w:t>
      </w:r>
    </w:p>
    <w:p>
      <w:pPr>
        <w:pStyle w:val="Heading3"/>
      </w:pPr>
      <w:r>
        <w:t>Iniziative Speciali</w:t>
      </w:r>
    </w:p>
    <w:p>
      <w:r>
        <w:t>Agilae ha implementato iniziative speciali come programmi di mentoring e coaching, oltre a partnership con istituzioni educative di prestigio. Queste iniziative offrono ai dipendenti l'opportunità di apprendere da esperti del settore e di espandere le loro reti professionali.</w:t>
      </w:r>
    </w:p>
    <w:p>
      <w:pPr>
        <w:pStyle w:val="Heading3"/>
      </w:pPr>
      <w:r>
        <w:t>Risultati</w:t>
      </w:r>
    </w:p>
    <w:p>
      <w:r>
        <w:t>Nel 2024, Agilae ha erogato un totale di 59,000 ore di formazione, suddivise tra formazione obbligatoria, tecnica e specifica. I feedback dei dipendenti indicano un alto livello di soddisfazione e un miglioramento significativo delle competenze professionali.</w:t>
      </w:r>
    </w:p>
    <w:p>
      <w:r>
        <w:drawing>
          <wp:inline xmlns:a="http://schemas.openxmlformats.org/drawingml/2006/main" xmlns:pic="http://schemas.openxmlformats.org/drawingml/2006/picture">
            <wp:extent cx="5303520" cy="3977640"/>
            <wp:docPr id="16" name="Picture 16"/>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303520" cy="3977640"/>
                    </a:xfrm>
                    <a:prstGeom prst="rect"/>
                  </pic:spPr>
                </pic:pic>
              </a:graphicData>
            </a:graphic>
          </wp:inline>
        </w:drawing>
      </w:r>
    </w:p>
    <w:p>
      <w:pPr>
        <w:pStyle w:val="Heading3"/>
      </w:pPr>
      <w:r>
        <w:t>2.4 Salute mentale e fisica delle persone</w:t>
      </w:r>
    </w:p>
    <w:p>
      <w:pPr>
        <w:pStyle w:val="Heading3"/>
      </w:pPr>
      <w:r>
        <w:t>Programmi di Supporto</w:t>
      </w:r>
    </w:p>
    <w:p>
      <w:r>
        <w:t>Agilae S.p.A. offre ai suoi dipendenti bonus per il benessere psicologico e accesso a servizi di consulenza. Questi programmi sono progettati per supportare il benessere mentale, offrendo risorse e supporto personalizzato per affrontare le sfide personali e professionali.</w:t>
      </w:r>
    </w:p>
    <w:p>
      <w:pPr>
        <w:pStyle w:val="Heading3"/>
      </w:pPr>
      <w:r>
        <w:t>Promozione del Benessere</w:t>
      </w:r>
    </w:p>
    <w:p>
      <w:r>
        <w:t>L'azienda promuove attivamente il benessere attraverso attività di wellness, politiche di smart working e iniziative per l'equilibrio vita-lavoro. Queste misure aiutano i dipendenti a mantenere un equilibrio sano tra le responsabilità lavorative e personali.</w:t>
      </w:r>
    </w:p>
    <w:p>
      <w:pPr>
        <w:pStyle w:val="Heading3"/>
      </w:pPr>
      <w:r>
        <w:t>Salute e Sicurezza sul Lavoro</w:t>
      </w:r>
    </w:p>
    <w:p>
      <w:r>
        <w:t>Agilae implementa una formazione obbligatoria sulla salute e sicurezza, misure preventive e una gestione efficace degli infortuni. L'obiettivo è garantire un ambiente di lavoro sicuro e protetto per tutti i dipendenti.</w:t>
      </w:r>
    </w:p>
    <w:p>
      <w:pPr>
        <w:pStyle w:val="Heading3"/>
      </w:pPr>
      <w:r>
        <w:t>Risultati e Feedback</w:t>
      </w:r>
    </w:p>
    <w:p>
      <w:r>
        <w:t>I feedback dei dipendenti indicano un alto livello di soddisfazione grazie alle iniziative di benessere implementate. Sono stati riscontrati miglioramenti significativi nella qualità della vita lavorativa e nella produttività.</w:t>
      </w:r>
    </w:p>
    <w:p>
      <w:r>
        <w:drawing>
          <wp:inline xmlns:a="http://schemas.openxmlformats.org/drawingml/2006/main" xmlns:pic="http://schemas.openxmlformats.org/drawingml/2006/picture">
            <wp:extent cx="5303520" cy="3977640"/>
            <wp:docPr id="17" name="Picture 17"/>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5303520" cy="3977640"/>
                    </a:xfrm>
                    <a:prstGeom prst="rect"/>
                  </pic:spPr>
                </pic:pic>
              </a:graphicData>
            </a:graphic>
          </wp:inline>
        </w:drawing>
      </w:r>
    </w:p>
    <w:p>
      <w:r>
        <w:drawing>
          <wp:inline xmlns:a="http://schemas.openxmlformats.org/drawingml/2006/main" xmlns:pic="http://schemas.openxmlformats.org/drawingml/2006/picture">
            <wp:extent cx="5303520" cy="3977640"/>
            <wp:docPr id="18" name="Picture 18"/>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5303520" cy="3977640"/>
                    </a:xfrm>
                    <a:prstGeom prst="rect"/>
                  </pic:spPr>
                </pic:pic>
              </a:graphicData>
            </a:graphic>
          </wp:inline>
        </w:drawing>
      </w:r>
    </w:p>
    <w:p>
      <w:pPr>
        <w:pStyle w:val="Heading3"/>
      </w:pPr>
      <w:r>
        <w:t>2.5 Valutazione delle performance</w:t>
      </w:r>
    </w:p>
    <w:p>
      <w:pPr>
        <w:pStyle w:val="Heading3"/>
      </w:pPr>
      <w:r>
        <w:t>Processo di Valutazione</w:t>
      </w:r>
    </w:p>
    <w:p>
      <w:r>
        <w:t>Agilae S.p.A. adotta un approccio strutturato per la valutazione delle performance, che include autovalutazioni, feedback a 360° e colloqui regolari con i manager. Questo processo mira a fornire una visione completa delle capacità e delle aree di miglioramento di ciascun dipendente.</w:t>
      </w:r>
    </w:p>
    <w:p>
      <w:pPr>
        <w:pStyle w:val="Heading3"/>
      </w:pPr>
      <w:r>
        <w:t>Criteri di Valutazione</w:t>
      </w:r>
    </w:p>
    <w:p>
      <w:r>
        <w:t>I criteri utilizzati per la valutazione includono soft skills, competenze tecniche e il raggiungimento degli obiettivi prefissati. Questi criteri sono fondamentali per garantire che i dipendenti siano allineati con gli obiettivi aziendali e possano contribuire efficacemente al successo dell'organizzazione.</w:t>
      </w:r>
    </w:p>
    <w:p>
      <w:pPr>
        <w:pStyle w:val="Heading3"/>
      </w:pPr>
      <w:r>
        <w:t>Utilizzo dei Feedback</w:t>
      </w:r>
    </w:p>
    <w:p>
      <w:r>
        <w:t>I feedback raccolti durante il processo di valutazione sono utilizzati per sviluppare piani di sviluppo individuali. Questi piani aiutano i dipendenti a migliorare le loro competenze e a prepararsi per ruoli di maggiore responsabilità all'interno dell'azienda.</w:t>
      </w:r>
    </w:p>
    <w:p>
      <w:pPr>
        <w:pStyle w:val="Heading3"/>
      </w:pPr>
      <w:r>
        <w:t>Impatto sul Personale</w:t>
      </w:r>
    </w:p>
    <w:p>
      <w:r>
        <w:t>Il sistema di valutazione ha portato a significativi miglioramenti nel coinvolgimento e nella soddisfazione dei dipendenti. I dipendenti si sentono più motivati e supportati, il che si traduce in una maggiore produttività e in un ambiente di lavoro positivo.</w:t>
      </w:r>
    </w:p>
    <w:p>
      <w:r>
        <w:drawing>
          <wp:inline xmlns:a="http://schemas.openxmlformats.org/drawingml/2006/main" xmlns:pic="http://schemas.openxmlformats.org/drawingml/2006/picture">
            <wp:extent cx="5303520" cy="5303520"/>
            <wp:docPr id="19" name="Picture 19"/>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5303520" cy="5303520"/>
                    </a:xfrm>
                    <a:prstGeom prst="rect"/>
                  </pic:spPr>
                </pic:pic>
              </a:graphicData>
            </a:graphic>
          </wp:inline>
        </w:drawing>
      </w:r>
    </w:p>
    <w:p>
      <w:pPr>
        <w:pStyle w:val="Heading3"/>
      </w:pPr>
      <w:r>
        <w:t>2.6 Condivisione, retreat e team building</w:t>
      </w:r>
    </w:p>
    <w:p>
      <w:pPr>
        <w:pStyle w:val="Heading3"/>
      </w:pPr>
      <w:r>
        <w:t>Eventi Organizzati</w:t>
      </w:r>
    </w:p>
    <w:p>
      <w:r>
        <w:t>Agilae S.p.A. organizza regolarmente eventi di team building, retreat aziendali e workshop collaborativi. Queste attività sono progettate per promuovere la coesione del team e migliorare la comunicazione tra i dipendenti. Durante l'ultimo anno, abbiamo organizzato un retreat in montagna che ha visto la partecipazione di oltre 100 dipendenti, con attività che spaziano dall'escursionismo a sessioni di brainstorming creativo.</w:t>
      </w:r>
    </w:p>
    <w:p>
      <w:pPr>
        <w:pStyle w:val="Heading3"/>
      </w:pPr>
      <w:r>
        <w:t>Obiettivi delle Attività</w:t>
      </w:r>
    </w:p>
    <w:p>
      <w:r>
        <w:t>Le attività di team building mirano a migliorare la collaborazione tra i team, incentivare la creatività e rafforzare le relazioni interpersonali. Crediamo fermamente che un team coeso sia la chiave per raggiungere gli obiettivi aziendali in modo efficace e innovativo.</w:t>
      </w:r>
    </w:p>
    <w:p>
      <w:pPr>
        <w:pStyle w:val="Heading3"/>
      </w:pPr>
      <w:r>
        <w:t>Feedback dei Partecipanti</w:t>
      </w:r>
    </w:p>
    <w:p>
      <w:r>
        <w:t>I partecipanti hanno espresso grande soddisfazione per le attività organizzate, sottolineando come queste abbiano contribuito a migliorare il morale e l'unità del gruppo. Un dipendente ha commentato: "Queste esperienze ci permettono di conoscerci meglio e di lavorare insieme in modo più armonioso."</w:t>
      </w:r>
    </w:p>
    <w:p>
      <w:pPr>
        <w:pStyle w:val="Heading3"/>
      </w:pPr>
      <w:r>
        <w:t>Impatto sull'Azienda</w:t>
      </w:r>
    </w:p>
    <w:p>
      <w:r>
        <w:t>Queste iniziative hanno avuto un impatto positivo sulla cultura aziendale, favorendo un ambiente di lavoro più aperto e collaborativo. I benefici osservati includono una maggiore produttività, un miglioramento della comunicazione interna e un aumento del coinvolgimento dei dipendenti.</w:t>
      </w:r>
    </w:p>
    <w:p>
      <w:pPr>
        <w:pStyle w:val="Heading2"/>
      </w:pPr>
      <w:r>
        <w:t>Capitolo 3: Planet</w:t>
      </w:r>
    </w:p>
    <w:p>
      <w:r>
        <w:t>Immagine rappresentativa del Capitolo 3</w:t>
      </w:r>
    </w:p>
    <w:p>
      <w:pPr>
        <w:pStyle w:val="Heading3"/>
      </w:pPr>
      <w:r>
        <w:t>Impegno Ambientale</w:t>
      </w:r>
    </w:p>
    <w:p>
      <w:r>
        <w:t>Agilae S.p.A. si impegna a essere un leader nella sostenibilità ambientale, integrando pratiche ecologiche in tutte le sue operazioni. L'azienda riconosce l'importanza di affrontare il cambiamento climatico e si impegna a ridurre l'impatto ambientale attraverso strategie innovative e sostenibili.</w:t>
      </w:r>
    </w:p>
    <w:p>
      <w:pPr>
        <w:pStyle w:val="Heading3"/>
      </w:pPr>
      <w:r>
        <w:t>Iniziative Chiave</w:t>
      </w:r>
    </w:p>
    <w:p>
      <w:r>
        <w:t>Tra le principali iniziative intraprese, Agilae ha implementato un programma di efficienza energetica che ha portato a una significativa riduzione delle emissioni di CO2. Inoltre, l'azienda supporta attivamente il Mercato Volontario del Carbonio, investendo in progetti di compensazione delle emissioni che promuovono la sostenibilità globale.</w:t>
      </w:r>
    </w:p>
    <w:p>
      <w:pPr>
        <w:pStyle w:val="Heading3"/>
      </w:pPr>
      <w:r>
        <w:t>Risultati e Progressi</w:t>
      </w:r>
    </w:p>
    <w:p>
      <w:r>
        <w:t>Grazie a queste iniziative, Agilae ha raggiunto una riduzione del 20% delle emissioni di gas serra negli ultimi cinque anni. L'azienda continua a monitorare e migliorare le sue pratiche ambientali, con l'obiettivo di allinearsi agli obiettivi dell'Accordo di Parigi e agli SDG delle Nazioni Unite.</w:t>
      </w:r>
    </w:p>
    <w:p>
      <w:r>
        <w:drawing>
          <wp:inline xmlns:a="http://schemas.openxmlformats.org/drawingml/2006/main" xmlns:pic="http://schemas.openxmlformats.org/drawingml/2006/picture">
            <wp:extent cx="5303520" cy="3977640"/>
            <wp:docPr id="20" name="Picture 20"/>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5303520" cy="3977640"/>
                    </a:xfrm>
                    <a:prstGeom prst="rect"/>
                  </pic:spPr>
                </pic:pic>
              </a:graphicData>
            </a:graphic>
          </wp:inline>
        </w:drawing>
      </w:r>
    </w:p>
    <w:p>
      <w:pPr>
        <w:pStyle w:val="Heading3"/>
      </w:pPr>
      <w:r>
        <w:t>3.1 Attenzione al cambiamento climatico</w:t>
      </w:r>
    </w:p>
    <w:p>
      <w:pPr>
        <w:pStyle w:val="Heading3"/>
      </w:pPr>
      <w:r>
        <w:t>Strategia Climatica</w:t>
      </w:r>
    </w:p>
    <w:p>
      <w:r>
        <w:t>Agilae S.p.A. ha adottato una strategia climatica integrata per affrontare il cambiamento climatico. L'azienda si impegna a ridurre le emissioni di CO₂ del 42% entro il 2030 rispetto ai livelli del 2022, allineandosi con gli obiettivi dell'Accordo di Parigi e le linee guida SBTi.</w:t>
      </w:r>
    </w:p>
    <w:p>
      <w:pPr>
        <w:pStyle w:val="Heading3"/>
      </w:pPr>
      <w:r>
        <w:t>Obiettivi di Riduzione</w:t>
      </w:r>
    </w:p>
    <w:p>
      <w:r>
        <w:t>Gli obiettivi specifici includono la riduzione delle emissioni di Scope 1, 2 e 3 attraverso l'adozione di energie rinnovabili e l'efficienza energetica. L'azienda utilizza il protocollo GHG per monitorare e calcolare le proprie emissioni.</w:t>
      </w:r>
    </w:p>
    <w:p>
      <w:pPr>
        <w:pStyle w:val="Heading3"/>
      </w:pPr>
      <w:r>
        <w:t>Azioni Intraprese</w:t>
      </w:r>
    </w:p>
    <w:p>
      <w:r>
        <w:t>Le iniziative implementate comprendono l'uso di energia rinnovabile, l'ottimizzazione dei processi produttivi e la promozione di pratiche sostenibili tra i dipendenti. Queste azioni hanno già portato a una significativa riduzione delle emissioni.</w:t>
      </w:r>
    </w:p>
    <w:p>
      <w:pPr>
        <w:pStyle w:val="Heading3"/>
      </w:pPr>
      <w:r>
        <w:t>Monitoraggio e Calcolo delle Emissioni</w:t>
      </w:r>
    </w:p>
    <w:p>
      <w:r>
        <w:t>Agilae utilizza strumenti avanzati come CliMax per misurare le emissioni e garantire la conformità agli standard internazionali. I dati raccolti sono utilizzati per identificare aree di miglioramento e ottimizzare le strategie di riduzione.</w:t>
      </w:r>
    </w:p>
    <w:p>
      <w:pPr>
        <w:pStyle w:val="Heading3"/>
      </w:pPr>
      <w:r>
        <w:t>Risultati</w:t>
      </w:r>
    </w:p>
    <w:p>
      <w:r>
        <w:t>Nel 2023, le emissioni totali sono state ridotte del 15% rispetto all'anno precedente. Le sfide principali includono l'implementazione di nuove tecnologie e il coinvolgimento degli stakeholder.</w:t>
      </w:r>
    </w:p>
    <w:p>
      <w:pPr>
        <w:pStyle w:val="Heading3"/>
      </w:pPr>
      <w:r>
        <w:t>Impatto Ambientale</w:t>
      </w:r>
    </w:p>
    <w:tbl>
      <w:tblPr>
        <w:tblW w:type="auto" w:w="0"/>
        <w:tblLook w:firstColumn="1" w:firstRow="1" w:lastColumn="0" w:lastRow="0" w:noHBand="0" w:noVBand="1" w:val="04A0"/>
      </w:tblPr>
      <w:tblGrid>
        <w:gridCol w:w="2880"/>
        <w:gridCol w:w="2880"/>
        <w:gridCol w:w="2880"/>
      </w:tblGrid>
      <w:tr>
        <w:tc>
          <w:tcPr>
            <w:tcW w:type="dxa" w:w="0"/>
          </w:tcPr>
          <w:p>
            <w:r>
              <w:t>Fonte Energetica</w:t>
            </w:r>
          </w:p>
        </w:tc>
        <w:tc>
          <w:tcPr>
            <w:tcW w:type="dxa" w:w="0"/>
          </w:tcPr>
          <w:p>
            <w:r>
              <w:t>Consumo 2023 (MWh)</w:t>
            </w:r>
          </w:p>
        </w:tc>
        <w:tc>
          <w:tcPr>
            <w:tcW w:type="dxa" w:w="0"/>
          </w:tcPr>
          <w:p>
            <w:r>
              <w:t>Consumo 2023 (GJ)</w:t>
            </w:r>
          </w:p>
        </w:tc>
      </w:tr>
      <w:tr>
        <w:tc>
          <w:tcPr>
            <w:tcW w:type="dxa" w:w="0"/>
          </w:tcPr>
          <w:p>
            <w:r>
              <w:t>Gas Naturale</w:t>
            </w:r>
          </w:p>
        </w:tc>
        <w:tc>
          <w:tcPr>
            <w:tcW w:type="dxa" w:w="0"/>
          </w:tcPr>
          <w:p>
            <w:r>
              <w:t>45,500</w:t>
            </w:r>
          </w:p>
        </w:tc>
        <w:tc>
          <w:tcPr>
            <w:tcW w:type="dxa" w:w="0"/>
          </w:tcPr>
          <w:p>
            <w:r>
              <w:t>163,800</w:t>
            </w:r>
          </w:p>
        </w:tc>
      </w:tr>
      <w:tr>
        <w:tc>
          <w:tcPr>
            <w:tcW w:type="dxa" w:w="0"/>
          </w:tcPr>
          <w:p>
            <w:r>
              <w:t>Energia Elettrica Non Rinnovabile</w:t>
            </w:r>
          </w:p>
        </w:tc>
        <w:tc>
          <w:tcPr>
            <w:tcW w:type="dxa" w:w="0"/>
          </w:tcPr>
          <w:p>
            <w:r>
              <w:t>94,000</w:t>
            </w:r>
          </w:p>
        </w:tc>
        <w:tc>
          <w:tcPr>
            <w:tcW w:type="dxa" w:w="0"/>
          </w:tcPr>
          <w:p>
            <w:r>
              <w:t>338,400</w:t>
            </w:r>
          </w:p>
        </w:tc>
      </w:tr>
      <w:tr>
        <w:tc>
          <w:tcPr>
            <w:tcW w:type="dxa" w:w="0"/>
          </w:tcPr>
          <w:p>
            <w:r>
              <w:t>Energia Elettrica Rinnovabile</w:t>
            </w:r>
          </w:p>
        </w:tc>
        <w:tc>
          <w:tcPr>
            <w:tcW w:type="dxa" w:w="0"/>
          </w:tcPr>
          <w:p>
            <w:r>
              <w:t>95,000</w:t>
            </w:r>
          </w:p>
        </w:tc>
        <w:tc>
          <w:tcPr>
            <w:tcW w:type="dxa" w:w="0"/>
          </w:tcPr>
          <w:p>
            <w:r>
              <w:t>342,000</w:t>
            </w:r>
          </w:p>
        </w:tc>
      </w:tr>
      <w:tr>
        <w:tc>
          <w:tcPr>
            <w:tcW w:type="dxa" w:w="0"/>
          </w:tcPr>
          <w:p>
            <w:r>
              <w:rPr>
                <w:b/>
              </w:rPr>
              <w:t>Consumo Energetico Totale</w:t>
            </w:r>
          </w:p>
        </w:tc>
        <w:tc>
          <w:tcPr>
            <w:tcW w:type="dxa" w:w="0"/>
          </w:tcPr>
          <w:p>
            <w:r>
              <w:rPr>
                <w:b/>
              </w:rPr>
              <w:t>234,500</w:t>
            </w:r>
          </w:p>
        </w:tc>
        <w:tc>
          <w:tcPr>
            <w:tcW w:type="dxa" w:w="0"/>
          </w:tcPr>
          <w:p>
            <w:r>
              <w:rPr>
                <w:b/>
              </w:rPr>
              <w:t>844,200</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Emissioni per Categoria</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Categoria</w:t>
            </w:r>
          </w:p>
        </w:tc>
        <w:tc>
          <w:tcPr>
            <w:tcW w:type="dxa" w:w="0"/>
          </w:tcPr>
          <w:p>
            <w:r>
              <w:t>Unità di Misura (ton CO2 eq.)</w:t>
            </w:r>
          </w:p>
        </w:tc>
        <w:tc>
          <w:tcPr>
            <w:tcW w:type="dxa" w:w="0"/>
          </w:tcPr>
          <w:p>
            <w:r>
              <w:t>Emissioni 2023</w:t>
            </w:r>
          </w:p>
        </w:tc>
        <w:tc>
          <w:tcPr>
            <w:tcW w:type="dxa" w:w="0"/>
          </w:tcPr>
          <w:p>
            <w:r>
              <w:t>Emissioni 2022</w:t>
            </w:r>
          </w:p>
        </w:tc>
        <w:tc>
          <w:tcPr>
            <w:tcW w:type="dxa" w:w="0"/>
          </w:tcPr>
          <w:p>
            <w:r>
              <w:t>Differenza 2023/22</w:t>
            </w:r>
          </w:p>
        </w:tc>
      </w:tr>
      <w:tr>
        <w:tc>
          <w:tcPr>
            <w:tcW w:type="dxa" w:w="0"/>
          </w:tcPr>
          <w:p>
            <w:r>
              <w:t>Energia Elettrica</w:t>
            </w:r>
          </w:p>
        </w:tc>
        <w:tc>
          <w:tcPr>
            <w:tcW w:type="dxa" w:w="0"/>
          </w:tcPr>
          <w:p>
            <w:r>
              <w:t>ton CO2 eq.</w:t>
            </w:r>
          </w:p>
        </w:tc>
        <w:tc>
          <w:tcPr>
            <w:tcW w:type="dxa" w:w="0"/>
          </w:tcPr>
          <w:p>
            <w:r>
              <w:t>74,000</w:t>
            </w:r>
          </w:p>
        </w:tc>
        <w:tc>
          <w:tcPr>
            <w:tcW w:type="dxa" w:w="0"/>
          </w:tcPr>
          <w:p>
            <w:r>
              <w:t>76,000</w:t>
            </w:r>
          </w:p>
        </w:tc>
        <w:tc>
          <w:tcPr>
            <w:tcW w:type="dxa" w:w="0"/>
          </w:tcPr>
          <w:p>
            <w:r>
              <w:t>-2,000</w:t>
            </w:r>
          </w:p>
        </w:tc>
      </w:tr>
      <w:tr>
        <w:tc>
          <w:tcPr>
            <w:tcW w:type="dxa" w:w="0"/>
          </w:tcPr>
          <w:p>
            <w:r>
              <w:t>Gas Naturale</w:t>
            </w:r>
          </w:p>
        </w:tc>
        <w:tc>
          <w:tcPr>
            <w:tcW w:type="dxa" w:w="0"/>
          </w:tcPr>
          <w:p>
            <w:r>
              <w:t>ton CO2 eq.</w:t>
            </w:r>
          </w:p>
        </w:tc>
        <w:tc>
          <w:tcPr>
            <w:tcW w:type="dxa" w:w="0"/>
          </w:tcPr>
          <w:p>
            <w:r>
              <w:t>45,500</w:t>
            </w:r>
          </w:p>
        </w:tc>
        <w:tc>
          <w:tcPr>
            <w:tcW w:type="dxa" w:w="0"/>
          </w:tcPr>
          <w:p>
            <w:r>
              <w:t>47,000</w:t>
            </w:r>
          </w:p>
        </w:tc>
        <w:tc>
          <w:tcPr>
            <w:tcW w:type="dxa" w:w="0"/>
          </w:tcPr>
          <w:p>
            <w:r>
              <w:t>-1,500</w:t>
            </w:r>
          </w:p>
        </w:tc>
      </w:tr>
      <w:tr>
        <w:tc>
          <w:tcPr>
            <w:tcW w:type="dxa" w:w="0"/>
          </w:tcPr>
          <w:p>
            <w:r>
              <w:t>Gas Refrigeranti</w:t>
            </w:r>
          </w:p>
        </w:tc>
        <w:tc>
          <w:tcPr>
            <w:tcW w:type="dxa" w:w="0"/>
          </w:tcPr>
          <w:p>
            <w:r>
              <w:t>ton CO2 eq.</w:t>
            </w:r>
          </w:p>
        </w:tc>
        <w:tc>
          <w:tcPr>
            <w:tcW w:type="dxa" w:w="0"/>
          </w:tcPr>
          <w:p>
            <w:r>
              <w:t>5,000</w:t>
            </w:r>
          </w:p>
        </w:tc>
        <w:tc>
          <w:tcPr>
            <w:tcW w:type="dxa" w:w="0"/>
          </w:tcPr>
          <w:p>
            <w:r>
              <w:t>5,200</w:t>
            </w:r>
          </w:p>
        </w:tc>
        <w:tc>
          <w:tcPr>
            <w:tcW w:type="dxa" w:w="0"/>
          </w:tcPr>
          <w:p>
            <w:r>
              <w:t>-200</w:t>
            </w:r>
          </w:p>
        </w:tc>
      </w:tr>
      <w:tr>
        <w:tc>
          <w:tcPr>
            <w:tcW w:type="dxa" w:w="0"/>
          </w:tcPr>
          <w:p>
            <w:r>
              <w:t>Veicoli Aziendali</w:t>
            </w:r>
          </w:p>
        </w:tc>
        <w:tc>
          <w:tcPr>
            <w:tcW w:type="dxa" w:w="0"/>
          </w:tcPr>
          <w:p>
            <w:r>
              <w:t>ton CO2 eq.</w:t>
            </w:r>
          </w:p>
        </w:tc>
        <w:tc>
          <w:tcPr>
            <w:tcW w:type="dxa" w:w="0"/>
          </w:tcPr>
          <w:p>
            <w:r>
              <w:t>10,000</w:t>
            </w:r>
          </w:p>
        </w:tc>
        <w:tc>
          <w:tcPr>
            <w:tcW w:type="dxa" w:w="0"/>
          </w:tcPr>
          <w:p>
            <w:r>
              <w:t>10,500</w:t>
            </w:r>
          </w:p>
        </w:tc>
        <w:tc>
          <w:tcPr>
            <w:tcW w:type="dxa" w:w="0"/>
          </w:tcPr>
          <w:p>
            <w:r>
              <w:t>-500</w:t>
            </w:r>
          </w:p>
        </w:tc>
      </w:tr>
      <w:tr>
        <w:tc>
          <w:tcPr>
            <w:tcW w:type="dxa" w:w="0"/>
          </w:tcPr>
          <w:p>
            <w:r>
              <w:t>Digitale</w:t>
            </w:r>
          </w:p>
        </w:tc>
        <w:tc>
          <w:tcPr>
            <w:tcW w:type="dxa" w:w="0"/>
          </w:tcPr>
          <w:p>
            <w:r>
              <w:t>ton CO2 eq.</w:t>
            </w:r>
          </w:p>
        </w:tc>
        <w:tc>
          <w:tcPr>
            <w:tcW w:type="dxa" w:w="0"/>
          </w:tcPr>
          <w:p>
            <w:r>
              <w:t>47,000</w:t>
            </w:r>
          </w:p>
        </w:tc>
        <w:tc>
          <w:tcPr>
            <w:tcW w:type="dxa" w:w="0"/>
          </w:tcPr>
          <w:p>
            <w:r>
              <w:t>48,000</w:t>
            </w:r>
          </w:p>
        </w:tc>
        <w:tc>
          <w:tcPr>
            <w:tcW w:type="dxa" w:w="0"/>
          </w:tcPr>
          <w:p>
            <w:r>
              <w:t>-1,000</w:t>
            </w:r>
          </w:p>
        </w:tc>
      </w:tr>
      <w:tr>
        <w:tc>
          <w:tcPr>
            <w:tcW w:type="dxa" w:w="0"/>
          </w:tcPr>
          <w:p>
            <w:r>
              <w:t>Viaggi di Lavoro</w:t>
            </w:r>
          </w:p>
        </w:tc>
        <w:tc>
          <w:tcPr>
            <w:tcW w:type="dxa" w:w="0"/>
          </w:tcPr>
          <w:p>
            <w:r>
              <w:t>ton CO2 eq.</w:t>
            </w:r>
          </w:p>
        </w:tc>
        <w:tc>
          <w:tcPr>
            <w:tcW w:type="dxa" w:w="0"/>
          </w:tcPr>
          <w:p>
            <w:r>
              <w:t>54,000</w:t>
            </w:r>
          </w:p>
        </w:tc>
        <w:tc>
          <w:tcPr>
            <w:tcW w:type="dxa" w:w="0"/>
          </w:tcPr>
          <w:p>
            <w:r>
              <w:t>56,000</w:t>
            </w:r>
          </w:p>
        </w:tc>
        <w:tc>
          <w:tcPr>
            <w:tcW w:type="dxa" w:w="0"/>
          </w:tcPr>
          <w:p>
            <w:r>
              <w:t>-2,000</w:t>
            </w:r>
          </w:p>
        </w:tc>
      </w:tr>
      <w:tr>
        <w:tc>
          <w:tcPr>
            <w:tcW w:type="dxa" w:w="0"/>
          </w:tcPr>
          <w:p>
            <w:r>
              <w:t>Commuting</w:t>
            </w:r>
          </w:p>
        </w:tc>
        <w:tc>
          <w:tcPr>
            <w:tcW w:type="dxa" w:w="0"/>
          </w:tcPr>
          <w:p>
            <w:r>
              <w:t>ton CO2 eq.</w:t>
            </w:r>
          </w:p>
        </w:tc>
        <w:tc>
          <w:tcPr>
            <w:tcW w:type="dxa" w:w="0"/>
          </w:tcPr>
          <w:p>
            <w:r>
              <w:t>18,500</w:t>
            </w:r>
          </w:p>
        </w:tc>
        <w:tc>
          <w:tcPr>
            <w:tcW w:type="dxa" w:w="0"/>
          </w:tcPr>
          <w:p>
            <w:r>
              <w:t>19,000</w:t>
            </w:r>
          </w:p>
        </w:tc>
        <w:tc>
          <w:tcPr>
            <w:tcW w:type="dxa" w:w="0"/>
          </w:tcPr>
          <w:p>
            <w:r>
              <w:t>-500</w:t>
            </w:r>
          </w:p>
        </w:tc>
      </w:tr>
      <w:tr>
        <w:tc>
          <w:tcPr>
            <w:tcW w:type="dxa" w:w="0"/>
          </w:tcPr>
          <w:p>
            <w:r>
              <w:rPr>
                <w:b/>
              </w:rPr>
              <w:t>Totale</w:t>
            </w:r>
          </w:p>
        </w:tc>
        <w:tc>
          <w:tcPr>
            <w:tcW w:type="dxa" w:w="0"/>
          </w:tcPr>
          <w:p>
            <w:r>
              <w:rPr>
                <w:b/>
              </w:rPr>
              <w:t>ton CO2 eq.</w:t>
            </w:r>
          </w:p>
        </w:tc>
        <w:tc>
          <w:tcPr>
            <w:tcW w:type="dxa" w:w="0"/>
          </w:tcPr>
          <w:p>
            <w:r>
              <w:rPr>
                <w:b/>
              </w:rPr>
              <w:t>254,000</w:t>
            </w:r>
          </w:p>
        </w:tc>
        <w:tc>
          <w:tcPr>
            <w:tcW w:type="dxa" w:w="0"/>
          </w:tcPr>
          <w:p>
            <w:r>
              <w:rPr>
                <w:b/>
              </w:rPr>
              <w:t>261,700</w:t>
            </w:r>
          </w:p>
        </w:tc>
        <w:tc>
          <w:tcPr>
            <w:tcW w:type="dxa" w:w="0"/>
          </w:tcPr>
          <w:p>
            <w:r>
              <w:rPr>
                <w:b/>
              </w:rPr>
              <w:t>-7,700</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Emissioni per Scope</w:t>
      </w:r>
    </w:p>
    <w:p>
      <w:r>
        <w:drawing>
          <wp:inline xmlns:a="http://schemas.openxmlformats.org/drawingml/2006/main" xmlns:pic="http://schemas.openxmlformats.org/drawingml/2006/picture">
            <wp:extent cx="5303520" cy="3977640"/>
            <wp:docPr id="21" name="Picture 21"/>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5303520" cy="3977640"/>
                    </a:xfrm>
                    <a:prstGeom prst="rect"/>
                  </pic:spPr>
                </pic:pic>
              </a:graphicData>
            </a:graphic>
          </wp:inline>
        </w:drawing>
      </w:r>
    </w:p>
    <w:p>
      <w:r>
        <w:drawing>
          <wp:inline xmlns:a="http://schemas.openxmlformats.org/drawingml/2006/main" xmlns:pic="http://schemas.openxmlformats.org/drawingml/2006/picture">
            <wp:extent cx="5303520" cy="3977640"/>
            <wp:docPr id="22" name="Picture 22"/>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5303520" cy="3977640"/>
                    </a:xfrm>
                    <a:prstGeom prst="rect"/>
                  </pic:spPr>
                </pic:pic>
              </a:graphicData>
            </a:graphic>
          </wp:inline>
        </w:drawing>
      </w:r>
    </w:p>
    <w:p>
      <w:r>
        <w:drawing>
          <wp:inline xmlns:a="http://schemas.openxmlformats.org/drawingml/2006/main" xmlns:pic="http://schemas.openxmlformats.org/drawingml/2006/picture">
            <wp:extent cx="5303520" cy="3977640"/>
            <wp:docPr id="23" name="Picture 23"/>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5303520" cy="3977640"/>
                    </a:xfrm>
                    <a:prstGeom prst="rect"/>
                  </pic:spPr>
                </pic:pic>
              </a:graphicData>
            </a:graphic>
          </wp:inline>
        </w:drawing>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Scope</w:t>
            </w:r>
          </w:p>
        </w:tc>
        <w:tc>
          <w:tcPr>
            <w:tcW w:type="dxa" w:w="0"/>
          </w:tcPr>
          <w:p>
            <w:r>
              <w:t>Unità di Misura (ton CO2 eq.)</w:t>
            </w:r>
          </w:p>
        </w:tc>
        <w:tc>
          <w:tcPr>
            <w:tcW w:type="dxa" w:w="0"/>
          </w:tcPr>
          <w:p>
            <w:r>
              <w:t>Emissioni 2023</w:t>
            </w:r>
          </w:p>
        </w:tc>
        <w:tc>
          <w:tcPr>
            <w:tcW w:type="dxa" w:w="0"/>
          </w:tcPr>
          <w:p>
            <w:r>
              <w:t>Emissioni 2022</w:t>
            </w:r>
          </w:p>
        </w:tc>
        <w:tc>
          <w:tcPr>
            <w:tcW w:type="dxa" w:w="0"/>
          </w:tcPr>
          <w:p>
            <w:r>
              <w:t>Differenza 2023/22</w:t>
            </w:r>
          </w:p>
        </w:tc>
      </w:tr>
      <w:tr>
        <w:tc>
          <w:tcPr>
            <w:tcW w:type="dxa" w:w="0"/>
          </w:tcPr>
          <w:p>
            <w:r>
              <w:t>Scope 1</w:t>
            </w:r>
          </w:p>
        </w:tc>
        <w:tc>
          <w:tcPr>
            <w:tcW w:type="dxa" w:w="0"/>
          </w:tcPr>
          <w:p>
            <w:r>
              <w:t>ton CO2 eq.</w:t>
            </w:r>
          </w:p>
        </w:tc>
        <w:tc>
          <w:tcPr>
            <w:tcW w:type="dxa" w:w="0"/>
          </w:tcPr>
          <w:p>
            <w:r>
              <w:t>135,000</w:t>
            </w:r>
          </w:p>
        </w:tc>
        <w:tc>
          <w:tcPr>
            <w:tcW w:type="dxa" w:w="0"/>
          </w:tcPr>
          <w:p>
            <w:r>
              <w:t>140,000</w:t>
            </w:r>
          </w:p>
        </w:tc>
        <w:tc>
          <w:tcPr>
            <w:tcW w:type="dxa" w:w="0"/>
          </w:tcPr>
          <w:p>
            <w:r>
              <w:t>-5,000</w:t>
            </w:r>
          </w:p>
        </w:tc>
      </w:tr>
      <w:tr>
        <w:tc>
          <w:tcPr>
            <w:tcW w:type="dxa" w:w="0"/>
          </w:tcPr>
          <w:p>
            <w:r>
              <w:t>Scope 2 Market Based</w:t>
            </w:r>
          </w:p>
        </w:tc>
        <w:tc>
          <w:tcPr>
            <w:tcW w:type="dxa" w:w="0"/>
          </w:tcPr>
          <w:p>
            <w:r>
              <w:t>ton CO2 eq.</w:t>
            </w:r>
          </w:p>
        </w:tc>
        <w:tc>
          <w:tcPr>
            <w:tcW w:type="dxa" w:w="0"/>
          </w:tcPr>
          <w:p>
            <w:r>
              <w:t>185,000</w:t>
            </w:r>
          </w:p>
        </w:tc>
        <w:tc>
          <w:tcPr>
            <w:tcW w:type="dxa" w:w="0"/>
          </w:tcPr>
          <w:p>
            <w:r>
              <w:t>190,000</w:t>
            </w:r>
          </w:p>
        </w:tc>
        <w:tc>
          <w:tcPr>
            <w:tcW w:type="dxa" w:w="0"/>
          </w:tcPr>
          <w:p>
            <w:r>
              <w:t>-5,000</w:t>
            </w:r>
          </w:p>
        </w:tc>
      </w:tr>
      <w:tr>
        <w:tc>
          <w:tcPr>
            <w:tcW w:type="dxa" w:w="0"/>
          </w:tcPr>
          <w:p>
            <w:r>
              <w:t>Scope 2 Location Based</w:t>
            </w:r>
          </w:p>
        </w:tc>
        <w:tc>
          <w:tcPr>
            <w:tcW w:type="dxa" w:w="0"/>
          </w:tcPr>
          <w:p>
            <w:r>
              <w:t>ton CO2 eq.</w:t>
            </w:r>
          </w:p>
        </w:tc>
        <w:tc>
          <w:tcPr>
            <w:tcW w:type="dxa" w:w="0"/>
          </w:tcPr>
          <w:p>
            <w:r>
              <w:t>165,000</w:t>
            </w:r>
          </w:p>
        </w:tc>
        <w:tc>
          <w:tcPr>
            <w:tcW w:type="dxa" w:w="0"/>
          </w:tcPr>
          <w:p>
            <w:r>
              <w:t>170,000</w:t>
            </w:r>
          </w:p>
        </w:tc>
        <w:tc>
          <w:tcPr>
            <w:tcW w:type="dxa" w:w="0"/>
          </w:tcPr>
          <w:p>
            <w:r>
              <w:t>-5,000</w:t>
            </w:r>
          </w:p>
        </w:tc>
      </w:tr>
      <w:tr>
        <w:tc>
          <w:tcPr>
            <w:tcW w:type="dxa" w:w="0"/>
          </w:tcPr>
          <w:p>
            <w:r>
              <w:t>Scope 3</w:t>
            </w:r>
          </w:p>
        </w:tc>
        <w:tc>
          <w:tcPr>
            <w:tcW w:type="dxa" w:w="0"/>
          </w:tcPr>
          <w:p>
            <w:r>
              <w:t>ton CO2 eq.</w:t>
            </w:r>
          </w:p>
        </w:tc>
        <w:tc>
          <w:tcPr>
            <w:tcW w:type="dxa" w:w="0"/>
          </w:tcPr>
          <w:p>
            <w:r>
              <w:t>85,000</w:t>
            </w:r>
          </w:p>
        </w:tc>
        <w:tc>
          <w:tcPr>
            <w:tcW w:type="dxa" w:w="0"/>
          </w:tcPr>
          <w:p>
            <w:r>
              <w:t>90,000</w:t>
            </w:r>
          </w:p>
        </w:tc>
        <w:tc>
          <w:tcPr>
            <w:tcW w:type="dxa" w:w="0"/>
          </w:tcPr>
          <w:p>
            <w:r>
              <w:t>-5,000</w:t>
            </w:r>
          </w:p>
        </w:tc>
      </w:tr>
      <w:tr>
        <w:tc>
          <w:tcPr>
            <w:tcW w:type="dxa" w:w="0"/>
          </w:tcPr>
          <w:p>
            <w:r>
              <w:rPr>
                <w:b/>
              </w:rPr>
              <w:t>Totale (Market Based)</w:t>
            </w:r>
          </w:p>
        </w:tc>
        <w:tc>
          <w:tcPr>
            <w:tcW w:type="dxa" w:w="0"/>
          </w:tcPr>
          <w:p>
            <w:r>
              <w:rPr>
                <w:b/>
              </w:rPr>
              <w:t>ton CO2 eq.</w:t>
            </w:r>
          </w:p>
        </w:tc>
        <w:tc>
          <w:tcPr>
            <w:tcW w:type="dxa" w:w="0"/>
          </w:tcPr>
          <w:p>
            <w:r>
              <w:rPr>
                <w:b/>
              </w:rPr>
              <w:t>470,000</w:t>
            </w:r>
          </w:p>
        </w:tc>
        <w:tc>
          <w:tcPr>
            <w:tcW w:type="dxa" w:w="0"/>
          </w:tcPr>
          <w:p>
            <w:r>
              <w:rPr>
                <w:b/>
              </w:rPr>
              <w:t>490,000</w:t>
            </w:r>
          </w:p>
        </w:tc>
        <w:tc>
          <w:tcPr>
            <w:tcW w:type="dxa" w:w="0"/>
          </w:tcPr>
          <w:p>
            <w:r>
              <w:rPr>
                <w:b/>
              </w:rPr>
              <w:t>-20,000</w:t>
            </w:r>
          </w:p>
        </w:tc>
      </w:tr>
      <w:tr>
        <w:tc>
          <w:tcPr>
            <w:tcW w:type="dxa" w:w="0"/>
          </w:tcPr>
          <w:p>
            <w:r>
              <w:rPr>
                <w:b/>
              </w:rPr>
              <w:t>Totale (Location Based)</w:t>
            </w:r>
          </w:p>
        </w:tc>
        <w:tc>
          <w:tcPr>
            <w:tcW w:type="dxa" w:w="0"/>
          </w:tcPr>
          <w:p>
            <w:r>
              <w:rPr>
                <w:b/>
              </w:rPr>
              <w:t>ton CO2 eq.</w:t>
            </w:r>
          </w:p>
        </w:tc>
        <w:tc>
          <w:tcPr>
            <w:tcW w:type="dxa" w:w="0"/>
          </w:tcPr>
          <w:p>
            <w:r>
              <w:rPr>
                <w:b/>
              </w:rPr>
              <w:t>435,000</w:t>
            </w:r>
          </w:p>
        </w:tc>
        <w:tc>
          <w:tcPr>
            <w:tcW w:type="dxa" w:w="0"/>
          </w:tcPr>
          <w:p>
            <w:r>
              <w:rPr>
                <w:b/>
              </w:rPr>
              <w:t>450,000</w:t>
            </w:r>
          </w:p>
        </w:tc>
        <w:tc>
          <w:tcPr>
            <w:tcW w:type="dxa" w:w="0"/>
          </w:tcPr>
          <w:p>
            <w:r>
              <w:rPr>
                <w:b/>
              </w:rPr>
              <w:t>-15,000</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Emissioni Specifiche</w:t>
      </w:r>
    </w:p>
    <w:p>
      <w:pPr>
        <w:pStyle w:val="Heading3"/>
      </w:pPr>
    </w:p>
    <w:tbl>
      <w:tblPr>
        <w:tblW w:type="auto" w:w="0"/>
        <w:tblLook w:firstColumn="1" w:firstRow="1" w:lastColumn="0" w:lastRow="0" w:noHBand="0" w:noVBand="1" w:val="04A0"/>
      </w:tblPr>
      <w:tblGrid>
        <w:gridCol w:w="2880"/>
        <w:gridCol w:w="2880"/>
        <w:gridCol w:w="2880"/>
      </w:tblGrid>
      <w:tr>
        <w:tc>
          <w:tcPr>
            <w:tcW w:type="dxa" w:w="0"/>
          </w:tcPr>
          <w:p>
            <w:r>
              <w:t>Emissione Specifica</w:t>
            </w:r>
          </w:p>
        </w:tc>
        <w:tc>
          <w:tcPr>
            <w:tcW w:type="dxa" w:w="0"/>
          </w:tcPr>
          <w:p>
            <w:r>
              <w:t>Unità di Misura</w:t>
            </w:r>
          </w:p>
        </w:tc>
        <w:tc>
          <w:tcPr>
            <w:tcW w:type="dxa" w:w="0"/>
          </w:tcPr>
          <w:p>
            <w:r>
              <w:t>Emissioni 2023</w:t>
            </w:r>
          </w:p>
        </w:tc>
      </w:tr>
      <w:tr>
        <w:tc>
          <w:tcPr>
            <w:tcW w:type="dxa" w:w="0"/>
          </w:tcPr>
          <w:p>
            <w:r>
              <w:t>Emissioni per migliaia di € fatturato</w:t>
            </w:r>
          </w:p>
        </w:tc>
        <w:tc>
          <w:tcPr>
            <w:tcW w:type="dxa" w:w="0"/>
          </w:tcPr>
          <w:p>
            <w:r>
              <w:t>ton CO2 eq/migliaia €</w:t>
            </w:r>
          </w:p>
        </w:tc>
        <w:tc>
          <w:tcPr>
            <w:tcW w:type="dxa" w:w="0"/>
          </w:tcPr>
          <w:p>
            <w:r>
              <w:t>44</w:t>
            </w:r>
          </w:p>
        </w:tc>
      </w:tr>
      <w:tr>
        <w:tc>
          <w:tcPr>
            <w:tcW w:type="dxa" w:w="0"/>
          </w:tcPr>
          <w:p>
            <w:r>
              <w:t>Emissioni per persona</w:t>
            </w:r>
          </w:p>
        </w:tc>
        <w:tc>
          <w:tcPr>
            <w:tcW w:type="dxa" w:w="0"/>
          </w:tcPr>
          <w:p>
            <w:r>
              <w:t>ton CO2 eq/persona</w:t>
            </w:r>
          </w:p>
        </w:tc>
        <w:tc>
          <w:tcPr>
            <w:tcW w:type="dxa" w:w="0"/>
          </w:tcPr>
          <w:p>
            <w:r>
              <w:t>0.44</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3.2 Impatti ambientali legati a prodotti e servizi offerti</w:t>
      </w:r>
    </w:p>
    <w:p>
      <w:r>
        <w:drawing>
          <wp:inline xmlns:a="http://schemas.openxmlformats.org/drawingml/2006/main" xmlns:pic="http://schemas.openxmlformats.org/drawingml/2006/picture">
            <wp:extent cx="5303520" cy="3977640"/>
            <wp:docPr id="24" name="Picture 24"/>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5303520" cy="3977640"/>
                    </a:xfrm>
                    <a:prstGeom prst="rect"/>
                  </pic:spPr>
                </pic:pic>
              </a:graphicData>
            </a:graphic>
          </wp:inline>
        </w:drawing>
      </w:r>
    </w:p>
    <w:p>
      <w:r>
        <w:drawing>
          <wp:inline xmlns:a="http://schemas.openxmlformats.org/drawingml/2006/main" xmlns:pic="http://schemas.openxmlformats.org/drawingml/2006/picture">
            <wp:extent cx="5303520" cy="3977640"/>
            <wp:docPr id="25" name="Picture 25"/>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5303520" cy="3977640"/>
                    </a:xfrm>
                    <a:prstGeom prst="rect"/>
                  </pic:spPr>
                </pic:pic>
              </a:graphicData>
            </a:graphic>
          </wp:inline>
        </w:drawing>
      </w:r>
    </w:p>
    <w:p>
      <w:pPr>
        <w:pStyle w:val="Heading3"/>
      </w:pPr>
    </w:p>
    <w:p>
      <w:pPr>
        <w:pStyle w:val="Heading3"/>
      </w:pPr>
      <w:r>
        <w:t>Analisi degli Impatti</w:t>
      </w:r>
    </w:p>
    <w:p>
      <w:r>
        <w:t>Le attività di Agilae S.p.A. generano impatti ambientali sia diretti che indiretti. Tra gli impatti diretti, l'uso di risorse naturali e l'energia consumata nei processi produttivi sono significativi. Gli impatti indiretti includono le emissioni derivanti dall'uso dei nostri prodotti da parte dei clienti.</w:t>
      </w:r>
    </w:p>
    <w:p>
      <w:r>
        <w:drawing>
          <wp:inline xmlns:a="http://schemas.openxmlformats.org/drawingml/2006/main" xmlns:pic="http://schemas.openxmlformats.org/drawingml/2006/picture">
            <wp:extent cx="5303520" cy="3977640"/>
            <wp:docPr id="26" name="Picture 26"/>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5303520" cy="3977640"/>
                    </a:xfrm>
                    <a:prstGeom prst="rect"/>
                  </pic:spPr>
                </pic:pic>
              </a:graphicData>
            </a:graphic>
          </wp:inline>
        </w:drawing>
      </w:r>
    </w:p>
    <w:p>
      <w:pPr>
        <w:pStyle w:val="Heading3"/>
      </w:pPr>
      <w:r>
        <w:t>Impatto Positivo</w:t>
      </w:r>
    </w:p>
    <w:p>
      <w:r>
        <w:t>I nostri prodotti, come la piattaforma CliMax e PlaNet, aiutano i clienti a ridurre le loro emissioni di CO₂. Queste soluzioni innovative consentono una gestione più efficiente delle risorse e promuovono pratiche sostenibili.</w:t>
      </w:r>
    </w:p>
    <w:p>
      <w:pPr>
        <w:pStyle w:val="Heading3"/>
      </w:pPr>
      <w:r>
        <w:t>Gestione degli Impatti</w:t>
      </w:r>
    </w:p>
    <w:p>
      <w:r>
        <w:t>Per mitigare gli impatti negativi, abbiamo adottato diverse misure, tra cui la riduzione dell'uso di data center ad alto consumo energetico e la promozione dello smart working. Queste iniziative non solo riducono le emissioni, ma migliorano anche l'efficienza operativa.</w:t>
      </w:r>
    </w:p>
    <w:p>
      <w:r>
        <w:drawing>
          <wp:inline xmlns:a="http://schemas.openxmlformats.org/drawingml/2006/main" xmlns:pic="http://schemas.openxmlformats.org/drawingml/2006/picture">
            <wp:extent cx="5303520" cy="3977640"/>
            <wp:docPr id="27" name="Picture 27"/>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5303520" cy="3977640"/>
                    </a:xfrm>
                    <a:prstGeom prst="rect"/>
                  </pic:spPr>
                </pic:pic>
              </a:graphicData>
            </a:graphic>
          </wp:inline>
        </w:drawing>
      </w:r>
    </w:p>
    <w:p>
      <w:pPr>
        <w:pStyle w:val="Heading3"/>
      </w:pPr>
      <w:r>
        <w:t>Risultati</w:t>
      </w:r>
    </w:p>
    <w:p>
      <w:r>
        <w:t>Grazie alle nostre iniziative, i clienti hanno risparmiato oltre 10,000 tonnellate di CO₂ nel 2023. Questo risultato dimostra l'efficacia delle nostre soluzioni nel promuovere la sostenibilità ambientale.</w:t>
      </w:r>
    </w:p>
    <w:p>
      <w:pPr>
        <w:pStyle w:val="Heading3"/>
      </w:pPr>
      <w:r>
        <w:t>Tabelle degli Impatti</w:t>
      </w:r>
    </w:p>
    <w:tbl>
      <w:tblPr>
        <w:tblW w:type="auto" w:w="0"/>
        <w:tblLook w:firstColumn="1" w:firstRow="1" w:lastColumn="0" w:lastRow="0" w:noHBand="0" w:noVBand="1" w:val="04A0"/>
      </w:tblPr>
      <w:tblGrid>
        <w:gridCol w:w="2880"/>
        <w:gridCol w:w="2880"/>
        <w:gridCol w:w="2880"/>
      </w:tblGrid>
      <w:tr>
        <w:tc>
          <w:tcPr>
            <w:tcW w:type="dxa" w:w="0"/>
          </w:tcPr>
          <w:p>
            <w:r>
              <w:t>Impatto</w:t>
            </w:r>
          </w:p>
        </w:tc>
        <w:tc>
          <w:tcPr>
            <w:tcW w:type="dxa" w:w="0"/>
          </w:tcPr>
          <w:p>
            <w:r>
              <w:t>Tipo</w:t>
            </w:r>
          </w:p>
        </w:tc>
        <w:tc>
          <w:tcPr>
            <w:tcW w:type="dxa" w:w="0"/>
          </w:tcPr>
          <w:p>
            <w:r>
              <w:t>Azioni Intraprese</w:t>
            </w:r>
          </w:p>
        </w:tc>
      </w:tr>
      <w:tr>
        <w:tc>
          <w:tcPr>
            <w:tcW w:type="dxa" w:w="0"/>
          </w:tcPr>
          <w:p>
            <w:r>
              <w:t>Consumo di Energia</w:t>
            </w:r>
          </w:p>
        </w:tc>
        <w:tc>
          <w:tcPr>
            <w:tcW w:type="dxa" w:w="0"/>
          </w:tcPr>
          <w:p>
            <w:r>
              <w:t>Diretto</w:t>
            </w:r>
          </w:p>
        </w:tc>
        <w:tc>
          <w:tcPr>
            <w:tcW w:type="dxa" w:w="0"/>
          </w:tcPr>
          <w:p>
            <w:r>
              <w:t>Ottimizzazione dei processi produttivi</w:t>
            </w:r>
          </w:p>
        </w:tc>
      </w:tr>
      <w:tr>
        <w:tc>
          <w:tcPr>
            <w:tcW w:type="dxa" w:w="0"/>
          </w:tcPr>
          <w:p>
            <w:r>
              <w:t>Emissioni dei Prodotti</w:t>
            </w:r>
          </w:p>
        </w:tc>
        <w:tc>
          <w:tcPr>
            <w:tcW w:type="dxa" w:w="0"/>
          </w:tcPr>
          <w:p>
            <w:r>
              <w:t>Indiretto</w:t>
            </w:r>
          </w:p>
        </w:tc>
        <w:tc>
          <w:tcPr>
            <w:tcW w:type="dxa" w:w="0"/>
          </w:tcPr>
          <w:p>
            <w:r>
              <w:t>Implementazione di soluzioni CliMax e PlaNet</w:t>
            </w:r>
          </w:p>
        </w:tc>
      </w:tr>
      <w:tr>
        <w:tc>
          <w:tcPr>
            <w:tcW w:type="dxa" w:w="0"/>
          </w:tcPr>
          <w:p>
            <w:r>
              <w:t>Uso di Risorse Naturali</w:t>
            </w:r>
          </w:p>
        </w:tc>
        <w:tc>
          <w:tcPr>
            <w:tcW w:type="dxa" w:w="0"/>
          </w:tcPr>
          <w:p>
            <w:r>
              <w:t>Diretto</w:t>
            </w:r>
          </w:p>
        </w:tc>
        <w:tc>
          <w:tcPr>
            <w:tcW w:type="dxa" w:w="0"/>
          </w:tcPr>
          <w:p>
            <w:r>
              <w:t>Riduzione dell'uso di materiali non riciclabili</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3.3 Supporto al Voluntary Carbon Market</w:t>
      </w:r>
    </w:p>
    <w:p>
      <w:pPr>
        <w:pStyle w:val="Heading3"/>
      </w:pPr>
    </w:p>
    <w:p>
      <w:pPr>
        <w:pStyle w:val="Heading3"/>
      </w:pPr>
      <w:r>
        <w:t>Ruolo dell'Azienda nel VCM</w:t>
      </w:r>
    </w:p>
    <w:p>
      <w:r>
        <w:t>Il Mercato Volontario del Carbonio (VCM) rappresenta un'opportunità cruciale per le aziende di contribuire alla lotta contro il cambiamento climatico. Agilae S.p.A. partecipa attivamente a questo mercato, supportando progetti che compensano le emissioni di CO₂ e promuovono lo sviluppo sostenibile.</w:t>
      </w:r>
    </w:p>
    <w:p>
      <w:pPr>
        <w:pStyle w:val="Heading3"/>
      </w:pPr>
      <w:r>
        <w:t>Selezione dei Progetti</w:t>
      </w:r>
    </w:p>
    <w:p>
      <w:r>
        <w:t>Il processo di selezione dei progetti di compensazione si articola in quattro fasi principali: valutazione dell'impatto ambientale, analisi dei benefici sociali, verifica delle certificazioni e allineamento con gli SDG. Questo approccio garantisce che i progetti sostenuti siano efficaci e abbiano un impatto positivo duraturo.</w:t>
      </w:r>
    </w:p>
    <w:p>
      <w:pPr>
        <w:pStyle w:val="Heading3"/>
      </w:pPr>
      <w:r>
        <w:t>Progetti Supportati</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0"/>
          </w:tcPr>
          <w:p>
            <w:r>
              <w:t>Nome del Progetto</w:t>
            </w:r>
          </w:p>
        </w:tc>
        <w:tc>
          <w:tcPr>
            <w:tcW w:type="dxa" w:w="0"/>
          </w:tcPr>
          <w:p>
            <w:r>
              <w:t>Paese</w:t>
            </w:r>
          </w:p>
        </w:tc>
        <w:tc>
          <w:tcPr>
            <w:tcW w:type="dxa" w:w="0"/>
          </w:tcPr>
          <w:p>
            <w:r>
              <w:t>ID</w:t>
            </w:r>
          </w:p>
        </w:tc>
        <w:tc>
          <w:tcPr>
            <w:tcW w:type="dxa" w:w="0"/>
          </w:tcPr>
          <w:p>
            <w:r>
              <w:t>Specie Protette</w:t>
            </w:r>
          </w:p>
        </w:tc>
        <w:tc>
          <w:tcPr>
            <w:tcW w:type="dxa" w:w="0"/>
          </w:tcPr>
          <w:p>
            <w:r>
              <w:t>Persone Coinvolte</w:t>
            </w:r>
          </w:p>
        </w:tc>
        <w:tc>
          <w:tcPr>
            <w:tcW w:type="dxa" w:w="0"/>
          </w:tcPr>
          <w:p>
            <w:r>
              <w:t>Ettari Salvati</w:t>
            </w:r>
          </w:p>
        </w:tc>
        <w:tc>
          <w:tcPr>
            <w:tcW w:type="dxa" w:w="0"/>
          </w:tcPr>
          <w:p>
            <w:r>
              <w:t>Certificazioni</w:t>
            </w:r>
          </w:p>
        </w:tc>
        <w:tc>
          <w:tcPr>
            <w:tcW w:type="dxa" w:w="0"/>
          </w:tcPr>
          <w:p>
            <w:r>
              <w:t>SDG Correlati</w:t>
            </w:r>
          </w:p>
        </w:tc>
      </w:tr>
      <w:tr>
        <w:tc>
          <w:tcPr>
            <w:tcW w:type="dxa" w:w="0"/>
          </w:tcPr>
          <w:p>
            <w:r>
              <w:t>Delta Blue Carbon</w:t>
            </w:r>
          </w:p>
        </w:tc>
        <w:tc>
          <w:tcPr>
            <w:tcW w:type="dxa" w:w="0"/>
          </w:tcPr>
          <w:p>
            <w:r>
              <w:t>Pakistan</w:t>
            </w:r>
          </w:p>
        </w:tc>
        <w:tc>
          <w:tcPr>
            <w:tcW w:type="dxa" w:w="0"/>
          </w:tcPr>
          <w:p>
            <w:r>
              <w:t>DBC123</w:t>
            </w:r>
          </w:p>
        </w:tc>
        <w:tc>
          <w:tcPr>
            <w:tcW w:type="dxa" w:w="0"/>
          </w:tcPr>
          <w:p>
            <w:r>
              <w:t>Delfini, Tartarughe marine</w:t>
            </w:r>
          </w:p>
        </w:tc>
        <w:tc>
          <w:tcPr>
            <w:tcW w:type="dxa" w:w="0"/>
          </w:tcPr>
          <w:p>
            <w:r>
              <w:t>500</w:t>
            </w:r>
          </w:p>
        </w:tc>
        <w:tc>
          <w:tcPr>
            <w:tcW w:type="dxa" w:w="0"/>
          </w:tcPr>
          <w:p>
            <w:r>
              <w:t>350,000</w:t>
            </w:r>
          </w:p>
        </w:tc>
        <w:tc>
          <w:tcPr>
            <w:tcW w:type="dxa" w:w="0"/>
          </w:tcPr>
          <w:p>
            <w:r>
              <w:t>VCS, CCB</w:t>
            </w:r>
          </w:p>
        </w:tc>
        <w:tc>
          <w:tcPr>
            <w:tcW w:type="dxa" w:w="0"/>
          </w:tcPr>
          <w:p>
            <w:r>
              <w:t>13, 14, 15</w:t>
            </w:r>
          </w:p>
        </w:tc>
      </w:tr>
      <w:tr>
        <w:tc>
          <w:tcPr>
            <w:tcW w:type="dxa" w:w="0"/>
          </w:tcPr>
          <w:p>
            <w:r>
              <w:t>Rimba Raya Biodiversity Reserve</w:t>
            </w:r>
          </w:p>
        </w:tc>
        <w:tc>
          <w:tcPr>
            <w:tcW w:type="dxa" w:w="0"/>
          </w:tcPr>
          <w:p>
            <w:r>
              <w:t>Indonesia</w:t>
            </w:r>
          </w:p>
        </w:tc>
        <w:tc>
          <w:tcPr>
            <w:tcW w:type="dxa" w:w="0"/>
          </w:tcPr>
          <w:p>
            <w:r>
              <w:t>RRBR456</w:t>
            </w:r>
          </w:p>
        </w:tc>
        <w:tc>
          <w:tcPr>
            <w:tcW w:type="dxa" w:w="0"/>
          </w:tcPr>
          <w:p>
            <w:r>
              <w:t>Oranghi, Tigri</w:t>
            </w:r>
          </w:p>
        </w:tc>
        <w:tc>
          <w:tcPr>
            <w:tcW w:type="dxa" w:w="0"/>
          </w:tcPr>
          <w:p>
            <w:r>
              <w:t>1,000</w:t>
            </w:r>
          </w:p>
        </w:tc>
        <w:tc>
          <w:tcPr>
            <w:tcW w:type="dxa" w:w="0"/>
          </w:tcPr>
          <w:p>
            <w:r>
              <w:t>640,000</w:t>
            </w:r>
          </w:p>
        </w:tc>
        <w:tc>
          <w:tcPr>
            <w:tcW w:type="dxa" w:w="0"/>
          </w:tcPr>
          <w:p>
            <w:r>
              <w:t>VCS, CCB</w:t>
            </w:r>
          </w:p>
        </w:tc>
        <w:tc>
          <w:tcPr>
            <w:tcW w:type="dxa" w:w="0"/>
          </w:tcPr>
          <w:p>
            <w:r>
              <w:t>13, 15</w:t>
            </w:r>
          </w:p>
        </w:tc>
      </w:tr>
      <w:tr>
        <w:tc>
          <w:tcPr>
            <w:tcW w:type="dxa" w:w="0"/>
          </w:tcPr>
          <w:p>
            <w:r>
              <w:t>Cordillera Azul National Park</w:t>
            </w:r>
          </w:p>
        </w:tc>
        <w:tc>
          <w:tcPr>
            <w:tcW w:type="dxa" w:w="0"/>
          </w:tcPr>
          <w:p>
            <w:r>
              <w:t>Perù</w:t>
            </w:r>
          </w:p>
        </w:tc>
        <w:tc>
          <w:tcPr>
            <w:tcW w:type="dxa" w:w="0"/>
          </w:tcPr>
          <w:p>
            <w:r>
              <w:t>CANP789</w:t>
            </w:r>
          </w:p>
        </w:tc>
        <w:tc>
          <w:tcPr>
            <w:tcW w:type="dxa" w:w="0"/>
          </w:tcPr>
          <w:p>
            <w:r>
              <w:t>Giaguari, Tapiri</w:t>
            </w:r>
          </w:p>
        </w:tc>
        <w:tc>
          <w:tcPr>
            <w:tcW w:type="dxa" w:w="0"/>
          </w:tcPr>
          <w:p>
            <w:r>
              <w:t>800</w:t>
            </w:r>
          </w:p>
        </w:tc>
        <w:tc>
          <w:tcPr>
            <w:tcW w:type="dxa" w:w="0"/>
          </w:tcPr>
          <w:p>
            <w:r>
              <w:t>1,350,000</w:t>
            </w:r>
          </w:p>
        </w:tc>
        <w:tc>
          <w:tcPr>
            <w:tcW w:type="dxa" w:w="0"/>
          </w:tcPr>
          <w:p>
            <w:r>
              <w:t>VCS, CCB</w:t>
            </w:r>
          </w:p>
        </w:tc>
        <w:tc>
          <w:tcPr>
            <w:tcW w:type="dxa" w:w="0"/>
          </w:tcPr>
          <w:p>
            <w:r>
              <w:t>13, 15</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Impatto Generato</w:t>
      </w:r>
    </w:p>
    <w:p>
      <w:pPr>
        <w:pStyle w:val="Heading3"/>
      </w:pPr>
    </w:p>
    <w:p>
      <w:r>
        <w:t>Grazie al supporto di Agilae, questi progetti hanno compensato oltre 1,5 milioni di tonnellate di CO₂, migliorando la qualità della vita delle comunità locali e contribuendo agli Obiettivi di Sviluppo Sostenibile (SDG). I benefici includono la protezione della biodiversità, la creazione di posti di lavoro e il miglioramento delle infrastrutture locali.</w:t>
      </w:r>
    </w:p>
    <w:p>
      <w:pPr>
        <w:pStyle w:val="Heading2"/>
      </w:pPr>
      <w:r>
        <w:t>Capitolo 4:Growth</w:t>
      </w:r>
    </w:p>
    <w:p>
      <w:r>
        <w:t>Immagine rappresentativa del Capitolo 4</w:t>
      </w:r>
    </w:p>
    <w:p>
      <w:pPr>
        <w:pStyle w:val="Heading3"/>
      </w:pPr>
      <w:r>
        <w:t>Governance Aziendale</w:t>
      </w:r>
    </w:p>
    <w:p>
      <w:r>
        <w:t>Agilae S.p.A. adotta una struttura di governance che promuove la trasparenza e l'efficienza, supportando gli obiettivi di sostenibilità. Il Consiglio di Amministrazione è composto da esperti del settore che garantiscono un allineamento strategico con le pratiche sostenibili. La governance aziendale è progettata per facilitare decisioni rapide e informate, mantenendo un forte focus sulla responsabilità sociale e ambientale.</w:t>
      </w:r>
    </w:p>
    <w:p>
      <w:r>
        <w:drawing>
          <wp:inline xmlns:a="http://schemas.openxmlformats.org/drawingml/2006/main" xmlns:pic="http://schemas.openxmlformats.org/drawingml/2006/picture">
            <wp:extent cx="5303520" cy="3977640"/>
            <wp:docPr id="28" name="Picture 28"/>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5303520" cy="3977640"/>
                    </a:xfrm>
                    <a:prstGeom prst="rect"/>
                  </pic:spPr>
                </pic:pic>
              </a:graphicData>
            </a:graphic>
          </wp:inline>
        </w:drawing>
      </w:r>
    </w:p>
    <w:p>
      <w:pPr>
        <w:pStyle w:val="Heading3"/>
      </w:pPr>
      <w:r>
        <w:t>Etica e Integrità</w:t>
      </w:r>
    </w:p>
    <w:p>
      <w:r>
        <w:t>L'azienda si impegna a mantenere elevati standard etici in tutte le sue operazioni. Le politiche di prevenzione della corruzione e l'integrità nei rapporti commerciali sono pilastri fondamentali della cultura aziendale. Agilae S.p.A. ha implementato un codice etico rigoroso che guida i comportamenti dei dipendenti e dei dirigenti, assicurando trasparenza e correttezza in ogni transazione.</w:t>
      </w:r>
    </w:p>
    <w:p>
      <w:pPr>
        <w:pStyle w:val="Heading3"/>
      </w:pPr>
      <w:r>
        <w:t>Innovazione Tecnologica</w:t>
      </w:r>
    </w:p>
    <w:p>
      <w:r>
        <w:t>Agilae S.p.A. utilizza la tecnologia come leva per promuovere la sostenibilità e l'azione climatica. L'azienda investe in soluzioni digitali avanzate che migliorano l'efficienza operativa e riducono l'impatto ambientale. Attraverso l'adozione di tecnologie innovative, Agilae contribuisce attivamente alla transizione verso un'economia più verde e sostenibile.</w:t>
      </w:r>
    </w:p>
    <w:p>
      <w:pPr>
        <w:pStyle w:val="Heading3"/>
      </w:pPr>
      <w:r>
        <w:t>4.1 La governance in Agilae S.p.A.</w:t>
      </w:r>
    </w:p>
    <w:p>
      <w:pPr>
        <w:pStyle w:val="Heading3"/>
      </w:pPr>
      <w:r>
        <w:t>Struttura di Governance</w:t>
      </w:r>
    </w:p>
    <w:p>
      <w:r>
        <w:t>Agilae S.p.A. si avvale di una struttura di governance solida e trasparente, composta dal Consiglio di Amministrazione (CdA) e dal Consiglio dei Manager (CdM). Il CdA è responsabile della supervisione strategica, mentre il CdM si occupa della gestione operativa quotidiana.</w:t>
      </w:r>
    </w:p>
    <w:p>
      <w:pPr>
        <w:pStyle w:val="Heading3"/>
      </w:pPr>
      <w:r>
        <w:t>Composizione del Consiglio di Amministrazione</w:t>
      </w:r>
    </w:p>
    <w:tbl>
      <w:tblPr>
        <w:tblW w:type="auto" w:w="0"/>
        <w:tblLook w:firstColumn="1" w:firstRow="1" w:lastColumn="0" w:lastRow="0" w:noHBand="0" w:noVBand="1" w:val="04A0"/>
      </w:tblPr>
      <w:tblGrid>
        <w:gridCol w:w="1728"/>
        <w:gridCol w:w="1728"/>
        <w:gridCol w:w="1728"/>
        <w:gridCol w:w="1728"/>
        <w:gridCol w:w="1728"/>
      </w:tblGrid>
      <w:tr>
        <w:tc>
          <w:tcPr>
            <w:tcW w:type="dxa" w:w="0"/>
          </w:tcPr>
          <w:p>
            <w:r>
              <w:t>Nome</w:t>
            </w:r>
          </w:p>
        </w:tc>
        <w:tc>
          <w:tcPr>
            <w:tcW w:type="dxa" w:w="0"/>
          </w:tcPr>
          <w:p>
            <w:r>
              <w:t>Ruolo</w:t>
            </w:r>
          </w:p>
        </w:tc>
        <w:tc>
          <w:tcPr>
            <w:tcW w:type="dxa" w:w="0"/>
          </w:tcPr>
          <w:p>
            <w:r>
              <w:t>Genere</w:t>
            </w:r>
          </w:p>
        </w:tc>
        <w:tc>
          <w:tcPr>
            <w:tcW w:type="dxa" w:w="0"/>
          </w:tcPr>
          <w:p>
            <w:r>
              <w:t>Età</w:t>
            </w:r>
          </w:p>
        </w:tc>
        <w:tc>
          <w:tcPr>
            <w:tcW w:type="dxa" w:w="0"/>
          </w:tcPr>
          <w:p>
            <w:r>
              <w:t>Esecutivo/Non esecutivo</w:t>
            </w:r>
          </w:p>
        </w:tc>
      </w:tr>
      <w:tr>
        <w:tc>
          <w:tcPr>
            <w:tcW w:type="dxa" w:w="0"/>
          </w:tcPr>
          <w:p>
            <w:r>
              <w:t>Giovanni Rossi</w:t>
            </w:r>
          </w:p>
        </w:tc>
        <w:tc>
          <w:tcPr>
            <w:tcW w:type="dxa" w:w="0"/>
          </w:tcPr>
          <w:p>
            <w:r>
              <w:t>Presidente</w:t>
            </w:r>
          </w:p>
        </w:tc>
        <w:tc>
          <w:tcPr>
            <w:tcW w:type="dxa" w:w="0"/>
          </w:tcPr>
          <w:p>
            <w:r>
              <w:t>Maschio</w:t>
            </w:r>
          </w:p>
        </w:tc>
        <w:tc>
          <w:tcPr>
            <w:tcW w:type="dxa" w:w="0"/>
          </w:tcPr>
          <w:p>
            <w:r>
              <w:t>55</w:t>
            </w:r>
          </w:p>
        </w:tc>
        <w:tc>
          <w:tcPr>
            <w:tcW w:type="dxa" w:w="0"/>
          </w:tcPr>
          <w:p>
            <w:r>
              <w:t>Esecutivo</w:t>
            </w:r>
          </w:p>
        </w:tc>
      </w:tr>
      <w:tr>
        <w:tc>
          <w:tcPr>
            <w:tcW w:type="dxa" w:w="0"/>
          </w:tcPr>
          <w:p>
            <w:r>
              <w:t>Laura Bianchi</w:t>
            </w:r>
          </w:p>
        </w:tc>
        <w:tc>
          <w:tcPr>
            <w:tcW w:type="dxa" w:w="0"/>
          </w:tcPr>
          <w:p>
            <w:r>
              <w:t>Vice Presidente</w:t>
            </w:r>
          </w:p>
        </w:tc>
        <w:tc>
          <w:tcPr>
            <w:tcW w:type="dxa" w:w="0"/>
          </w:tcPr>
          <w:p>
            <w:r>
              <w:t>Femmina</w:t>
            </w:r>
          </w:p>
        </w:tc>
        <w:tc>
          <w:tcPr>
            <w:tcW w:type="dxa" w:w="0"/>
          </w:tcPr>
          <w:p>
            <w:r>
              <w:t>48</w:t>
            </w:r>
          </w:p>
        </w:tc>
        <w:tc>
          <w:tcPr>
            <w:tcW w:type="dxa" w:w="0"/>
          </w:tcPr>
          <w:p>
            <w:r>
              <w:t>Non esecutivo</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Politiche di Governance</w:t>
      </w:r>
    </w:p>
    <w:p>
      <w:pPr>
        <w:pStyle w:val="Heading3"/>
      </w:pPr>
    </w:p>
    <w:p>
      <w:r>
        <w:t>Agilae S.p.A. adotta politiche di governance che garantiscono trasparenza e responsabilità, allineandosi agli obiettivi di sostenibilità. L'azienda opera come Società Benefit, integrando principi di sostenibilità nelle sue decisioni strategiche.</w:t>
      </w:r>
    </w:p>
    <w:p>
      <w:pPr>
        <w:pStyle w:val="Heading3"/>
      </w:pPr>
      <w:r>
        <w:t>Gestione del Rischio</w:t>
      </w:r>
    </w:p>
    <w:p>
      <w:r>
        <w:t>Il processo di gestione del rischio di Agilae include l'identificazione e la mitigazione dei rischi legati al cambiamento climatico e ad altre variabili di mercato. Una matrice di rischio viene utilizzata per valutare la probabilità e l'impatto di tali rischi.</w:t>
      </w:r>
    </w:p>
    <w:p>
      <w:r>
        <w:drawing>
          <wp:inline xmlns:a="http://schemas.openxmlformats.org/drawingml/2006/main" xmlns:pic="http://schemas.openxmlformats.org/drawingml/2006/picture">
            <wp:extent cx="5303520" cy="5303520"/>
            <wp:docPr id="29" name="Picture 29"/>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5303520" cy="5303520"/>
                    </a:xfrm>
                    <a:prstGeom prst="rect"/>
                  </pic:spPr>
                </pic:pic>
              </a:graphicData>
            </a:graphic>
          </wp:inline>
        </w:drawing>
      </w:r>
    </w:p>
    <w:p>
      <w:pPr>
        <w:pStyle w:val="Heading3"/>
      </w:pPr>
      <w:r>
        <w:t>Performance Economica</w:t>
      </w:r>
    </w:p>
    <w:p>
      <w:r>
        <w:t>La governance di Agilae supporta una crescita sostenibile, come dimostrato dai risultati economici recenti. L'azienda ha registrato un incremento costante dei ricavi, sostenuto da una gestione efficiente e responsabile.</w:t>
      </w:r>
    </w:p>
    <w:p>
      <w:r>
        <w:drawing>
          <wp:inline xmlns:a="http://schemas.openxmlformats.org/drawingml/2006/main" xmlns:pic="http://schemas.openxmlformats.org/drawingml/2006/picture">
            <wp:extent cx="5303520" cy="3977640"/>
            <wp:docPr id="30" name="Picture 30"/>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5303520" cy="3977640"/>
                    </a:xfrm>
                    <a:prstGeom prst="rect"/>
                  </pic:spPr>
                </pic:pic>
              </a:graphicData>
            </a:graphic>
          </wp:inline>
        </w:drawing>
      </w:r>
    </w:p>
    <w:p>
      <w:pPr>
        <w:pStyle w:val="Heading3"/>
      </w:pPr>
      <w:r>
        <w:t>4.2 Rapporti commerciali etici</w:t>
      </w:r>
    </w:p>
    <w:p>
      <w:pPr>
        <w:pStyle w:val="Heading3"/>
      </w:pPr>
      <w:r>
        <w:t>Politiche Etiche</w:t>
      </w:r>
    </w:p>
    <w:p>
      <w:r>
        <w:t>Agilae S.p.A. adotta un approccio rigoroso alle politiche etiche, garantendo trasparenza e integrità in tutte le sue operazioni. Le politiche aziendali sono progettate per promuovere comportamenti etici e responsabili, con un focus particolare sulla trasparenza e sull'integrità.</w:t>
      </w:r>
    </w:p>
    <w:p>
      <w:pPr>
        <w:pStyle w:val="ListBullet"/>
      </w:pPr>
      <w:r>
        <w:t>Codice Etico: Stabilisce gli standard di comportamento attesi da tutti i dipendenti e collaboratori.</w:t>
      </w:r>
    </w:p>
    <w:p>
      <w:pPr>
        <w:pStyle w:val="ListBullet"/>
      </w:pPr>
      <w:r>
        <w:t>Politiche di Trasparenza: Garantisce che tutte le transazioni siano condotte in modo aperto e verificabile.</w:t>
      </w:r>
    </w:p>
    <w:p>
      <w:pPr>
        <w:pStyle w:val="ListBullet"/>
      </w:pPr>
      <w:r>
        <w:t>Integrità nelle Vendite: Assicura che le pratiche di vendita siano oneste e rispettino i diritti dei clienti.</w:t>
      </w:r>
    </w:p>
    <w:p>
      <w:pPr>
        <w:pStyle w:val="Heading3"/>
      </w:pPr>
      <w:r>
        <w:t>Conformità Normativa</w:t>
      </w:r>
    </w:p>
    <w:p>
      <w:r>
        <w:t>Agilae S.p.A. si impegna a rispettare tutte le leggi e i regolamenti applicabili, inclusi quelli relativi alla prevenzione della corruzione e alla protezione dei dati personali (GDPR). L'azienda adotta misure proattive per garantire la conformità normativa e minimizzare i rischi legali.</w:t>
      </w:r>
    </w:p>
    <w:p>
      <w:pPr>
        <w:pStyle w:val="Heading3"/>
      </w:pPr>
      <w:r>
        <w:t>Pratiche Commerciali</w:t>
      </w:r>
    </w:p>
    <w:p>
      <w:r>
        <w:t>I rapporti con clienti, fornitori e partner sono gestiti con la massima attenzione alla correttezza e alla trasparenza. Agilae S.p.A. adotta un approccio equo nella gestione dei prezzi e dei contratti, assicurando che tutte le parti coinvolte siano trattate con rispetto e onestà.</w:t>
      </w:r>
    </w:p>
    <w:p>
      <w:pPr>
        <w:pStyle w:val="Heading3"/>
      </w:pPr>
      <w:r>
        <w:t>Formazione e Sensibilizzazione</w:t>
      </w:r>
    </w:p>
    <w:p>
      <w:r>
        <w:t>L'azienda investe significativamente nella formazione del personale su temi etici e legali. Programmi di formazione regolari sono progettati per sensibilizzare i dipendenti sull'importanza dell'etica nei rapporti commerciali e per aggiornare le loro conoscenze sulle normative vigenti.</w:t>
      </w:r>
    </w:p>
    <w:p>
      <w:pPr>
        <w:pStyle w:val="Heading3"/>
      </w:pPr>
      <w:r>
        <w:t>Risultati</w:t>
      </w:r>
    </w:p>
    <w:p>
      <w:r>
        <w:t>Grazie all'impegno costante verso l'etica e la conformità, Agilae S.p.A. non ha subito sanzioni o casi di corruzione negli ultimi anni. Questo risultato riflette l'efficacia delle politiche e delle pratiche adottate dall'azienda.</w:t>
      </w:r>
    </w:p>
    <w:p>
      <w:pPr>
        <w:pStyle w:val="Heading3"/>
      </w:pPr>
      <w:r>
        <w:t>4.3 Tecnologia al servizio dell’azione climatica</w:t>
      </w:r>
    </w:p>
    <w:p>
      <w:pPr>
        <w:pStyle w:val="Heading3"/>
      </w:pPr>
      <w:r>
        <w:t>Innovazione Tecnologica</w:t>
      </w:r>
    </w:p>
    <w:p>
      <w:r>
        <w:t>Agilae S.p.A. integra la tecnologia come pilastro fondamentale per promuovere la sostenibilità ambientale. L'azienda si impegna a sviluppare soluzioni digitali che non solo migliorano l'efficienza operativa, ma riducono anche l'impatto ambientale.</w:t>
      </w:r>
    </w:p>
    <w:p>
      <w:pPr>
        <w:pStyle w:val="Heading3"/>
      </w:pPr>
      <w:r>
        <w:t>Descrizione delle Piattaforme</w:t>
      </w:r>
    </w:p>
    <w:p>
      <w:pPr>
        <w:pStyle w:val="Heading4"/>
      </w:pPr>
      <w:r>
        <w:t>CliMax</w:t>
      </w:r>
    </w:p>
    <w:p>
      <w:r>
        <w:t>CliMax è una piattaforma all'avanguardia progettata per monitorare e ottimizzare l'uso delle risorse energetiche. Le sue funzionalità principali includono l'analisi in tempo reale dei consumi energetici e la previsione delle emissioni di CO2. Recenti aggiornamenti hanno migliorato l'interfaccia utente e introdotto algoritmi di machine learning per una previsione più accurata, offrendo ai clienti strumenti potenti per ridurre la loro impronta di carbonio.</w:t>
      </w:r>
    </w:p>
    <w:p>
      <w:r>
        <w:drawing>
          <wp:inline xmlns:a="http://schemas.openxmlformats.org/drawingml/2006/main" xmlns:pic="http://schemas.openxmlformats.org/drawingml/2006/picture">
            <wp:extent cx="5303520" cy="3977640"/>
            <wp:docPr id="31" name="Picture 31"/>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5303520" cy="3977640"/>
                    </a:xfrm>
                    <a:prstGeom prst="rect"/>
                  </pic:spPr>
                </pic:pic>
              </a:graphicData>
            </a:graphic>
          </wp:inline>
        </w:drawing>
      </w:r>
    </w:p>
    <w:p>
      <w:r>
        <w:t>Figura 1: Funzionalità della piattaforma CliMax</w:t>
      </w:r>
    </w:p>
    <w:p>
      <w:pPr>
        <w:pStyle w:val="Heading4"/>
      </w:pPr>
      <w:r>
        <w:t>PlaNet</w:t>
      </w:r>
    </w:p>
    <w:p>
      <w:r>
        <w:t>PlaNet è una piattaforma dedicata a migliorare l'engagement e la formazione sui temi della sostenibilità. Attraverso moduli interattivi e contenuti personalizzati, PlaNet facilita la comprensione delle pratiche sostenibili e promuove un cambiamento comportamentale positivo. Gli aggiornamenti recenti hanno ampliato la gamma di contenuti formativi e migliorato l'accessibilità della piattaforma.</w:t>
      </w:r>
    </w:p>
    <w:p>
      <w:r>
        <w:drawing>
          <wp:inline xmlns:a="http://schemas.openxmlformats.org/drawingml/2006/main" xmlns:pic="http://schemas.openxmlformats.org/drawingml/2006/picture">
            <wp:extent cx="5303520" cy="3977640"/>
            <wp:docPr id="32" name="Picture 32"/>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5303520" cy="3977640"/>
                    </a:xfrm>
                    <a:prstGeom prst="rect"/>
                  </pic:spPr>
                </pic:pic>
              </a:graphicData>
            </a:graphic>
          </wp:inline>
        </w:drawing>
      </w:r>
    </w:p>
    <w:p>
      <w:r>
        <w:t>Figura 2: Funzionalità della piattaforma PlaNet</w:t>
      </w:r>
    </w:p>
    <w:p>
      <w:pPr>
        <w:pStyle w:val="Heading3"/>
      </w:pPr>
      <w:r>
        <w:t>Qualità del Prodotto</w:t>
      </w:r>
    </w:p>
    <w:p>
      <w:r>
        <w:t>Agilae S.p.A. garantisce l'eccellenza nello sviluppo dei suoi prodotti digitali attraverso processi rigorosi di sviluppo e testing. Il feedback dei clienti è costantemente integrato per migliorare le funzionalità e l'usabilità delle piattaforme, assicurando che i prodotti non solo soddisfino, ma superino le aspettative degli utenti.</w:t>
      </w:r>
    </w:p>
    <w:p>
      <w:pPr>
        <w:pStyle w:val="Heading3"/>
      </w:pPr>
      <w:r>
        <w:t>Sicurezza dei Dati e Privacy</w:t>
      </w:r>
    </w:p>
    <w:p>
      <w:r>
        <w:t>La protezione dei dati degli utenti è una priorità assoluta per Agilae S.p.A. L'azienda adotta misure avanzate per garantire la sicurezza dei dati e la conformità al GDPR, inclusi protocolli di crittografia e audit regolari per identificare e mitigare potenziali vulnerabilità.</w:t>
      </w:r>
    </w:p>
    <w:p>
      <w:pPr>
        <w:pStyle w:val="Heading2"/>
      </w:pPr>
      <w:r>
        <w:t>Conclusione</w:t>
      </w:r>
    </w:p>
    <w:p>
      <w:pPr>
        <w:pStyle w:val="Heading2"/>
      </w:pPr>
      <w:r>
        <w:t>Conclusione</w:t>
      </w:r>
    </w:p>
    <w:p>
      <w:r>
        <w:t>Il bilancio di sostenibilità di Agilae S.p.A. evidenzia un anno di significativi progressi e impegni verso un futuro più sostenibile. Le iniziative chiave hanno incluso la riduzione delle emissioni di CO2, l'incremento dell'efficienza energetica e l'espansione delle pratiche di responsabilità sociale.</w:t>
      </w:r>
    </w:p>
    <w:p>
      <w:r>
        <w:t>Guardando al futuro, Agilae S.p.A. si impegna a continuare su questa strada, perseguendo obiettivi ambiziosi che includono l'ulteriore riduzione dell'impatto ambientale, l'innovazione tecnologica e il miglioramento della soddisfazione dei clienti. L'azienda è determinata a mantenere un ruolo di leadership nella sostenibilità, integrando pratiche responsabili in ogni aspetto delle sue operazioni.</w:t>
      </w:r>
    </w:p>
    <w:p>
      <w:r>
        <w:t>Ringraziamo sinceramente i nostri dipendenti, partner, stakeholder e lettori per il loro continuo supporto e collaborazione. Il vostro impegno e la vostra fiducia sono fondamentali per il nostro successo e per il raggiungimento dei nostri obiettivi di sostenibilità.</w:t>
      </w:r>
    </w:p>
    <w:p>
      <w:pPr>
        <w:pStyle w:val="Heading2"/>
      </w:pPr>
      <w:r>
        <w:t>Nota metodologica</w:t>
      </w:r>
    </w:p>
    <w:p>
      <w:pPr>
        <w:pStyle w:val="Heading2"/>
      </w:pPr>
      <w:r>
        <w:t>Nota Metodologica</w:t>
      </w:r>
    </w:p>
    <w:p>
      <w:r>
        <w:t>Il bilancio di sostenibilità di Agilae S.p.A. è stato redatto seguendo gli standard ESRS (European Sustainability Reporting Standards), garantendo un approccio strutturato e trasparente nella rendicontazione delle performance ambientali, sociali e di governance.</w:t>
      </w:r>
    </w:p>
    <w:p>
      <w:pPr>
        <w:pStyle w:val="Heading3"/>
      </w:pPr>
      <w:r>
        <w:t>Standard Utilizzati</w:t>
      </w:r>
    </w:p>
    <w:p>
      <w:r>
        <w:t>Abbiamo adottato gli standard ESRS per assicurare che il nostro bilancio sia allineato alle migliori pratiche internazionali. Questi standard ci permettono di comunicare in modo chiaro e coerente i nostri impatti e le nostre iniziative di sostenibilità.</w:t>
      </w:r>
    </w:p>
    <w:p>
      <w:pPr>
        <w:pStyle w:val="Heading3"/>
      </w:pPr>
      <w:r>
        <w:t>Perimetro di Rendicontazione</w:t>
      </w:r>
    </w:p>
    <w:p>
      <w:r>
        <w:t>Il bilancio copre tutte le sedi operative di Agilae S.p.A. in Italia, includendo le attività principali di consulenza tecnologica e innovazione. Sono state considerate tutte le operazioni che hanno un impatto significativo sulla nostra performance di sostenibilità.</w:t>
      </w:r>
    </w:p>
    <w:p>
      <w:pPr>
        <w:pStyle w:val="Heading3"/>
      </w:pPr>
      <w:r>
        <w:t>Processo di Raccolta Dati</w:t>
      </w:r>
    </w:p>
    <w:p>
      <w:r>
        <w:t>I dati sono stati raccolti attraverso un sistema integrato di gestione delle informazioni, che include input da vari dipartimenti aziendali. Ogni dato è stato verificato internamente per garantirne l'accuratezza e la completezza.</w:t>
      </w:r>
    </w:p>
    <w:p>
      <w:pPr>
        <w:pStyle w:val="Heading3"/>
      </w:pPr>
      <w:r>
        <w:t>Cambiamenti Metodologici</w:t>
      </w:r>
    </w:p>
    <w:p>
      <w:r>
        <w:t>Rispetto all'anno precedente, abbiamo ampliato il perimetro di rendicontazione per includere nuove iniziative di sostenibilità e abbiamo migliorato i nostri processi di raccolta dati per una maggiore precisione.</w:t>
      </w:r>
    </w:p>
    <w:p>
      <w:pPr>
        <w:pStyle w:val="Heading3"/>
      </w:pPr>
      <w:r>
        <w:t>Verifica dei Dati</w:t>
      </w:r>
    </w:p>
    <w:p>
      <w:r>
        <w:t>Il bilancio è stato sottoposto a una revisione interna per garantire la conformità agli standard ESRS. Non è stata effettuata una verifica esterna da parte di terze parti per questo ciclo di rendicontazione.</w:t>
      </w:r>
    </w:p>
    <w:p>
      <w:pPr>
        <w:pStyle w:val="Heading2"/>
      </w:pPr>
      <w:r>
        <w:t>Indice dei contenuti ESRS</w:t>
      </w:r>
    </w:p>
    <w:p>
      <w:pPr>
        <w:pStyle w:val="Heading2"/>
      </w:pPr>
      <w:r>
        <w:t>Indice ESRS</w:t>
      </w:r>
    </w:p>
    <w:p>
      <w:r>
        <w:t>L'Indice ESRS fornisce una mappatura dettagliata dei contenuti del bilancio di sostenibilità in relazione ai requisiti specifici degli standard ESRS. Questa tabella facilita la consultazione e la verifica della conformità da parte dei lettori interessati.</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Standard</w:t>
            </w:r>
          </w:p>
        </w:tc>
        <w:tc>
          <w:tcPr>
            <w:tcW w:type="dxa" w:w="0"/>
          </w:tcPr>
          <w:p>
            <w:r>
              <w:t>Pilastro</w:t>
            </w:r>
          </w:p>
        </w:tc>
        <w:tc>
          <w:tcPr>
            <w:tcW w:type="dxa" w:w="0"/>
          </w:tcPr>
          <w:p>
            <w:r>
              <w:t>Modulo</w:t>
            </w:r>
          </w:p>
        </w:tc>
        <w:tc>
          <w:tcPr>
            <w:tcW w:type="dxa" w:w="0"/>
          </w:tcPr>
          <w:p>
            <w:r>
              <w:t>KPI</w:t>
            </w:r>
          </w:p>
        </w:tc>
        <w:tc>
          <w:tcPr>
            <w:tcW w:type="dxa" w:w="0"/>
          </w:tcPr>
          <w:p>
            <w:r>
              <w:t>Note</w:t>
            </w:r>
          </w:p>
        </w:tc>
        <w:tc>
          <w:tcPr>
            <w:tcW w:type="dxa" w:w="0"/>
          </w:tcPr>
          <w:p>
            <w:r>
              <w:t>Pagina</w:t>
            </w:r>
          </w:p>
        </w:tc>
      </w:tr>
      <w:tr>
        <w:tc>
          <w:tcPr>
            <w:tcW w:type="dxa" w:w="0"/>
          </w:tcPr>
          <w:p>
            <w:r>
              <w:t>ESRS E1</w:t>
            </w:r>
          </w:p>
        </w:tc>
        <w:tc>
          <w:tcPr>
            <w:tcW w:type="dxa" w:w="0"/>
          </w:tcPr>
          <w:p>
            <w:r>
              <w:t>Ambiente</w:t>
            </w:r>
          </w:p>
        </w:tc>
        <w:tc>
          <w:tcPr>
            <w:tcW w:type="dxa" w:w="0"/>
          </w:tcPr>
          <w:p>
            <w:r>
              <w:t>Transizione climatica</w:t>
            </w:r>
          </w:p>
        </w:tc>
        <w:tc>
          <w:tcPr>
            <w:tcW w:type="dxa" w:w="0"/>
          </w:tcPr>
          <w:p>
            <w:r>
              <w:t>Riduzione delle emissioni GHG</w:t>
            </w:r>
          </w:p>
        </w:tc>
        <w:tc>
          <w:tcPr>
            <w:tcW w:type="dxa" w:w="0"/>
          </w:tcPr>
          <w:p>
            <w:r>
              <w:t>Obiettivi di riduzione delle emissioni</w:t>
            </w:r>
          </w:p>
        </w:tc>
        <w:tc>
          <w:tcPr>
            <w:tcW w:type="dxa" w:w="0"/>
          </w:tcPr>
          <w:p>
            <w:r>
              <w:t>20</w:t>
            </w:r>
          </w:p>
        </w:tc>
      </w:tr>
      <w:tr>
        <w:tc>
          <w:tcPr>
            <w:tcW w:type="dxa" w:w="0"/>
          </w:tcPr>
          <w:p>
            <w:r>
              <w:t>ESRS E2</w:t>
            </w:r>
          </w:p>
        </w:tc>
        <w:tc>
          <w:tcPr>
            <w:tcW w:type="dxa" w:w="0"/>
          </w:tcPr>
          <w:p>
            <w:r>
              <w:t>Ambiente</w:t>
            </w:r>
          </w:p>
        </w:tc>
        <w:tc>
          <w:tcPr>
            <w:tcW w:type="dxa" w:w="0"/>
          </w:tcPr>
          <w:p>
            <w:r>
              <w:t>Inquinamento</w:t>
            </w:r>
          </w:p>
        </w:tc>
        <w:tc>
          <w:tcPr>
            <w:tcW w:type="dxa" w:w="0"/>
          </w:tcPr>
          <w:p>
            <w:r>
              <w:t>Controllo delle emissioni</w:t>
            </w:r>
          </w:p>
        </w:tc>
        <w:tc>
          <w:tcPr>
            <w:tcW w:type="dxa" w:w="0"/>
          </w:tcPr>
          <w:p>
            <w:r>
              <w:t>Misure di mitigazione</w:t>
            </w:r>
          </w:p>
        </w:tc>
        <w:tc>
          <w:tcPr>
            <w:tcW w:type="dxa" w:w="0"/>
          </w:tcPr>
          <w:p>
            <w:r>
              <w:t>22</w:t>
            </w:r>
          </w:p>
        </w:tc>
      </w:tr>
      <w:tr>
        <w:tc>
          <w:tcPr>
            <w:tcW w:type="dxa" w:w="0"/>
          </w:tcPr>
          <w:p>
            <w:r>
              <w:t>ESRS E3</w:t>
            </w:r>
          </w:p>
        </w:tc>
        <w:tc>
          <w:tcPr>
            <w:tcW w:type="dxa" w:w="0"/>
          </w:tcPr>
          <w:p>
            <w:r>
              <w:t>Ambiente</w:t>
            </w:r>
          </w:p>
        </w:tc>
        <w:tc>
          <w:tcPr>
            <w:tcW w:type="dxa" w:w="0"/>
          </w:tcPr>
          <w:p>
            <w:r>
              <w:t>Risorse idriche</w:t>
            </w:r>
          </w:p>
        </w:tc>
        <w:tc>
          <w:tcPr>
            <w:tcW w:type="dxa" w:w="0"/>
          </w:tcPr>
          <w:p>
            <w:r>
              <w:t>Gestione sostenibile</w:t>
            </w:r>
          </w:p>
        </w:tc>
        <w:tc>
          <w:tcPr>
            <w:tcW w:type="dxa" w:w="0"/>
          </w:tcPr>
          <w:p>
            <w:r>
              <w:t>Uso efficiente delle risorse</w:t>
            </w:r>
          </w:p>
        </w:tc>
        <w:tc>
          <w:tcPr>
            <w:tcW w:type="dxa" w:w="0"/>
          </w:tcPr>
          <w:p>
            <w:r>
              <w:t>24</w:t>
            </w:r>
          </w:p>
        </w:tc>
      </w:tr>
      <w:tr>
        <w:tc>
          <w:tcPr>
            <w:tcW w:type="dxa" w:w="0"/>
          </w:tcPr>
          <w:p>
            <w:r>
              <w:t>ESRS S1</w:t>
            </w:r>
          </w:p>
        </w:tc>
        <w:tc>
          <w:tcPr>
            <w:tcW w:type="dxa" w:w="0"/>
          </w:tcPr>
          <w:p>
            <w:r>
              <w:t>Sociale</w:t>
            </w:r>
          </w:p>
        </w:tc>
        <w:tc>
          <w:tcPr>
            <w:tcW w:type="dxa" w:w="0"/>
          </w:tcPr>
          <w:p>
            <w:r>
              <w:t>Pratiche di lavoro</w:t>
            </w:r>
          </w:p>
        </w:tc>
        <w:tc>
          <w:tcPr>
            <w:tcW w:type="dxa" w:w="0"/>
          </w:tcPr>
          <w:p>
            <w:r>
              <w:t>Benessere dei dipendenti</w:t>
            </w:r>
          </w:p>
        </w:tc>
        <w:tc>
          <w:tcPr>
            <w:tcW w:type="dxa" w:w="0"/>
          </w:tcPr>
          <w:p>
            <w:r>
              <w:t>Programmi di supporto</w:t>
            </w:r>
          </w:p>
        </w:tc>
        <w:tc>
          <w:tcPr>
            <w:tcW w:type="dxa" w:w="0"/>
          </w:tcPr>
          <w:p>
            <w:r>
              <w:t>30</w:t>
            </w:r>
          </w:p>
        </w:tc>
      </w:tr>
      <w:tr>
        <w:tc>
          <w:tcPr>
            <w:tcW w:type="dxa" w:w="0"/>
          </w:tcPr>
          <w:p>
            <w:r>
              <w:t>ESRS G1</w:t>
            </w:r>
          </w:p>
        </w:tc>
        <w:tc>
          <w:tcPr>
            <w:tcW w:type="dxa" w:w="0"/>
          </w:tcPr>
          <w:p>
            <w:r>
              <w:t>Governance</w:t>
            </w:r>
          </w:p>
        </w:tc>
        <w:tc>
          <w:tcPr>
            <w:tcW w:type="dxa" w:w="0"/>
          </w:tcPr>
          <w:p>
            <w:r>
              <w:t>Struttura di governance</w:t>
            </w:r>
          </w:p>
        </w:tc>
        <w:tc>
          <w:tcPr>
            <w:tcW w:type="dxa" w:w="0"/>
          </w:tcPr>
          <w:p>
            <w:r>
              <w:t>Trasparenza e responsabilità</w:t>
            </w:r>
          </w:p>
        </w:tc>
        <w:tc>
          <w:tcPr>
            <w:tcW w:type="dxa" w:w="0"/>
          </w:tcPr>
          <w:p>
            <w:r>
              <w:t>Politiche di governance</w:t>
            </w:r>
          </w:p>
        </w:tc>
        <w:tc>
          <w:tcPr>
            <w:tcW w:type="dxa" w:w="0"/>
          </w:tcPr>
          <w:p>
            <w:r>
              <w:t>35</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Note esplicative: La tabella sopra elenca gli standard ESRS applicabili e indica dove nel bilancio sono trattati. Ogni voce è correlata a specifici moduli e KPI per garantire una rendicontazione completa e accurata.</w:t>
      </w:r>
    </w:p>
    <w:p>
      <w:pPr>
        <w:pStyle w:val="Heading2"/>
      </w:pPr>
      <w:r>
        <w:t>Informazioni di contatto</w:t>
      </w:r>
    </w:p>
    <w:p>
      <w:pPr>
        <w:pStyle w:val="Heading2"/>
      </w:pPr>
      <w:r>
        <w:t>Informazioni di Contatto</w:t>
      </w:r>
    </w:p>
    <w:p>
      <w:pPr>
        <w:pStyle w:val="ListBullet"/>
      </w:pPr>
      <w:r>
        <w:rPr>
          <w:b/>
        </w:rPr>
        <w:t>Email per contatti relativi al bilancio:</w:t>
      </w:r>
      <w:r>
        <w:t xml:space="preserve"> contact@agilae.it mailto:contact@agilae.it</w:t>
      </w:r>
    </w:p>
    <w:p>
      <w:pPr>
        <w:pStyle w:val="ListBullet"/>
      </w:pPr>
      <w:r>
        <w:rPr>
          <w:b/>
        </w:rPr>
        <w:t>Sito web aziendale:</w:t>
      </w:r>
      <w:r>
        <w:t xml:space="preserve"> www.agilae.it https://www.agilae.it/</w:t>
      </w:r>
    </w:p>
    <w:p>
      <w:pPr>
        <w:pStyle w:val="ListBullet"/>
      </w:pPr>
      <w:r>
        <w:rPr>
          <w:b/>
        </w:rPr>
        <w:t>Indirizzi fisici delle sedi principali:</w:t>
      </w:r>
      <w:r/>
    </w:p>
    <w:p>
      <w:pPr>
        <w:pStyle w:val="ListBullet2"/>
      </w:pPr>
      <w:r>
        <w:t>Via Diocleziano 107, Napoli (NA) - 80125</w:t>
      </w:r>
    </w:p>
    <w:p>
      <w:pPr>
        <w:pStyle w:val="ListBullet2"/>
      </w:pPr>
      <w:r>
        <w:t>Via Ponte dei Granili, 24/32, 80146 Napoli</w:t>
      </w:r>
    </w:p>
    <w:p>
      <w:r>
        <w:t>Per ulteriori informazioni, è possibile contattare il responsabile per la sostenibilità e le relazioni con gli stakeholder, Sig.ra Laura Bianchi, all'indirizzo email sopra indicato.</w:t>
      </w:r>
    </w:p>
    <w:p>
      <w:r>
        <w:drawing>
          <wp:inline xmlns:a="http://schemas.openxmlformats.org/drawingml/2006/main" xmlns:pic="http://schemas.openxmlformats.org/drawingml/2006/picture">
            <wp:extent cx="5303520" cy="1217060"/>
            <wp:docPr id="33" name="Picture 33"/>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5303520" cy="121706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from HTML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