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Q3 Transformation Program Brief</w:t>
      </w:r>
    </w:p>
    <w:p>
      <w:pPr>
        <w:pStyle w:val="Subtitle"/>
        <w:jc w:val="center"/>
      </w:pPr>
      <w:r>
        <w:rPr>
          <w:i/>
        </w:rPr>
        <w:t>Multi-section document with tables, images, bullets, quote block, hyperlink and page break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 xml:space="preserve">Purpose. </w:t>
      </w:r>
      <w:r>
        <w:t>This sample document simulates a program brief for downstream Markdown conversion. It intentionally mixes narrative prose, a summary table, a pull-quote, numbered actions, an embedded illustration and a structured risk register so that Docling receives a rich DOCX input.</w:t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B68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3324"/>
            <w:shd w:fill="173B68"/>
          </w:tcPr>
          <w:p>
            <w:r>
              <w:rPr>
                <w:b/>
                <w:color w:val="FFFFFF"/>
              </w:rPr>
              <w:t>Current state</w:t>
            </w:r>
          </w:p>
        </w:tc>
        <w:tc>
          <w:tcPr>
            <w:tcW w:type="dxa" w:w="3324"/>
            <w:shd w:fill="173B68"/>
          </w:tcPr>
          <w:p>
            <w:r>
              <w:rPr>
                <w:b/>
                <w:color w:val="FFFFFF"/>
              </w:rPr>
              <w:t>Target by quarter-end</w:t>
            </w:r>
          </w:p>
        </w:tc>
      </w:tr>
      <w:tr>
        <w:tc>
          <w:tcPr>
            <w:tcW w:type="dxa" w:w="2268"/>
          </w:tcPr>
          <w:p>
            <w:r>
              <w:t>Revenue enablement</w:t>
            </w:r>
          </w:p>
        </w:tc>
        <w:tc>
          <w:tcPr>
            <w:tcW w:type="dxa" w:w="3118"/>
          </w:tcPr>
          <w:p>
            <w:r>
              <w:t>Pipeline quality improving but handoffs remain manual.</w:t>
            </w:r>
          </w:p>
        </w:tc>
        <w:tc>
          <w:tcPr>
            <w:tcW w:type="dxa" w:w="3118"/>
          </w:tcPr>
          <w:p>
            <w:r>
              <w:t>Single operating cadence with stage-gated reviews and AI summaries.</w:t>
            </w:r>
          </w:p>
        </w:tc>
      </w:tr>
      <w:tr>
        <w:tc>
          <w:tcPr>
            <w:tcW w:type="dxa" w:w="2268"/>
            <w:shd w:fill="F7FAFD"/>
          </w:tcPr>
          <w:p>
            <w:r>
              <w:t>Supplier resilience</w:t>
            </w:r>
          </w:p>
        </w:tc>
        <w:tc>
          <w:tcPr>
            <w:tcW w:type="dxa" w:w="3118"/>
            <w:shd w:fill="F7FAFD"/>
          </w:tcPr>
          <w:p>
            <w:r>
              <w:t>Critical vendors mapped; second-source coverage incomplete.</w:t>
            </w:r>
          </w:p>
        </w:tc>
        <w:tc>
          <w:tcPr>
            <w:tcW w:type="dxa" w:w="3118"/>
            <w:shd w:fill="F7FAFD"/>
          </w:tcPr>
          <w:p>
            <w:r>
              <w:t>Coverage above 85% for top spend categories.</w:t>
            </w:r>
          </w:p>
        </w:tc>
      </w:tr>
      <w:tr>
        <w:tc>
          <w:tcPr>
            <w:tcW w:type="dxa" w:w="2268"/>
          </w:tcPr>
          <w:p>
            <w:r>
              <w:t>Data governance</w:t>
            </w:r>
          </w:p>
        </w:tc>
        <w:tc>
          <w:tcPr>
            <w:tcW w:type="dxa" w:w="3118"/>
          </w:tcPr>
          <w:p>
            <w:r>
              <w:t>Definitions differ across finance and operations dashboards.</w:t>
            </w:r>
          </w:p>
        </w:tc>
        <w:tc>
          <w:tcPr>
            <w:tcW w:type="dxa" w:w="3118"/>
          </w:tcPr>
          <w:p>
            <w:r>
              <w:t>Unified KPI dictionary signed off by the PMO and finance controller.</w:t>
            </w:r>
          </w:p>
        </w:tc>
      </w:tr>
      <w:tr>
        <w:tc>
          <w:tcPr>
            <w:tcW w:type="dxa" w:w="2268"/>
            <w:shd w:fill="F7FAFD"/>
          </w:tcPr>
          <w:p>
            <w:r>
              <w:t>Operating model</w:t>
            </w:r>
          </w:p>
        </w:tc>
        <w:tc>
          <w:tcPr>
            <w:tcW w:type="dxa" w:w="3118"/>
            <w:shd w:fill="F7FAFD"/>
          </w:tcPr>
          <w:p>
            <w:r>
              <w:t>Regional rituals exist but escalation paths are inconsistent.</w:t>
            </w:r>
          </w:p>
        </w:tc>
        <w:tc>
          <w:tcPr>
            <w:tcW w:type="dxa" w:w="3118"/>
            <w:shd w:fill="F7FAFD"/>
          </w:tcPr>
          <w:p>
            <w:r>
              <w:t>Regional playbook with measurable SLA and ownership matrix.</w:t>
            </w:r>
          </w:p>
        </w:tc>
      </w:tr>
    </w:tbl>
    <w:p/>
    <w:p>
      <w:pPr>
        <w:spacing w:before="120" w:after="160"/>
        <w:ind w:left="567" w:right="283"/>
      </w:pPr>
      <w:r>
        <w:rPr>
          <w:i/>
          <w:color w:val="2E86AB"/>
          <w:sz w:val="22"/>
        </w:rPr>
        <w:t>"The operating model is now robust enough to scale, but only if we turn fragmented reporting into a disciplined weekly narrative."</w:t>
      </w:r>
    </w:p>
    <w:p>
      <w:pPr>
        <w:pStyle w:val="Heading2"/>
      </w:pPr>
      <w:r>
        <w:t>Key workstreams</w:t>
      </w:r>
    </w:p>
    <w:p>
      <w:pPr>
        <w:pStyle w:val="ListBullet"/>
      </w:pPr>
      <w:r>
        <w:t>Standardise the executive review pack and align metric definitions across regions.</w:t>
      </w:r>
    </w:p>
    <w:p>
      <w:pPr>
        <w:pStyle w:val="ListBullet"/>
      </w:pPr>
      <w:r>
        <w:t>Introduce a supplier watchlist combining risk, spend concentration and incident trend signals.</w:t>
      </w:r>
    </w:p>
    <w:p>
      <w:pPr>
        <w:pStyle w:val="ListBullet"/>
      </w:pPr>
      <w:r>
        <w:t>Automate meeting notes and action extraction for recurring governance forums.</w:t>
      </w:r>
    </w:p>
    <w:p>
      <w:pPr>
        <w:pStyle w:val="ListNumber"/>
      </w:pPr>
      <w:r>
        <w:t>Approve the revised KPI dictionary.</w:t>
      </w:r>
    </w:p>
    <w:p>
      <w:pPr>
        <w:pStyle w:val="ListNumber"/>
      </w:pPr>
      <w:r>
        <w:t>Nominate accountable owners for each cross-functional dependency.</w:t>
      </w:r>
    </w:p>
    <w:p>
      <w:pPr>
        <w:pStyle w:val="ListNumber"/>
      </w:pPr>
      <w:r>
        <w:t>Pilot document-to-Markdown conversion for steering packs and audit appendices.</w:t>
      </w:r>
    </w:p>
    <w:p>
      <w:r>
        <w:t xml:space="preserve">Reference repository: </w:t>
      </w:r>
      <w:hyperlink r:id="rId12">
        <w:r>
          <w:rPr>
            <w:color w:val="0563C1"/>
            <w:u w:val="single"/>
          </w:rPr>
          <w:t>Transformation playbook</w:t>
        </w:r>
      </w:hyperlink>
    </w:p>
    <w:p>
      <w:pPr>
        <w:pStyle w:val="Heading1"/>
      </w:pPr>
      <w:r>
        <w:t>2. Delivery architecture</w:t>
      </w:r>
    </w:p>
    <w:p>
      <w:r>
        <w:drawing>
          <wp:inline xmlns:a="http://schemas.openxmlformats.org/drawingml/2006/main" xmlns:pic="http://schemas.openxmlformats.org/drawingml/2006/picture">
            <wp:extent cx="5303520" cy="2984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s_isometr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8"/>
          <w:sz w:val="18"/>
        </w:rPr>
        <w:t>Figure 1. Isometric network view used to test image extraction and caption retention.</w:t>
      </w:r>
    </w:p>
    <w:p>
      <w:r>
        <w:t>The architecture combines workstream-level plans, a common decision log and a shared dependency register. Each pillar publishes a Friday checkpoint note, while the PMO curates a Monday leadership digest with red-amber-green status and unresolved blockers.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134" w:bottom="85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3.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2E86AB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94"/>
            <w:shd w:fill="2E86AB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994"/>
            <w:shd w:fill="2E86AB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994"/>
            <w:shd w:fill="2E86AB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994"/>
            <w:shd w:fill="2E86AB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994"/>
            <w:shd w:fill="F9FBFC"/>
          </w:tcPr>
          <w:p>
            <w:r>
              <w:t>R-01</w:t>
            </w:r>
          </w:p>
        </w:tc>
        <w:tc>
          <w:tcPr>
            <w:tcW w:type="dxa" w:w="1994"/>
            <w:shd w:fill="F9FBFC"/>
          </w:tcPr>
          <w:p>
            <w:r>
              <w:t>Finance and operations disagree on pipeline qualification criteria.</w:t>
            </w:r>
          </w:p>
        </w:tc>
        <w:tc>
          <w:tcPr>
            <w:tcW w:type="dxa" w:w="1994"/>
            <w:shd w:fill="F9FBFC"/>
          </w:tcPr>
          <w:p>
            <w:r>
              <w:t>Medium</w:t>
            </w:r>
          </w:p>
        </w:tc>
        <w:tc>
          <w:tcPr>
            <w:tcW w:type="dxa" w:w="1994"/>
            <w:shd w:fill="F9FBFC"/>
          </w:tcPr>
          <w:p>
            <w:r>
              <w:t>High</w:t>
            </w:r>
          </w:p>
        </w:tc>
        <w:tc>
          <w:tcPr>
            <w:tcW w:type="dxa" w:w="1994"/>
            <w:shd w:fill="F9FBFC"/>
          </w:tcPr>
          <w:p>
            <w:r>
              <w:t>Ratify a single decision tree in the weekly PMO forum.</w:t>
            </w:r>
          </w:p>
        </w:tc>
      </w:tr>
      <w:tr>
        <w:tc>
          <w:tcPr>
            <w:tcW w:type="dxa" w:w="1994"/>
          </w:tcPr>
          <w:p>
            <w:r>
              <w:t>R-02</w:t>
            </w:r>
          </w:p>
        </w:tc>
        <w:tc>
          <w:tcPr>
            <w:tcW w:type="dxa" w:w="1994"/>
          </w:tcPr>
          <w:p>
            <w:r>
              <w:t>Vendor remediation dates move without visible audit evidence.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Add proof-of-completion attachment requirements.</w:t>
            </w:r>
          </w:p>
        </w:tc>
      </w:tr>
      <w:tr>
        <w:tc>
          <w:tcPr>
            <w:tcW w:type="dxa" w:w="1994"/>
            <w:shd w:fill="F9FBFC"/>
          </w:tcPr>
          <w:p>
            <w:r>
              <w:t>R-03</w:t>
            </w:r>
          </w:p>
        </w:tc>
        <w:tc>
          <w:tcPr>
            <w:tcW w:type="dxa" w:w="1994"/>
            <w:shd w:fill="F9FBFC"/>
          </w:tcPr>
          <w:p>
            <w:r>
              <w:t>Legacy deck workflow causes version drift ahead of steering committee.</w:t>
            </w:r>
          </w:p>
        </w:tc>
        <w:tc>
          <w:tcPr>
            <w:tcW w:type="dxa" w:w="1994"/>
            <w:shd w:fill="F9FBFC"/>
          </w:tcPr>
          <w:p>
            <w:r>
              <w:t>High</w:t>
            </w:r>
          </w:p>
        </w:tc>
        <w:tc>
          <w:tcPr>
            <w:tcW w:type="dxa" w:w="1994"/>
            <w:shd w:fill="F9FBFC"/>
          </w:tcPr>
          <w:p>
            <w:r>
              <w:t>High</w:t>
            </w:r>
          </w:p>
        </w:tc>
        <w:tc>
          <w:tcPr>
            <w:tcW w:type="dxa" w:w="1994"/>
            <w:shd w:fill="F9FBFC"/>
          </w:tcPr>
          <w:p>
            <w:r>
              <w:t>Adopt source-controlled Markdown outputs and central approval.</w:t>
            </w:r>
          </w:p>
        </w:tc>
      </w:tr>
      <w:tr>
        <w:tc>
          <w:tcPr>
            <w:tcW w:type="dxa" w:w="1994"/>
          </w:tcPr>
          <w:p>
            <w:r>
              <w:t>R-04</w:t>
            </w:r>
          </w:p>
        </w:tc>
        <w:tc>
          <w:tcPr>
            <w:tcW w:type="dxa" w:w="1994"/>
          </w:tcPr>
          <w:p>
            <w:r>
              <w:t>Regional teams duplicate analysis with different assumptions.</w:t>
            </w:r>
          </w:p>
        </w:tc>
        <w:tc>
          <w:tcPr>
            <w:tcW w:type="dxa" w:w="1994"/>
          </w:tcPr>
          <w:p>
            <w:r>
              <w:t>Low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Publish one scenario model with approved inputs and refresh rhythm.</w:t>
            </w:r>
          </w:p>
        </w:tc>
      </w:tr>
      <w:tr>
        <w:tc>
          <w:tcPr>
            <w:tcW w:type="dxa" w:w="1994"/>
            <w:shd w:fill="F9FBFC"/>
          </w:tcPr>
          <w:p>
            <w:r>
              <w:t>R-05</w:t>
            </w:r>
          </w:p>
        </w:tc>
        <w:tc>
          <w:tcPr>
            <w:tcW w:type="dxa" w:w="1994"/>
            <w:shd w:fill="F9FBFC"/>
          </w:tcPr>
          <w:p>
            <w:r>
              <w:t>Scanned appendices reduce extractability for downstream automation.</w:t>
            </w:r>
          </w:p>
        </w:tc>
        <w:tc>
          <w:tcPr>
            <w:tcW w:type="dxa" w:w="1994"/>
            <w:shd w:fill="F9FBFC"/>
          </w:tcPr>
          <w:p>
            <w:r>
              <w:t>Medium</w:t>
            </w:r>
          </w:p>
        </w:tc>
        <w:tc>
          <w:tcPr>
            <w:tcW w:type="dxa" w:w="1994"/>
            <w:shd w:fill="F9FBFC"/>
          </w:tcPr>
          <w:p>
            <w:r>
              <w:t>High</w:t>
            </w:r>
          </w:p>
        </w:tc>
        <w:tc>
          <w:tcPr>
            <w:tcW w:type="dxa" w:w="1994"/>
            <w:shd w:fill="F9FBFC"/>
          </w:tcPr>
          <w:p>
            <w:r>
              <w:t>Enable OCR only on image-based sections and preserve native text elsewhere.</w:t>
            </w:r>
          </w:p>
        </w:tc>
      </w:tr>
    </w:tbl>
    <w:p>
      <w:pPr>
        <w:pStyle w:val="Heading2"/>
      </w:pPr>
      <w:r>
        <w:t>Appendix note</w:t>
      </w:r>
    </w:p>
    <w:p>
      <w:r>
        <w:t>This final page intentionally mixes long table cells, headings and paragraph styles to help validate that the DOCX-to-Markdown path preserves hierarchy and table semantics.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785"/>
        <w:sz w:val="18"/>
      </w:rPr>
      <w:t>Confidential internal workshop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785"/>
        <w:sz w:val="18"/>
      </w:rPr>
      <w:t>Strategy &amp; Transformation Office | Sample complex 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B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86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B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22303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xample.com/transformation-playbook" TargetMode="Externa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