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F3864"/>
          <w:sz w:val="40"/>
          <w:szCs w:val="40"/>
        </w:rPr>
        <w:t xml:space="preserve">Benchmark Concurrentiel</w:t>
      </w:r>
    </w:p>
    <w:p>
      <w:pPr>
        <w:spacing w:after="60" w:before="0"/>
      </w:pPr>
      <w:r>
        <w:rPr>
          <w:rFonts w:ascii="Arial" w:cs="Arial" w:eastAsia="Arial" w:hAnsi="Arial"/>
          <w:i/>
          <w:iCs/>
          <w:color w:val="555555"/>
          <w:sz w:val="22"/>
          <w:szCs w:val="22"/>
        </w:rPr>
        <w:t xml:space="preserve">Mon Cercle Santé  ·  Consentement granulaire &amp; partage de données diabétiques</w:t>
      </w:r>
    </w:p>
    <w:p>
      <w:pPr>
        <w:spacing w:after="240" w:before="0"/>
      </w:pPr>
      <w:r>
        <w:rPr>
          <w:rFonts w:ascii="Arial" w:cs="Arial" w:eastAsia="Arial" w:hAnsi="Arial"/>
          <w:color w:val="888888"/>
          <w:sz w:val="18"/>
          <w:szCs w:val="18"/>
        </w:rPr>
        <w:t xml:space="preserve">Hacking Health Camp 2026  ·  Filtre : secteur Europe/France  ·  Public &amp; Privé  ·  Persona : Chercheur</w:t>
      </w:r>
    </w:p>
    <w:p>
      <w:pPr>
        <w:pBdr>
          <w:bottom w:val="single" w:color="2E75B6" w:sz="6" w:space="1"/>
        </w:pBdr>
        <w:spacing w:after="120" w:before="320"/>
      </w:pPr>
      <w:r>
        <w:rPr>
          <w:rFonts w:ascii="Arial" w:cs="Arial" w:eastAsia="Arial" w:hAnsi="Arial"/>
          <w:b/>
          <w:bCs/>
          <w:color w:val="2E75B6"/>
          <w:sz w:val="28"/>
          <w:szCs w:val="28"/>
        </w:rPr>
        <w:t xml:space="preserve">1.  Acteurs publics &amp; institutionnels</w:t>
      </w:r>
    </w:p>
    <w:p>
      <w:pPr>
        <w:spacing w:after="80" w:before="240"/>
      </w:pPr>
      <w:r>
        <w:rPr>
          <w:rFonts w:ascii="Arial" w:cs="Arial" w:eastAsia="Arial" w:hAnsi="Arial"/>
          <w:b/>
          <w:bCs/>
          <w:color w:val="1F3864"/>
          <w:sz w:val="24"/>
          <w:szCs w:val="24"/>
        </w:rPr>
        <w:t xml:space="preserve">🏛️ Health Data Hub (Plateforme des Données de Santé)</w:t>
      </w:r>
      <w:r>
        <w:rPr>
          <w:rFonts w:ascii="Arial" w:cs="Arial" w:eastAsia="Arial" w:hAnsi="Arial"/>
          <w:i/>
          <w:iCs/>
          <w:color w:val="666666"/>
          <w:sz w:val="20"/>
          <w:szCs w:val="20"/>
        </w:rPr>
        <w:t xml:space="preserve">  —  Public national  |  🇫🇷 France</w:t>
      </w:r>
    </w:p>
    <w:p>
      <w:pPr>
        <w:spacing w:after="60" w:before="60"/>
      </w:pPr>
      <w:r>
        <w:rPr>
          <w:rFonts w:ascii="Arial" w:cs="Arial" w:eastAsia="Arial" w:hAnsi="Arial"/>
          <w:b w:val="false"/>
          <w:bCs w:val="false"/>
          <w:color w:val="000000"/>
          <w:sz w:val="20"/>
          <w:szCs w:val="20"/>
        </w:rPr>
        <w:t xml:space="preserve">Créé en 2019 par arrêté ministériel, le HDH donne aux chercheurs (public et privé) accès aux données pseudonymisées du SNDS — la grande base médico-administrative de l'Assurance Maladie.</w:t>
      </w:r>
    </w:p>
    <w:p>
      <w:pPr>
        <w:spacing w:after="20" w:before="60"/>
      </w:pPr>
      <w:r>
        <w:rPr>
          <w:rFonts w:ascii="Arial" w:cs="Arial" w:eastAsia="Arial" w:hAnsi="Arial"/>
          <w:b/>
          <w:bCs/>
          <w:color w:val="2E75B6"/>
          <w:sz w:val="20"/>
          <w:szCs w:val="20"/>
        </w:rPr>
        <w:t xml:space="preserve">Ce que le chercheur obtient :</w:t>
      </w:r>
    </w:p>
    <w:p>
      <w:pPr>
        <w:spacing w:after="60" w:before="60"/>
      </w:pPr>
      <w:r>
        <w:rPr>
          <w:rFonts w:ascii="Arial" w:cs="Arial" w:eastAsia="Arial" w:hAnsi="Arial"/>
          <w:b w:val="false"/>
          <w:bCs w:val="false"/>
          <w:color w:val="000000"/>
          <w:sz w:val="20"/>
          <w:szCs w:val="20"/>
        </w:rPr>
        <w:t xml:space="preserve">Accès aux données hospitalières et de remboursement couvrant toute la population française. Gratuit pour la recherche publique. Espace de travail dédié avec outils data science.</w:t>
      </w:r>
    </w:p>
    <w:p>
      <w:pPr>
        <w:spacing w:after="20" w:before="60"/>
      </w:pPr>
      <w:r>
        <w:rPr>
          <w:rFonts w:ascii="Arial" w:cs="Arial" w:eastAsia="Arial" w:hAnsi="Arial"/>
          <w:b/>
          <w:bCs/>
          <w:color w:val="C00000"/>
          <w:sz w:val="20"/>
          <w:szCs w:val="20"/>
        </w:rPr>
        <w:t xml:space="preserve">Limites pour la recherche diabète :</w:t>
      </w:r>
    </w:p>
    <w:p>
      <w:pPr>
        <w:spacing w:after="60" w:before="60"/>
      </w:pPr>
      <w:r>
        <w:rPr>
          <w:rFonts w:ascii="Arial" w:cs="Arial" w:eastAsia="Arial" w:hAnsi="Arial"/>
          <w:b w:val="false"/>
          <w:bCs w:val="false"/>
          <w:color w:val="000000"/>
          <w:sz w:val="20"/>
          <w:szCs w:val="20"/>
        </w:rPr>
        <w:t xml:space="preserve">Délai moyen d'accès : 9 mois (objectif : 7 mois, non atteint en 2024). Seulement 116 projets ont utilisé la plateforme en 2024 vs un objectif de 200. Données passives (admin + hospitalières), pas de consentement opt-in actif — les patients ont un droit d'opposition, pas un droit de consentement. Aucune interface patient, aucune récompense, aucune spécialisation diabète longitudinale, pas de médecin comme tiers de confiance. Données non enrichies par les patients eux-mêmes.</w:t>
      </w:r>
    </w:p>
    <w:p>
      <w:pPr>
        <w:spacing w:after="0" w:before="80"/>
      </w:pPr>
      <w:r>
        <w:t xml:space="preserve"/>
      </w:r>
    </w:p>
    <w:p>
      <w:pPr>
        <w:spacing w:after="80" w:before="240"/>
      </w:pPr>
      <w:r>
        <w:rPr>
          <w:rFonts w:ascii="Arial" w:cs="Arial" w:eastAsia="Arial" w:hAnsi="Arial"/>
          <w:b/>
          <w:bCs/>
          <w:color w:val="1F3864"/>
          <w:sz w:val="24"/>
          <w:szCs w:val="24"/>
        </w:rPr>
        <w:t xml:space="preserve">🏛️ Mon Espace Santé (DMP)</w:t>
      </w:r>
      <w:r>
        <w:rPr>
          <w:rFonts w:ascii="Arial" w:cs="Arial" w:eastAsia="Arial" w:hAnsi="Arial"/>
          <w:i/>
          <w:iCs/>
          <w:color w:val="666666"/>
          <w:sz w:val="20"/>
          <w:szCs w:val="20"/>
        </w:rPr>
        <w:t xml:space="preserve">  —  Public national  |  🇫🇷 France</w:t>
      </w:r>
    </w:p>
    <w:p>
      <w:pPr>
        <w:spacing w:after="60" w:before="60"/>
      </w:pPr>
      <w:r>
        <w:rPr>
          <w:rFonts w:ascii="Arial" w:cs="Arial" w:eastAsia="Arial" w:hAnsi="Arial"/>
          <w:b w:val="false"/>
          <w:bCs w:val="false"/>
          <w:color w:val="000000"/>
          <w:sz w:val="20"/>
          <w:szCs w:val="20"/>
        </w:rPr>
        <w:t xml:space="preserve">Service public numérique de l'Assurance Maladie, déployé depuis 2022. Carnet de santé numérique couvrant 97% de la population, avec 24 millions de profils activés en 2025.</w:t>
      </w:r>
    </w:p>
    <w:p>
      <w:pPr>
        <w:spacing w:after="20" w:before="60"/>
      </w:pPr>
      <w:r>
        <w:rPr>
          <w:rFonts w:ascii="Arial" w:cs="Arial" w:eastAsia="Arial" w:hAnsi="Arial"/>
          <w:b/>
          <w:bCs/>
          <w:color w:val="2E75B6"/>
          <w:sz w:val="20"/>
          <w:szCs w:val="20"/>
        </w:rPr>
        <w:t xml:space="preserve">Ce que le chercheur obtient :</w:t>
      </w:r>
    </w:p>
    <w:p>
      <w:pPr>
        <w:spacing w:after="60" w:before="60"/>
      </w:pPr>
      <w:r>
        <w:rPr>
          <w:rFonts w:ascii="Arial" w:cs="Arial" w:eastAsia="Arial" w:hAnsi="Arial"/>
          <w:b w:val="false"/>
          <w:bCs w:val="false"/>
          <w:color w:val="000000"/>
          <w:sz w:val="20"/>
          <w:szCs w:val="20"/>
        </w:rPr>
        <w:t xml:space="preserve">Depuis septembre 2025, une application peut alimenter Mon Espace Santé avec des données de glucose. Un parcours personnalisé diabète est prévu pour 2026.</w:t>
      </w:r>
    </w:p>
    <w:p>
      <w:pPr>
        <w:spacing w:after="20" w:before="60"/>
      </w:pPr>
      <w:r>
        <w:rPr>
          <w:rFonts w:ascii="Arial" w:cs="Arial" w:eastAsia="Arial" w:hAnsi="Arial"/>
          <w:b/>
          <w:bCs/>
          <w:color w:val="C00000"/>
          <w:sz w:val="20"/>
          <w:szCs w:val="20"/>
        </w:rPr>
        <w:t xml:space="preserve">Limites pour la recherche diabète :</w:t>
      </w:r>
    </w:p>
    <w:p>
      <w:pPr>
        <w:spacing w:after="60" w:before="60"/>
      </w:pPr>
      <w:r>
        <w:rPr>
          <w:rFonts w:ascii="Arial" w:cs="Arial" w:eastAsia="Arial" w:hAnsi="Arial"/>
          <w:b w:val="false"/>
          <w:bCs w:val="false"/>
          <w:color w:val="000000"/>
          <w:sz w:val="20"/>
          <w:szCs w:val="20"/>
        </w:rPr>
        <w:t xml:space="preserve">Conçu pour l'usage primaire (soins), pas pour la recherche. Aucune infrastructure de consentement par étude, aucun accès chercheur direct, pas de récompense, pas de blockchain. Ne permet pas au chercheur de recruter une cohorte ou de soumettre une requête de données ciblée. C'est une infrastructure de soin qui pourrait devenir complémentaire (interopérabilité FHIR), pas un concurrent direct.</w:t>
      </w:r>
    </w:p>
    <w:p>
      <w:pPr>
        <w:spacing w:after="0" w:before="80"/>
      </w:pPr>
      <w:r>
        <w:t xml:space="preserve"/>
      </w:r>
    </w:p>
    <w:p>
      <w:pPr>
        <w:spacing w:after="80" w:before="240"/>
      </w:pPr>
      <w:r>
        <w:rPr>
          <w:rFonts w:ascii="Arial" w:cs="Arial" w:eastAsia="Arial" w:hAnsi="Arial"/>
          <w:b/>
          <w:bCs/>
          <w:color w:val="1F3864"/>
          <w:sz w:val="24"/>
          <w:szCs w:val="24"/>
        </w:rPr>
        <w:t xml:space="preserve">🇪🇺 EEDS — Espace Européen des Données de Santé</w:t>
      </w:r>
      <w:r>
        <w:rPr>
          <w:rFonts w:ascii="Arial" w:cs="Arial" w:eastAsia="Arial" w:hAnsi="Arial"/>
          <w:i/>
          <w:iCs/>
          <w:color w:val="666666"/>
          <w:sz w:val="20"/>
          <w:szCs w:val="20"/>
        </w:rPr>
        <w:t xml:space="preserve">  —  Cadre réglementaire  |  Union Européenne</w:t>
      </w:r>
    </w:p>
    <w:p>
      <w:pPr>
        <w:spacing w:after="60" w:before="60"/>
      </w:pPr>
      <w:r>
        <w:rPr>
          <w:rFonts w:ascii="Arial" w:cs="Arial" w:eastAsia="Arial" w:hAnsi="Arial"/>
          <w:b w:val="false"/>
          <w:bCs w:val="false"/>
          <w:color w:val="000000"/>
          <w:sz w:val="20"/>
          <w:szCs w:val="20"/>
        </w:rPr>
        <w:t xml:space="preserve">Règlement (UE) 2025/327, en vigueur mars 2025, applicable dès mars 2027. Harmonise l'accès secondaire aux données de santé pour la recherche à l'échelle de l'UE.</w:t>
      </w:r>
    </w:p>
    <w:p>
      <w:pPr>
        <w:spacing w:after="20" w:before="60"/>
      </w:pPr>
      <w:r>
        <w:rPr>
          <w:rFonts w:ascii="Arial" w:cs="Arial" w:eastAsia="Arial" w:hAnsi="Arial"/>
          <w:b/>
          <w:bCs/>
          <w:color w:val="2E75B6"/>
          <w:sz w:val="20"/>
          <w:szCs w:val="20"/>
        </w:rPr>
        <w:t xml:space="preserve">Ce que le chercheur obtient :</w:t>
      </w:r>
    </w:p>
    <w:p>
      <w:pPr>
        <w:spacing w:after="60" w:before="60"/>
      </w:pPr>
      <w:r>
        <w:rPr>
          <w:rFonts w:ascii="Arial" w:cs="Arial" w:eastAsia="Arial" w:hAnsi="Arial"/>
          <w:b w:val="false"/>
          <w:bCs w:val="false"/>
          <w:color w:val="000000"/>
          <w:sz w:val="20"/>
          <w:szCs w:val="20"/>
        </w:rPr>
        <w:t xml:space="preserve">Crée un cadre légal pour l'usage secondaire (recherche, IA, épidémiologie). Impose aux États membres la création d'Organismes Responsables de l'Accès aux Données (ORAD). Aucune donnée identifiante hors du cercle de soins sans consentement.</w:t>
      </w:r>
    </w:p>
    <w:p>
      <w:pPr>
        <w:spacing w:after="20" w:before="60"/>
      </w:pPr>
      <w:r>
        <w:rPr>
          <w:rFonts w:ascii="Arial" w:cs="Arial" w:eastAsia="Arial" w:hAnsi="Arial"/>
          <w:b/>
          <w:bCs/>
          <w:color w:val="C00000"/>
          <w:sz w:val="20"/>
          <w:szCs w:val="20"/>
        </w:rPr>
        <w:t xml:space="preserve">Limites pour la recherche diabète :</w:t>
      </w:r>
    </w:p>
    <w:p>
      <w:pPr>
        <w:spacing w:after="60" w:before="60"/>
      </w:pPr>
      <w:r>
        <w:rPr>
          <w:rFonts w:ascii="Arial" w:cs="Arial" w:eastAsia="Arial" w:hAnsi="Arial"/>
          <w:b w:val="false"/>
          <w:bCs w:val="false"/>
          <w:color w:val="000000"/>
          <w:sz w:val="20"/>
          <w:szCs w:val="20"/>
        </w:rPr>
        <w:t xml:space="preserve">Ce n'est pas une plateforme, c'est un cadre. Il ne remplace pas Mon Cercle Santé — il lui fournit au contraire un environnement réglementaire favorable. Le règlement appelle explicitement au « consentement dynamique » pour l'usage secondaire, ce qui est précisément ce que Mon Cercle Santé implémente via blockchain.</w:t>
      </w:r>
    </w:p>
    <w:p>
      <w:pPr>
        <w:spacing w:after="0" w:before="80"/>
      </w:pPr>
      <w:r>
        <w:t xml:space="preserve"/>
      </w:r>
    </w:p>
    <w:p>
      <w:pPr>
        <w:pBdr>
          <w:bottom w:val="single" w:color="2E75B6" w:sz="6" w:space="1"/>
        </w:pBdr>
        <w:spacing w:after="120" w:before="320"/>
      </w:pPr>
      <w:r>
        <w:rPr>
          <w:rFonts w:ascii="Arial" w:cs="Arial" w:eastAsia="Arial" w:hAnsi="Arial"/>
          <w:b/>
          <w:bCs/>
          <w:color w:val="2E75B6"/>
          <w:sz w:val="28"/>
          <w:szCs w:val="28"/>
        </w:rPr>
        <w:t xml:space="preserve">2.  Acteurs privés — France &amp; Europe</w:t>
      </w:r>
    </w:p>
    <w:p>
      <w:pPr>
        <w:spacing w:after="80" w:before="240"/>
      </w:pPr>
      <w:r>
        <w:rPr>
          <w:rFonts w:ascii="Arial" w:cs="Arial" w:eastAsia="Arial" w:hAnsi="Arial"/>
          <w:b/>
          <w:bCs/>
          <w:color w:val="1F3864"/>
          <w:sz w:val="24"/>
          <w:szCs w:val="24"/>
        </w:rPr>
        <w:t xml:space="preserve">🏢 Galeon</w:t>
      </w:r>
      <w:r>
        <w:rPr>
          <w:rFonts w:ascii="Arial" w:cs="Arial" w:eastAsia="Arial" w:hAnsi="Arial"/>
          <w:i/>
          <w:iCs/>
          <w:color w:val="666666"/>
          <w:sz w:val="20"/>
          <w:szCs w:val="20"/>
        </w:rPr>
        <w:t xml:space="preserve">  —  Privé — Blockchain + DPI hospitalier  |  🇫🇷 France</w:t>
      </w:r>
    </w:p>
    <w:p>
      <w:pPr>
        <w:spacing w:after="60" w:before="60"/>
      </w:pPr>
      <w:r>
        <w:rPr>
          <w:rFonts w:ascii="Arial" w:cs="Arial" w:eastAsia="Arial" w:hAnsi="Arial"/>
          <w:b w:val="false"/>
          <w:bCs w:val="false"/>
          <w:color w:val="000000"/>
          <w:sz w:val="20"/>
          <w:szCs w:val="20"/>
        </w:rPr>
        <w:t xml:space="preserve">Startup française fondée en 2016. DPI blockchain certifié HDS, déployé dans 19 hôpitaux publics français. Utilise le Blockchain Swarm Learning pour entraîner des IA sans faire sortir les données des hôpitaux. Plateforme Atlantis lancée fin 2024.</w:t>
      </w:r>
    </w:p>
    <w:p>
      <w:pPr>
        <w:spacing w:after="20" w:before="60"/>
      </w:pPr>
      <w:r>
        <w:rPr>
          <w:rFonts w:ascii="Arial" w:cs="Arial" w:eastAsia="Arial" w:hAnsi="Arial"/>
          <w:b/>
          <w:bCs/>
          <w:color w:val="2E75B6"/>
          <w:sz w:val="20"/>
          <w:szCs w:val="20"/>
        </w:rPr>
        <w:t xml:space="preserve">Ce que le chercheur obtient :</w:t>
      </w:r>
    </w:p>
    <w:p>
      <w:pPr>
        <w:spacing w:after="60" w:before="60"/>
      </w:pPr>
      <w:r>
        <w:rPr>
          <w:rFonts w:ascii="Arial" w:cs="Arial" w:eastAsia="Arial" w:hAnsi="Arial"/>
          <w:b w:val="false"/>
          <w:bCs w:val="false"/>
          <w:color w:val="000000"/>
          <w:sz w:val="20"/>
          <w:szCs w:val="20"/>
        </w:rPr>
        <w:t xml:space="preserve">Les chercheurs accèdent aux données via les hôpitaux partenaires. Les patients consentants peuvent orienter leurs données vers des projets de recherche à but non lucratif. Système de tokens $GALEON.</w:t>
      </w:r>
    </w:p>
    <w:p>
      <w:pPr>
        <w:spacing w:after="20" w:before="60"/>
      </w:pPr>
      <w:r>
        <w:rPr>
          <w:rFonts w:ascii="Arial" w:cs="Arial" w:eastAsia="Arial" w:hAnsi="Arial"/>
          <w:b/>
          <w:bCs/>
          <w:color w:val="C00000"/>
          <w:sz w:val="20"/>
          <w:szCs w:val="20"/>
        </w:rPr>
        <w:t xml:space="preserve">Limites pour la recherche diabète :</w:t>
      </w:r>
    </w:p>
    <w:p>
      <w:pPr>
        <w:spacing w:after="60" w:before="60"/>
      </w:pPr>
      <w:r>
        <w:rPr>
          <w:rFonts w:ascii="Arial" w:cs="Arial" w:eastAsia="Arial" w:hAnsi="Arial"/>
          <w:b w:val="false"/>
          <w:bCs w:val="false"/>
          <w:color w:val="000000"/>
          <w:sz w:val="20"/>
          <w:szCs w:val="20"/>
        </w:rPr>
        <w:t xml:space="preserve">Généraliste (toutes pathologies), pas spécialisé diabète. Le consentement est partiel et non granulaire par étude. Le modèle de récompense repose sur une cryptomonnaie spéculative ($GALEON), ce qui crée une barrière à l'adoption grand public et une perception de complexité. Le chercheur passe toujours par l'hôpital, pas par le patient directement.</w:t>
      </w:r>
    </w:p>
    <w:p>
      <w:pPr>
        <w:spacing w:after="0" w:before="80"/>
      </w:pPr>
      <w:r>
        <w:t xml:space="preserve"/>
      </w:r>
    </w:p>
    <w:p>
      <w:pPr>
        <w:spacing w:after="80" w:before="240"/>
      </w:pPr>
      <w:r>
        <w:rPr>
          <w:rFonts w:ascii="Arial" w:cs="Arial" w:eastAsia="Arial" w:hAnsi="Arial"/>
          <w:b/>
          <w:bCs/>
          <w:color w:val="1F3864"/>
          <w:sz w:val="24"/>
          <w:szCs w:val="24"/>
        </w:rPr>
        <w:t xml:space="preserve">🏢 DrData / Isalid</w:t>
      </w:r>
      <w:r>
        <w:rPr>
          <w:rFonts w:ascii="Arial" w:cs="Arial" w:eastAsia="Arial" w:hAnsi="Arial"/>
          <w:i/>
          <w:iCs/>
          <w:color w:val="666666"/>
          <w:sz w:val="20"/>
          <w:szCs w:val="20"/>
        </w:rPr>
        <w:t xml:space="preserve">  —  Privé — Blockchain consentement B2B  |  🇫🇷 France</w:t>
      </w:r>
    </w:p>
    <w:p>
      <w:pPr>
        <w:spacing w:after="60" w:before="60"/>
      </w:pPr>
      <w:r>
        <w:rPr>
          <w:rFonts w:ascii="Arial" w:cs="Arial" w:eastAsia="Arial" w:hAnsi="Arial"/>
          <w:b w:val="false"/>
          <w:bCs w:val="false"/>
          <w:color w:val="000000"/>
          <w:sz w:val="20"/>
          <w:szCs w:val="20"/>
        </w:rPr>
        <w:t xml:space="preserve">Startup parisienne fondée en 2018 par une docteure en droit public. Dépôt du premier brevet français pour la gestion du consentement patient via registre distribué. Blockchain Isalid pour la traçabilité des données de santé.</w:t>
      </w:r>
    </w:p>
    <w:p>
      <w:pPr>
        <w:spacing w:after="20" w:before="60"/>
      </w:pPr>
      <w:r>
        <w:rPr>
          <w:rFonts w:ascii="Arial" w:cs="Arial" w:eastAsia="Arial" w:hAnsi="Arial"/>
          <w:b/>
          <w:bCs/>
          <w:color w:val="2E75B6"/>
          <w:sz w:val="20"/>
          <w:szCs w:val="20"/>
        </w:rPr>
        <w:t xml:space="preserve">Ce que le chercheur obtient :</w:t>
      </w:r>
    </w:p>
    <w:p>
      <w:pPr>
        <w:spacing w:after="60" w:before="60"/>
      </w:pPr>
      <w:r>
        <w:rPr>
          <w:rFonts w:ascii="Arial" w:cs="Arial" w:eastAsia="Arial" w:hAnsi="Arial"/>
          <w:b w:val="false"/>
          <w:bCs w:val="false"/>
          <w:color w:val="000000"/>
          <w:sz w:val="20"/>
          <w:szCs w:val="20"/>
        </w:rPr>
        <w:t xml:space="preserve">Smart contracts spécifiques au cas d'usage du consentement. Conforme aux exigences CNIL sur les entrepôts de données. Permet aux hôpitaux et équipes de recherche de déléguer le réglementaire.</w:t>
      </w:r>
    </w:p>
    <w:p>
      <w:pPr>
        <w:spacing w:after="20" w:before="60"/>
      </w:pPr>
      <w:r>
        <w:rPr>
          <w:rFonts w:ascii="Arial" w:cs="Arial" w:eastAsia="Arial" w:hAnsi="Arial"/>
          <w:b/>
          <w:bCs/>
          <w:color w:val="C00000"/>
          <w:sz w:val="20"/>
          <w:szCs w:val="20"/>
        </w:rPr>
        <w:t xml:space="preserve">Limites pour la recherche diabète :</w:t>
      </w:r>
    </w:p>
    <w:p>
      <w:pPr>
        <w:spacing w:after="60" w:before="60"/>
      </w:pPr>
      <w:r>
        <w:rPr>
          <w:rFonts w:ascii="Arial" w:cs="Arial" w:eastAsia="Arial" w:hAnsi="Arial"/>
          <w:b w:val="false"/>
          <w:bCs w:val="false"/>
          <w:color w:val="000000"/>
          <w:sz w:val="20"/>
          <w:szCs w:val="20"/>
        </w:rPr>
        <w:t xml:space="preserve">Outil B2B pur (hôpitaux, laboratoires), aucune interface patient. Aucun mécanisme de récompense. Aucune spécialisation pathologie. Le chercheur est toujours dépendant d'un établissement pour accéder aux données — Mon Cercle Santé propose un accès direct avec le médecin comme pivot.</w:t>
      </w:r>
    </w:p>
    <w:p>
      <w:pPr>
        <w:spacing w:after="0" w:before="80"/>
      </w:pPr>
      <w:r>
        <w:t xml:space="preserve"/>
      </w:r>
    </w:p>
    <w:p>
      <w:pPr>
        <w:spacing w:after="80" w:before="240"/>
      </w:pPr>
      <w:r>
        <w:rPr>
          <w:rFonts w:ascii="Arial" w:cs="Arial" w:eastAsia="Arial" w:hAnsi="Arial"/>
          <w:b/>
          <w:bCs/>
          <w:color w:val="1F3864"/>
          <w:sz w:val="24"/>
          <w:szCs w:val="24"/>
        </w:rPr>
        <w:t xml:space="preserve">🏢 Dawex</w:t>
      </w:r>
      <w:r>
        <w:rPr>
          <w:rFonts w:ascii="Arial" w:cs="Arial" w:eastAsia="Arial" w:hAnsi="Arial"/>
          <w:i/>
          <w:iCs/>
          <w:color w:val="666666"/>
          <w:sz w:val="20"/>
          <w:szCs w:val="20"/>
        </w:rPr>
        <w:t xml:space="preserve">  —  Privé — Infrastructure data exchange  |  🇫🇷/🇪🇺 France &amp; Europe</w:t>
      </w:r>
    </w:p>
    <w:p>
      <w:pPr>
        <w:spacing w:after="60" w:before="60"/>
      </w:pPr>
      <w:r>
        <w:rPr>
          <w:rFonts w:ascii="Arial" w:cs="Arial" w:eastAsia="Arial" w:hAnsi="Arial"/>
          <w:b w:val="false"/>
          <w:bCs w:val="false"/>
          <w:color w:val="000000"/>
          <w:sz w:val="20"/>
          <w:szCs w:val="20"/>
        </w:rPr>
        <w:t xml:space="preserve">Fondée en 2014, Dawex est l'infrastructure de référence pour les data spaces européens. Initiateur du programme de standardisation international sur les Trusted Data Transactions. Certifiée par le World Economic Forum.</w:t>
      </w:r>
    </w:p>
    <w:p>
      <w:pPr>
        <w:spacing w:after="20" w:before="60"/>
      </w:pPr>
      <w:r>
        <w:rPr>
          <w:rFonts w:ascii="Arial" w:cs="Arial" w:eastAsia="Arial" w:hAnsi="Arial"/>
          <w:b/>
          <w:bCs/>
          <w:color w:val="2E75B6"/>
          <w:sz w:val="20"/>
          <w:szCs w:val="20"/>
        </w:rPr>
        <w:t xml:space="preserve">Ce que le chercheur obtient :</w:t>
      </w:r>
    </w:p>
    <w:p>
      <w:pPr>
        <w:spacing w:after="60" w:before="60"/>
      </w:pPr>
      <w:r>
        <w:rPr>
          <w:rFonts w:ascii="Arial" w:cs="Arial" w:eastAsia="Arial" w:hAnsi="Arial"/>
          <w:b w:val="false"/>
          <w:bCs w:val="false"/>
          <w:color w:val="000000"/>
          <w:sz w:val="20"/>
          <w:szCs w:val="20"/>
        </w:rPr>
        <w:t xml:space="preserve">Via une API de connexion aux gestionnaires de consentement, Dawex vérifie que le consentement du sujet est donné avant tout transfert. Reconnue par la Commission Européenne pour les standards de Data Act et DGA.</w:t>
      </w:r>
    </w:p>
    <w:p>
      <w:pPr>
        <w:spacing w:after="20" w:before="60"/>
      </w:pPr>
      <w:r>
        <w:rPr>
          <w:rFonts w:ascii="Arial" w:cs="Arial" w:eastAsia="Arial" w:hAnsi="Arial"/>
          <w:b/>
          <w:bCs/>
          <w:color w:val="C00000"/>
          <w:sz w:val="20"/>
          <w:szCs w:val="20"/>
        </w:rPr>
        <w:t xml:space="preserve">Limites pour la recherche diabète :</w:t>
      </w:r>
    </w:p>
    <w:p>
      <w:pPr>
        <w:spacing w:after="60" w:before="60"/>
      </w:pPr>
      <w:r>
        <w:rPr>
          <w:rFonts w:ascii="Arial" w:cs="Arial" w:eastAsia="Arial" w:hAnsi="Arial"/>
          <w:b w:val="false"/>
          <w:bCs w:val="false"/>
          <w:color w:val="000000"/>
          <w:sz w:val="20"/>
          <w:szCs w:val="20"/>
        </w:rPr>
        <w:t xml:space="preserve">Infrastructure généraliste, aucune donnée diabète par défaut. Le chercheur doit trouver un fournisseur de données déjà sur la plateforme, négocier un data product, et gérer le consentement patient via un tiers. Aucune gamification, aucune interface patient, aucun lien médecin. Dawex pourrait théoriquement être utilisé par Mon Cercle Santé comme couche d'échange institutionnel.</w:t>
      </w:r>
    </w:p>
    <w:p>
      <w:pPr>
        <w:spacing w:after="0" w:before="80"/>
      </w:pPr>
      <w:r>
        <w:t xml:space="preserve"/>
      </w:r>
    </w:p>
    <w:p>
      <w:pPr>
        <w:spacing w:after="80" w:before="240"/>
      </w:pPr>
      <w:r>
        <w:rPr>
          <w:rFonts w:ascii="Arial" w:cs="Arial" w:eastAsia="Arial" w:hAnsi="Arial"/>
          <w:b/>
          <w:bCs/>
          <w:color w:val="1F3864"/>
          <w:sz w:val="24"/>
          <w:szCs w:val="24"/>
        </w:rPr>
        <w:t xml:space="preserve">🏢 Oshimed</w:t>
      </w:r>
      <w:r>
        <w:rPr>
          <w:rFonts w:ascii="Arial" w:cs="Arial" w:eastAsia="Arial" w:hAnsi="Arial"/>
          <w:i/>
          <w:iCs/>
          <w:color w:val="666666"/>
          <w:sz w:val="20"/>
          <w:szCs w:val="20"/>
        </w:rPr>
        <w:t xml:space="preserve">  —  Privé — Blockchain essais cliniques  |  🇧🇪 Belgique</w:t>
      </w:r>
    </w:p>
    <w:p>
      <w:pPr>
        <w:spacing w:after="60" w:before="60"/>
      </w:pPr>
      <w:r>
        <w:rPr>
          <w:rFonts w:ascii="Arial" w:cs="Arial" w:eastAsia="Arial" w:hAnsi="Arial"/>
          <w:b w:val="false"/>
          <w:bCs w:val="false"/>
          <w:color w:val="000000"/>
          <w:sz w:val="20"/>
          <w:szCs w:val="20"/>
        </w:rPr>
        <w:t xml:space="preserve">Lancé en septembre 2025 lors des BioWin Days, développé en consortium avec le soutien de DigitalWallonia4Trust. Première solution blockchain pour rendre la conformité du consentement en essai clinique non-contournable.</w:t>
      </w:r>
    </w:p>
    <w:p>
      <w:pPr>
        <w:spacing w:after="20" w:before="60"/>
      </w:pPr>
      <w:r>
        <w:rPr>
          <w:rFonts w:ascii="Arial" w:cs="Arial" w:eastAsia="Arial" w:hAnsi="Arial"/>
          <w:b/>
          <w:bCs/>
          <w:color w:val="2E75B6"/>
          <w:sz w:val="20"/>
          <w:szCs w:val="20"/>
        </w:rPr>
        <w:t xml:space="preserve">Ce que le chercheur obtient :</w:t>
      </w:r>
    </w:p>
    <w:p>
      <w:pPr>
        <w:spacing w:after="60" w:before="60"/>
      </w:pPr>
      <w:r>
        <w:rPr>
          <w:rFonts w:ascii="Arial" w:cs="Arial" w:eastAsia="Arial" w:hAnsi="Arial"/>
          <w:b w:val="false"/>
          <w:bCs w:val="false"/>
          <w:color w:val="000000"/>
          <w:sz w:val="20"/>
          <w:szCs w:val="20"/>
        </w:rPr>
        <w:t xml:space="preserve">Enregistrement immuable de chaque consentement, modification ou retrait. Gestion multi-site, multi-rôle (sponsors, CROs, investigateurs, comités d'éthique). Visibilité temps réel sur la progression des patients. Roadmap : intégration aux DPI et paiement automatisé des participants.</w:t>
      </w:r>
    </w:p>
    <w:p>
      <w:pPr>
        <w:spacing w:after="20" w:before="60"/>
      </w:pPr>
      <w:r>
        <w:rPr>
          <w:rFonts w:ascii="Arial" w:cs="Arial" w:eastAsia="Arial" w:hAnsi="Arial"/>
          <w:b/>
          <w:bCs/>
          <w:color w:val="C00000"/>
          <w:sz w:val="20"/>
          <w:szCs w:val="20"/>
        </w:rPr>
        <w:t xml:space="preserve">Limites pour la recherche diabète :</w:t>
      </w:r>
    </w:p>
    <w:p>
      <w:pPr>
        <w:spacing w:after="60" w:before="60"/>
      </w:pPr>
      <w:r>
        <w:rPr>
          <w:rFonts w:ascii="Arial" w:cs="Arial" w:eastAsia="Arial" w:hAnsi="Arial"/>
          <w:b w:val="false"/>
          <w:bCs w:val="false"/>
          <w:color w:val="000000"/>
          <w:sz w:val="20"/>
          <w:szCs w:val="20"/>
        </w:rPr>
        <w:t xml:space="preserve">Exclusivement centré sur les essais cliniques formels (pas les données en vie réelle). Pas d'interface grand public, pas de récompense patient, pas de spécialisation pathologie. Tout juste lancé (sept. 2025), adoption quasi nulle. B2B pur. Un chercheur diabète qui veut des données longitudinales hors essai n'a rien à y trouver.</w:t>
      </w:r>
    </w:p>
    <w:p>
      <w:pPr>
        <w:spacing w:after="0" w:before="80"/>
      </w:pPr>
      <w:r>
        <w:t xml:space="preserve"/>
      </w:r>
    </w:p>
    <w:p>
      <w:pPr>
        <w:pBdr>
          <w:bottom w:val="single" w:color="2E75B6" w:sz="6" w:space="1"/>
        </w:pBdr>
        <w:spacing w:after="120" w:before="320"/>
      </w:pPr>
      <w:r>
        <w:rPr>
          <w:rFonts w:ascii="Arial" w:cs="Arial" w:eastAsia="Arial" w:hAnsi="Arial"/>
          <w:b/>
          <w:bCs/>
          <w:color w:val="2E75B6"/>
          <w:sz w:val="28"/>
          <w:szCs w:val="28"/>
        </w:rPr>
        <w:t xml:space="preserve">3.  Acteurs internationaux (référence)</w:t>
      </w:r>
    </w:p>
    <w:p>
      <w:pPr>
        <w:spacing w:after="80" w:before="240"/>
      </w:pPr>
      <w:r>
        <w:rPr>
          <w:rFonts w:ascii="Arial" w:cs="Arial" w:eastAsia="Arial" w:hAnsi="Arial"/>
          <w:b/>
          <w:bCs/>
          <w:color w:val="1F3864"/>
          <w:sz w:val="24"/>
          <w:szCs w:val="24"/>
        </w:rPr>
        <w:t xml:space="preserve">🌍 Elfie</w:t>
      </w:r>
      <w:r>
        <w:rPr>
          <w:rFonts w:ascii="Arial" w:cs="Arial" w:eastAsia="Arial" w:hAnsi="Arial"/>
          <w:i/>
          <w:iCs/>
          <w:color w:val="666666"/>
          <w:sz w:val="20"/>
          <w:szCs w:val="20"/>
        </w:rPr>
        <w:t xml:space="preserve">  —  Privé — Digital therapeutics + récompenses  |  Singapour / International (35 pays)</w:t>
      </w:r>
    </w:p>
    <w:p>
      <w:pPr>
        <w:spacing w:after="60" w:before="60"/>
      </w:pPr>
      <w:r>
        <w:rPr>
          <w:rFonts w:ascii="Arial" w:cs="Arial" w:eastAsia="Arial" w:hAnsi="Arial"/>
          <w:b w:val="false"/>
          <w:bCs w:val="false"/>
          <w:color w:val="000000"/>
          <w:sz w:val="20"/>
          <w:szCs w:val="20"/>
        </w:rPr>
        <w:t xml:space="preserve">Super-app de santé chronique fondée en 2020. 700 000+ utilisateurs sur 4 continents. Série A de 12M$ clôturée en juin 2025. Couvre hypertension, diabète, dyslipidémie, obésité. 100% gratuit pour l'utilisateur.</w:t>
      </w:r>
    </w:p>
    <w:p>
      <w:pPr>
        <w:spacing w:after="20" w:before="60"/>
      </w:pPr>
      <w:r>
        <w:rPr>
          <w:rFonts w:ascii="Arial" w:cs="Arial" w:eastAsia="Arial" w:hAnsi="Arial"/>
          <w:b/>
          <w:bCs/>
          <w:color w:val="2E75B6"/>
          <w:sz w:val="20"/>
          <w:szCs w:val="20"/>
        </w:rPr>
        <w:t xml:space="preserve">Ce que le chercheur obtient :</w:t>
      </w:r>
    </w:p>
    <w:p>
      <w:pPr>
        <w:spacing w:after="60" w:before="60"/>
      </w:pPr>
      <w:r>
        <w:rPr>
          <w:rFonts w:ascii="Arial" w:cs="Arial" w:eastAsia="Arial" w:hAnsi="Arial"/>
          <w:b w:val="false"/>
          <w:bCs w:val="false"/>
          <w:color w:val="000000"/>
          <w:sz w:val="20"/>
          <w:szCs w:val="20"/>
        </w:rPr>
        <w:t xml:space="preserve">Partenariats multimillions avec des leaders pharma pour générer des Real-World Data. Module Elfie Research en développement (essais cliniques décentralisés). Taux de rétention dans le top 1% mondial.</w:t>
      </w:r>
    </w:p>
    <w:p>
      <w:pPr>
        <w:spacing w:after="20" w:before="60"/>
      </w:pPr>
      <w:r>
        <w:rPr>
          <w:rFonts w:ascii="Arial" w:cs="Arial" w:eastAsia="Arial" w:hAnsi="Arial"/>
          <w:b/>
          <w:bCs/>
          <w:color w:val="C00000"/>
          <w:sz w:val="20"/>
          <w:szCs w:val="20"/>
        </w:rPr>
        <w:t xml:space="preserve">Limites pour la recherche diabète :</w:t>
      </w:r>
    </w:p>
    <w:p>
      <w:pPr>
        <w:spacing w:after="60" w:before="60"/>
      </w:pPr>
      <w:r>
        <w:rPr>
          <w:rFonts w:ascii="Arial" w:cs="Arial" w:eastAsia="Arial" w:hAnsi="Arial"/>
          <w:b w:val="false"/>
          <w:bCs w:val="false"/>
          <w:color w:val="000000"/>
          <w:sz w:val="20"/>
          <w:szCs w:val="20"/>
        </w:rPr>
        <w:t xml:space="preserve">Modèle B2B2C : le chercheur n'est pas le client direct — il passe par les partenaires pharma ou assurance. Aucun consentement granulaire par étude, aucune blockchain, aucune spécialisation diabète exclusive. Les récompenses (coins) sont génériques, sans cohérence thématique avec la pathologie. Pas disponible de façon structurée pour des chercheurs académiques français.</w:t>
      </w:r>
    </w:p>
    <w:p>
      <w:pPr>
        <w:spacing w:after="0" w:before="80"/>
      </w:pPr>
      <w:r>
        <w:t xml:space="preserve"/>
      </w:r>
    </w:p>
    <w:p>
      <w:pPr>
        <w:spacing w:after="80" w:before="240"/>
      </w:pPr>
      <w:r>
        <w:rPr>
          <w:rFonts w:ascii="Arial" w:cs="Arial" w:eastAsia="Arial" w:hAnsi="Arial"/>
          <w:b/>
          <w:bCs/>
          <w:color w:val="1F3864"/>
          <w:sz w:val="24"/>
          <w:szCs w:val="24"/>
        </w:rPr>
        <w:t xml:space="preserve">🎓 ADDN Consent (Australasian Diabetes Data Network)</w:t>
      </w:r>
      <w:r>
        <w:rPr>
          <w:rFonts w:ascii="Arial" w:cs="Arial" w:eastAsia="Arial" w:hAnsi="Arial"/>
          <w:i/>
          <w:iCs/>
          <w:color w:val="666666"/>
          <w:sz w:val="20"/>
          <w:szCs w:val="20"/>
        </w:rPr>
        <w:t xml:space="preserve">  —  Académique — Prototype de recherche  |  Australie / Nouvelle-Zélande</w:t>
      </w:r>
    </w:p>
    <w:p>
      <w:pPr>
        <w:spacing w:after="60" w:before="60"/>
      </w:pPr>
      <w:r>
        <w:rPr>
          <w:rFonts w:ascii="Arial" w:cs="Arial" w:eastAsia="Arial" w:hAnsi="Arial"/>
          <w:b w:val="false"/>
          <w:bCs w:val="false"/>
          <w:color w:val="000000"/>
          <w:sz w:val="20"/>
          <w:szCs w:val="20"/>
        </w:rPr>
        <w:t xml:space="preserve">Registre académique de données diabétiques (T1D pédiatrique et adulte). Application mobile prototype implémentant un Dynamic Consent conforme au RGPD : les participants peuvent voir et modifier leur consentement pour chaque sous-projet de recherche.</w:t>
      </w:r>
    </w:p>
    <w:p>
      <w:pPr>
        <w:spacing w:after="20" w:before="60"/>
      </w:pPr>
      <w:r>
        <w:rPr>
          <w:rFonts w:ascii="Arial" w:cs="Arial" w:eastAsia="Arial" w:hAnsi="Arial"/>
          <w:b/>
          <w:bCs/>
          <w:color w:val="2E75B6"/>
          <w:sz w:val="20"/>
          <w:szCs w:val="20"/>
        </w:rPr>
        <w:t xml:space="preserve">Ce que le chercheur obtient :</w:t>
      </w:r>
    </w:p>
    <w:p>
      <w:pPr>
        <w:spacing w:after="60" w:before="60"/>
      </w:pPr>
      <w:r>
        <w:rPr>
          <w:rFonts w:ascii="Arial" w:cs="Arial" w:eastAsia="Arial" w:hAnsi="Arial"/>
          <w:b w:val="false"/>
          <w:bCs w:val="false"/>
          <w:color w:val="000000"/>
          <w:sz w:val="20"/>
          <w:szCs w:val="20"/>
        </w:rPr>
        <w:t xml:space="preserve">C'est le projet conceptuellement le plus proche de Mon Cercle Santé : consentement dynamique granulaire, spécialisation diabète, accès chercheur direct au registre.</w:t>
      </w:r>
    </w:p>
    <w:p>
      <w:pPr>
        <w:spacing w:after="20" w:before="60"/>
      </w:pPr>
      <w:r>
        <w:rPr>
          <w:rFonts w:ascii="Arial" w:cs="Arial" w:eastAsia="Arial" w:hAnsi="Arial"/>
          <w:b/>
          <w:bCs/>
          <w:color w:val="C00000"/>
          <w:sz w:val="20"/>
          <w:szCs w:val="20"/>
        </w:rPr>
        <w:t xml:space="preserve">Limites pour la recherche diabète :</w:t>
      </w:r>
    </w:p>
    <w:p>
      <w:pPr>
        <w:spacing w:after="60" w:before="60"/>
      </w:pPr>
      <w:r>
        <w:rPr>
          <w:rFonts w:ascii="Arial" w:cs="Arial" w:eastAsia="Arial" w:hAnsi="Arial"/>
          <w:b w:val="false"/>
          <w:bCs w:val="false"/>
          <w:color w:val="000000"/>
          <w:sz w:val="20"/>
          <w:szCs w:val="20"/>
        </w:rPr>
        <w:t xml:space="preserve">Prototype académique non commercial. Hors marché européen. Aucun système de récompense. Aucune blockchain. Le médecin n'est pas positionné comme tiers de confiance. Non scalable au marché français/européen sans refonte complète.</w:t>
      </w:r>
    </w:p>
    <w:p>
      <w:pPr>
        <w:spacing w:after="0" w:before="80"/>
      </w:pPr>
      <w:r>
        <w:t xml:space="preserve"/>
      </w:r>
    </w:p>
    <w:p>
      <w:pPr>
        <w:pBdr>
          <w:bottom w:val="single" w:color="2E75B6" w:sz="6" w:space="1"/>
        </w:pBdr>
        <w:spacing w:after="120" w:before="320"/>
      </w:pPr>
      <w:r>
        <w:rPr>
          <w:rFonts w:ascii="Arial" w:cs="Arial" w:eastAsia="Arial" w:hAnsi="Arial"/>
          <w:b/>
          <w:bCs/>
          <w:color w:val="2E75B6"/>
          <w:sz w:val="28"/>
          <w:szCs w:val="28"/>
        </w:rPr>
        <w:t xml:space="preserve">4.  Matrice comparative</w:t>
      </w:r>
    </w:p>
    <w:p>
      <w:pPr>
        <w:spacing w:after="120" w:before="80"/>
      </w:pPr>
      <w:r>
        <w:rPr>
          <w:rFonts w:ascii="Arial" w:cs="Arial" w:eastAsia="Arial" w:hAnsi="Arial"/>
          <w:i/>
          <w:iCs/>
          <w:color w:val="666666"/>
          <w:sz w:val="18"/>
          <w:szCs w:val="18"/>
        </w:rPr>
        <w:t xml:space="preserve">Lecture : ✅ = présent  |  ❌ = absent  |  MCS (en bleu) = Mon Cercle Santé</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200"/>
        <w:gridCol w:w="1400"/>
        <w:gridCol w:w="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Acteur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Public/Privé</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Consentement actif</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Accès chercheur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Données diabète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Récompense patient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Zone</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Blockchain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Health Data Hub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Public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Opt-out</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7"/>
                <w:szCs w:val="17"/>
              </w:rPr>
              <w:t xml:space="preserve">✅ Lent (9 mois)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Partiel</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sz w:val="17"/>
                <w:szCs w:val="17"/>
              </w:rPr>
              <w:t xml:space="preserve">❌</w:t>
            </w:r>
          </w:p>
        </w:tc>
        <w:tc>
          <w:tcPr>
            <w:tcW w:type="dxa" w:w="1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sz w:val="17"/>
                <w:szCs w:val="17"/>
              </w:rPr>
              <w:t xml:space="preserve">❌ CNIL/CESREES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Mon Espace Santé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Public 🇫🇷</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7"/>
                <w:szCs w:val="17"/>
              </w:rPr>
              <w:t xml:space="preserve">✅ Soin seul</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sz w:val="17"/>
                <w:szCs w:val="17"/>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2026</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sz w:val="17"/>
                <w:szCs w:val="17"/>
              </w:rPr>
              <w:t xml:space="preserve">❌</w:t>
            </w:r>
          </w:p>
        </w:tc>
        <w:tc>
          <w:tcPr>
            <w:tcW w:type="dxa" w:w="14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sz w:val="17"/>
                <w:szCs w:val="17"/>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Galeon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Privé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Partiel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Via hôpitaux</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sz w:val="17"/>
                <w:szCs w:val="17"/>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Crypto $GALEON</w:t>
            </w:r>
          </w:p>
        </w:tc>
        <w:tc>
          <w:tcPr>
            <w:tcW w:type="dxa" w:w="1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7"/>
                <w:szCs w:val="17"/>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DrData / Isalid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Privé 🇫🇷</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7"/>
                <w:szCs w:val="17"/>
              </w:rPr>
              <w:t xml:space="preserve">✅ Blockchain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B2B hôpitaux</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sz w:val="17"/>
                <w:szCs w:val="17"/>
              </w:rPr>
              <w:t xml:space="preserve">❌</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sz w:val="17"/>
                <w:szCs w:val="17"/>
              </w:rPr>
              <w:t xml:space="preserve">❌</w:t>
            </w:r>
          </w:p>
        </w:tc>
        <w:tc>
          <w:tcPr>
            <w:tcW w:type="dxa" w:w="1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7"/>
                <w:szCs w:val="17"/>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Dawex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Privé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Via API tiers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Via data products</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sz w:val="17"/>
                <w:szCs w:val="17"/>
              </w:rPr>
              <w:t xml:space="preserve">❌</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sz w:val="17"/>
                <w:szCs w:val="17"/>
              </w:rPr>
              <w:t xml:space="preserve">❌</w:t>
            </w:r>
          </w:p>
        </w:tc>
        <w:tc>
          <w:tcPr>
            <w:tcW w:type="dxa" w:w="1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7"/>
                <w:szCs w:val="17"/>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Oshimed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Privé 🇧🇪</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7"/>
                <w:szCs w:val="17"/>
              </w:rPr>
              <w:t xml:space="preserve">✅ Essais formels</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7"/>
                <w:szCs w:val="17"/>
              </w:rPr>
              <w:t xml:space="preserve">✅ Essais cliniques</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sz w:val="17"/>
                <w:szCs w:val="17"/>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Prévu</w:t>
            </w:r>
          </w:p>
        </w:tc>
        <w:tc>
          <w:tcPr>
            <w:tcW w:type="dxa" w:w="14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7"/>
                <w:szCs w:val="17"/>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Elfie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Privé international</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sz w:val="17"/>
                <w:szCs w:val="17"/>
              </w:rPr>
              <w:t xml:space="preserve">❌ Comportemental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Via pharma/assurance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Partiel</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7"/>
                <w:szCs w:val="17"/>
              </w:rPr>
              <w:t xml:space="preserve">✅ Coins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Non FR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ADDN Consent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Académique 🌏</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7"/>
                <w:szCs w:val="17"/>
              </w:rPr>
              <w:t xml:space="preserve">✅ Dynamique</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7"/>
                <w:szCs w:val="17"/>
              </w:rPr>
              <w:t xml:space="preserve">✅ Registre</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sz w:val="17"/>
                <w:szCs w:val="17"/>
              </w:rPr>
              <w:t xml:space="preserve">✅ T1D</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sz w:val="17"/>
                <w:szCs w:val="17"/>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7"/>
                <w:szCs w:val="17"/>
              </w:rPr>
              <w:t xml:space="preserve">Hors EU</w:t>
            </w:r>
          </w:p>
        </w:tc>
      </w:tr>
      <w:tr>
        <w:tc>
          <w:tcPr>
            <w:tcW w:type="dxa" w:w="2200"/>
            <w:tcBorders>
              <w:top w:val="single" w:color="2E75B6" w:sz="4"/>
              <w:left w:val="single" w:color="2E75B6" w:sz="4"/>
              <w:bottom w:val="single" w:color="2E75B6" w:sz="4"/>
              <w:right w:val="single" w:color="2E75B6" w:sz="4"/>
            </w:tcBorders>
            <w:shd w:fill="D5E8F0" w:val="clear"/>
            <w:tcMar>
              <w:top w:type="dxa" w:w="80"/>
              <w:left w:type="dxa" w:w="100"/>
              <w:bottom w:type="dxa" w:w="80"/>
              <w:right w:type="dxa" w:w="100"/>
            </w:tcMar>
          </w:tcPr>
          <w:p>
            <w:pPr>
              <w:jc w:val="center"/>
            </w:pPr>
            <w:r>
              <w:rPr>
                <w:rFonts w:ascii="Arial" w:cs="Arial" w:eastAsia="Arial" w:hAnsi="Arial"/>
                <w:b/>
                <w:bCs/>
                <w:color w:val="1F3864"/>
                <w:sz w:val="18"/>
                <w:szCs w:val="18"/>
              </w:rPr>
              <w:t xml:space="preserve">Mon Cercle Santé ✨</w:t>
            </w:r>
          </w:p>
        </w:tc>
        <w:tc>
          <w:tcPr>
            <w:tcW w:type="dxa" w:w="1200"/>
            <w:tcBorders>
              <w:top w:val="single" w:color="2E75B6" w:sz="4"/>
              <w:left w:val="single" w:color="2E75B6" w:sz="4"/>
              <w:bottom w:val="single" w:color="2E75B6" w:sz="4"/>
              <w:right w:val="single" w:color="2E75B6" w:sz="4"/>
            </w:tcBorders>
            <w:shd w:fill="D5E8F0" w:val="clear"/>
            <w:tcMar>
              <w:top w:type="dxa" w:w="80"/>
              <w:left w:type="dxa" w:w="100"/>
              <w:bottom w:type="dxa" w:w="80"/>
              <w:right w:type="dxa" w:w="100"/>
            </w:tcMar>
          </w:tcPr>
          <w:p>
            <w:pPr>
              <w:jc w:val="center"/>
            </w:pPr>
            <w:r>
              <w:rPr>
                <w:rFonts w:ascii="Arial" w:cs="Arial" w:eastAsia="Arial" w:hAnsi="Arial"/>
                <w:b/>
                <w:bCs/>
                <w:color w:val="1F3864"/>
                <w:sz w:val="18"/>
                <w:szCs w:val="18"/>
              </w:rPr>
              <w:t xml:space="preserve">Privé 🇫🇷</w:t>
            </w:r>
          </w:p>
        </w:tc>
        <w:tc>
          <w:tcPr>
            <w:tcW w:type="dxa" w:w="1200"/>
            <w:tcBorders>
              <w:top w:val="single" w:color="2E75B6" w:sz="4"/>
              <w:left w:val="single" w:color="2E75B6" w:sz="4"/>
              <w:bottom w:val="single" w:color="2E75B6" w:sz="4"/>
              <w:right w:val="single" w:color="2E75B6" w:sz="4"/>
            </w:tcBorders>
            <w:shd w:fill="D5E8F0" w:val="clear"/>
            <w:tcMar>
              <w:top w:type="dxa" w:w="80"/>
              <w:left w:type="dxa" w:w="100"/>
              <w:bottom w:type="dxa" w:w="80"/>
              <w:right w:type="dxa" w:w="100"/>
            </w:tcMar>
          </w:tcPr>
          <w:p>
            <w:pPr>
              <w:jc w:val="center"/>
            </w:pPr>
            <w:r>
              <w:rPr>
                <w:rFonts w:ascii="Arial" w:cs="Arial" w:eastAsia="Arial" w:hAnsi="Arial"/>
                <w:b/>
                <w:bCs/>
                <w:color w:val="1F3864"/>
                <w:sz w:val="18"/>
                <w:szCs w:val="18"/>
              </w:rPr>
              <w:t xml:space="preserve">✅ Granulaire/étude</w:t>
            </w:r>
          </w:p>
        </w:tc>
        <w:tc>
          <w:tcPr>
            <w:tcW w:type="dxa" w:w="1200"/>
            <w:tcBorders>
              <w:top w:val="single" w:color="2E75B6" w:sz="4"/>
              <w:left w:val="single" w:color="2E75B6" w:sz="4"/>
              <w:bottom w:val="single" w:color="2E75B6" w:sz="4"/>
              <w:right w:val="single" w:color="2E75B6" w:sz="4"/>
            </w:tcBorders>
            <w:shd w:fill="D5E8F0" w:val="clear"/>
            <w:tcMar>
              <w:top w:type="dxa" w:w="80"/>
              <w:left w:type="dxa" w:w="100"/>
              <w:bottom w:type="dxa" w:w="80"/>
              <w:right w:type="dxa" w:w="100"/>
            </w:tcMar>
          </w:tcPr>
          <w:p>
            <w:pPr>
              <w:jc w:val="center"/>
            </w:pPr>
            <w:r>
              <w:rPr>
                <w:rFonts w:ascii="Arial" w:cs="Arial" w:eastAsia="Arial" w:hAnsi="Arial"/>
                <w:b/>
                <w:bCs/>
                <w:color w:val="1F3864"/>
                <w:sz w:val="18"/>
                <w:szCs w:val="18"/>
              </w:rPr>
              <w:t xml:space="preserve">✅ Direct</w:t>
            </w:r>
          </w:p>
        </w:tc>
        <w:tc>
          <w:tcPr>
            <w:tcW w:type="dxa" w:w="1200"/>
            <w:tcBorders>
              <w:top w:val="single" w:color="2E75B6" w:sz="4"/>
              <w:left w:val="single" w:color="2E75B6" w:sz="4"/>
              <w:bottom w:val="single" w:color="2E75B6" w:sz="4"/>
              <w:right w:val="single" w:color="2E75B6" w:sz="4"/>
            </w:tcBorders>
            <w:shd w:fill="D5E8F0" w:val="clear"/>
            <w:tcMar>
              <w:top w:type="dxa" w:w="80"/>
              <w:left w:type="dxa" w:w="100"/>
              <w:bottom w:type="dxa" w:w="80"/>
              <w:right w:type="dxa" w:w="100"/>
            </w:tcMar>
          </w:tcPr>
          <w:p>
            <w:pPr>
              <w:jc w:val="center"/>
            </w:pPr>
            <w:r>
              <w:rPr>
                <w:rFonts w:ascii="Arial" w:cs="Arial" w:eastAsia="Arial" w:hAnsi="Arial"/>
                <w:b/>
                <w:bCs/>
                <w:color w:val="1F3864"/>
                <w:sz w:val="18"/>
                <w:szCs w:val="18"/>
              </w:rPr>
              <w:t xml:space="preserve">✅ 100% diabète</w:t>
            </w:r>
          </w:p>
        </w:tc>
        <w:tc>
          <w:tcPr>
            <w:tcW w:type="dxa" w:w="1200"/>
            <w:tcBorders>
              <w:top w:val="single" w:color="2E75B6" w:sz="4"/>
              <w:left w:val="single" w:color="2E75B6" w:sz="4"/>
              <w:bottom w:val="single" w:color="2E75B6" w:sz="4"/>
              <w:right w:val="single" w:color="2E75B6" w:sz="4"/>
            </w:tcBorders>
            <w:shd w:fill="D5E8F0" w:val="clear"/>
            <w:tcMar>
              <w:top w:type="dxa" w:w="80"/>
              <w:left w:type="dxa" w:w="100"/>
              <w:bottom w:type="dxa" w:w="80"/>
              <w:right w:type="dxa" w:w="100"/>
            </w:tcMar>
          </w:tcPr>
          <w:p>
            <w:pPr>
              <w:jc w:val="center"/>
            </w:pPr>
            <w:r>
              <w:rPr>
                <w:rFonts w:ascii="Arial" w:cs="Arial" w:eastAsia="Arial" w:hAnsi="Arial"/>
                <w:b/>
                <w:bCs/>
                <w:color w:val="1F3864"/>
                <w:sz w:val="18"/>
                <w:szCs w:val="18"/>
              </w:rPr>
              <w:t xml:space="preserve">✅ Prévention diabète</w:t>
            </w:r>
          </w:p>
        </w:tc>
        <w:tc>
          <w:tcPr>
            <w:tcW w:type="dxa" w:w="1400"/>
            <w:tcBorders>
              <w:top w:val="single" w:color="2E75B6" w:sz="4"/>
              <w:left w:val="single" w:color="2E75B6" w:sz="4"/>
              <w:bottom w:val="single" w:color="2E75B6" w:sz="4"/>
              <w:right w:val="single" w:color="2E75B6" w:sz="4"/>
            </w:tcBorders>
            <w:shd w:fill="D5E8F0" w:val="clear"/>
            <w:tcMar>
              <w:top w:type="dxa" w:w="80"/>
              <w:left w:type="dxa" w:w="100"/>
              <w:bottom w:type="dxa" w:w="80"/>
              <w:right w:type="dxa" w:w="100"/>
            </w:tcMar>
          </w:tcPr>
          <w:p>
            <w:pPr>
              <w:jc w:val="center"/>
            </w:pPr>
            <w:r>
              <w:rPr>
                <w:rFonts w:ascii="Arial" w:cs="Arial" w:eastAsia="Arial" w:hAnsi="Arial"/>
                <w:b/>
                <w:bCs/>
                <w:color w:val="1F3864"/>
                <w:sz w:val="18"/>
                <w:szCs w:val="18"/>
              </w:rPr>
              <w:t xml:space="preserve">🇫🇷 cible</w:t>
            </w:r>
          </w:p>
        </w:tc>
        <w:tc>
          <w:tcPr>
            <w:tcW w:type="dxa" w:w="960"/>
            <w:tcBorders>
              <w:top w:val="single" w:color="2E75B6" w:sz="4"/>
              <w:left w:val="single" w:color="2E75B6" w:sz="4"/>
              <w:bottom w:val="single" w:color="2E75B6" w:sz="4"/>
              <w:right w:val="single" w:color="2E75B6" w:sz="4"/>
            </w:tcBorders>
            <w:shd w:fill="D5E8F0" w:val="clear"/>
            <w:tcMar>
              <w:top w:type="dxa" w:w="80"/>
              <w:left w:type="dxa" w:w="100"/>
              <w:bottom w:type="dxa" w:w="80"/>
              <w:right w:type="dxa" w:w="100"/>
            </w:tcMar>
          </w:tcPr>
          <w:p>
            <w:pPr>
              <w:jc w:val="center"/>
            </w:pPr>
            <w:r>
              <w:rPr>
                <w:rFonts w:ascii="Arial" w:cs="Arial" w:eastAsia="Arial" w:hAnsi="Arial"/>
                <w:b/>
                <w:bCs/>
                <w:color w:val="1F3864"/>
                <w:sz w:val="18"/>
                <w:szCs w:val="18"/>
              </w:rPr>
              <w:t xml:space="preserve">✅</w:t>
            </w:r>
          </w:p>
        </w:tc>
      </w:tr>
    </w:tbl>
    <w:p>
      <w:pPr>
        <w:spacing w:after="0" w:before="320"/>
      </w:pPr>
      <w:r>
        <w:t xml:space="preserve"/>
      </w:r>
    </w:p>
    <w:p>
      <w:pPr>
        <w:pBdr>
          <w:bottom w:val="single" w:color="2E75B6" w:sz="6" w:space="1"/>
        </w:pBdr>
        <w:spacing w:after="120" w:before="320"/>
      </w:pPr>
      <w:r>
        <w:rPr>
          <w:rFonts w:ascii="Arial" w:cs="Arial" w:eastAsia="Arial" w:hAnsi="Arial"/>
          <w:b/>
          <w:bCs/>
          <w:color w:val="2E75B6"/>
          <w:sz w:val="28"/>
          <w:szCs w:val="28"/>
        </w:rPr>
        <w:t xml:space="preserve">5.  Nos 6 points de différenciation clés</w:t>
      </w:r>
    </w:p>
    <w:p>
      <w:pPr>
        <w:spacing w:after="120" w:before="60"/>
      </w:pPr>
      <w:r>
        <w:rPr>
          <w:rFonts w:ascii="Arial" w:cs="Arial" w:eastAsia="Arial" w:hAnsi="Arial"/>
          <w:b/>
          <w:bCs/>
          <w:color w:val="C00000"/>
          <w:sz w:val="20"/>
          <w:szCs w:val="20"/>
        </w:rPr>
        <w:t xml:space="preserve">Aucun acteur en France ou en Europe ne cumule ces six caractéristiques simultanément.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Point de différenciation</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Explication</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 Spécialisation diabète exclusive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Aucun acteur en France/Europe ne propose un pipeline de données longitudinales homogènes 100% diabète destiné aux chercheurs. Le HDH a des données diabète, mais passives et non consenties opt-in. Galeon est généraliste.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 Consentement granulaire par étude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 patient consent non pas « en bloc » mais pour chaque étude, chaque jeu de données, chaque durée. Ni le HDH, ni Galeon, ni Elfie ne proposent ce niveau de granularité. C'est exactement ce que le cadre EEDS (2025) appelle « consentement dynamique ».</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 Médecin comme tiers de confiance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Le médecin traitant joue le rôle d'intermédiaire de confiance entre le patient et le chercheur. Ni les plateformes publiques (HDH), ni les solutions privées (Galeon, Elfie) ne positionnent le médecin dans ce rôle. C'est un levier de réduction de la défiance patient unique.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 Récompenses thématiques (pas génériques)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Les points sont échangeables contre des avantages liés à la prévention et la prise en charge du diabète — pas des bons d'achat génériques (Elfie) ni une crypto spéculative (Galeon). La cohérence thématique renforce l'engagement et la légitimité.</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 Accès direct chercheur sans délai institutionnel</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Le chercheur accède à une cohorte diabétique consentie, sans attendre 9 mois (HDH), sans passer par un hôpital partenaire (Galeon), sans négocier un data product (Dawex).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 Alignement réglementaire EEDS/RGPD natif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 plateforme est conçue dès l'origine pour être conforme au Règlement EEDS (en vigueur mars 2025, applicable 2027). Les smart contracts tracent les consentements de manière immuable, répondant aux exigences de traçabilité imposées aux ORAD nationaux.</w:t>
            </w:r>
          </w:p>
        </w:tc>
      </w:tr>
    </w:tbl>
    <w:p>
      <w:pPr>
        <w:spacing w:after="0" w:before="320"/>
      </w:pPr>
      <w:r>
        <w:t xml:space="preserve"/>
      </w:r>
    </w:p>
    <w:p>
      <w:pPr>
        <w:pBdr>
          <w:bottom w:val="single" w:color="2E75B6" w:sz="6" w:space="1"/>
        </w:pBdr>
        <w:spacing w:after="120" w:before="320"/>
      </w:pPr>
      <w:r>
        <w:rPr>
          <w:rFonts w:ascii="Arial" w:cs="Arial" w:eastAsia="Arial" w:hAnsi="Arial"/>
          <w:b/>
          <w:bCs/>
          <w:color w:val="2E75B6"/>
          <w:sz w:val="28"/>
          <w:szCs w:val="28"/>
        </w:rPr>
        <w:t xml:space="preserve">6.  Conclusion — Le trou de marché</w:t>
      </w:r>
    </w:p>
    <w:p>
      <w:pPr>
        <w:spacing w:after="60" w:before="60"/>
      </w:pPr>
      <w:r>
        <w:rPr>
          <w:rFonts w:ascii="Arial" w:cs="Arial" w:eastAsia="Arial" w:hAnsi="Arial"/>
          <w:b w:val="false"/>
          <w:bCs w:val="false"/>
          <w:color w:val="000000"/>
          <w:sz w:val="20"/>
          <w:szCs w:val="20"/>
        </w:rPr>
        <w:t xml:space="preserve">Le secteur public (HDH, Mon Espace Santé) détient les données mais n'engage pas le patient. Le secteur privé (Galeon, Elfie) engage le patient mais sans la granularité de consentement ni la spécialisation nécessaires à la recherche diabétologique de qualité.</w:t>
      </w:r>
    </w:p>
    <w:p>
      <w:pPr>
        <w:spacing w:after="40" w:before="80"/>
      </w:pPr>
      <w:r>
        <w:rPr>
          <w:rFonts w:ascii="Arial" w:cs="Arial" w:eastAsia="Arial" w:hAnsi="Arial"/>
          <w:b/>
          <w:bCs/>
          <w:sz w:val="20"/>
          <w:szCs w:val="20"/>
        </w:rPr>
        <w:t xml:space="preserve">Mon Cercle Santé se positionne exactement dans cet espace vide :</w:t>
      </w:r>
    </w:p>
    <w:p>
      <w:pPr>
        <w:pStyle w:val="ListParagraph"/>
        <w:numPr>
          <w:ilvl w:val="0"/>
          <w:numId w:val="2"/>
        </w:numPr>
        <w:spacing w:after="40" w:before="40"/>
      </w:pPr>
      <w:r>
        <w:rPr>
          <w:rFonts w:ascii="Arial" w:cs="Arial" w:eastAsia="Arial" w:hAnsi="Arial"/>
          <w:sz w:val="20"/>
          <w:szCs w:val="20"/>
        </w:rPr>
        <w:t xml:space="preserve">La spécialisation diabète garantit des données longitudinales homogènes à haute valeur scientifique.</w:t>
      </w:r>
    </w:p>
    <w:p>
      <w:pPr>
        <w:pStyle w:val="ListParagraph"/>
        <w:numPr>
          <w:ilvl w:val="0"/>
          <w:numId w:val="2"/>
        </w:numPr>
        <w:spacing w:after="40" w:before="40"/>
      </w:pPr>
      <w:r>
        <w:rPr>
          <w:rFonts w:ascii="Arial" w:cs="Arial" w:eastAsia="Arial" w:hAnsi="Arial"/>
          <w:sz w:val="20"/>
          <w:szCs w:val="20"/>
        </w:rPr>
        <w:t xml:space="preserve">Le consentement granulaire opt-in par étude est le seul modèle aligné avec l'EEDS 2025 et le RGPD natif.</w:t>
      </w:r>
    </w:p>
    <w:p>
      <w:pPr>
        <w:pStyle w:val="ListParagraph"/>
        <w:numPr>
          <w:ilvl w:val="0"/>
          <w:numId w:val="2"/>
        </w:numPr>
        <w:spacing w:after="40" w:before="40"/>
      </w:pPr>
      <w:r>
        <w:rPr>
          <w:rFonts w:ascii="Arial" w:cs="Arial" w:eastAsia="Arial" w:hAnsi="Arial"/>
          <w:sz w:val="20"/>
          <w:szCs w:val="20"/>
        </w:rPr>
        <w:t xml:space="preserve">Le médecin comme tiers de confiance résout structurellement la défiance patient — là où toutes les autres solutions échouent.</w:t>
      </w:r>
    </w:p>
    <w:p>
      <w:pPr>
        <w:pStyle w:val="ListParagraph"/>
        <w:numPr>
          <w:ilvl w:val="0"/>
          <w:numId w:val="2"/>
        </w:numPr>
        <w:spacing w:after="40" w:before="40"/>
      </w:pPr>
      <w:r>
        <w:rPr>
          <w:rFonts w:ascii="Arial" w:cs="Arial" w:eastAsia="Arial" w:hAnsi="Arial"/>
          <w:sz w:val="20"/>
          <w:szCs w:val="20"/>
        </w:rPr>
        <w:t xml:space="preserve">Les récompenses thématiques créent un cercle vertueux entre engagement patient, prévention diabète et qualité des données.</w:t>
      </w:r>
    </w:p>
    <w:p>
      <w:pPr>
        <w:spacing w:after="80" w:before="120"/>
      </w:pPr>
      <w:r>
        <w:rPr>
          <w:rFonts w:ascii="Arial" w:cs="Arial" w:eastAsia="Arial" w:hAnsi="Arial"/>
          <w:i/>
          <w:iCs/>
          <w:color w:val="2E75B6"/>
          <w:sz w:val="20"/>
          <w:szCs w:val="20"/>
        </w:rPr>
        <w:t xml:space="preserve">L'EEDS fournit le cadre réglementaire pour s'installer durablement dans ce positionnement dès 2027.</w:t>
      </w:r>
    </w:p>
    <w:sectPr>
      <w:headerReference w:type="default" r:id="rId7"/>
      <w:footerReference w:type="default" r:id="rId8"/>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right"/>
    </w:pPr>
    <w:r>
      <w:rPr>
        <w:rFonts w:ascii="Arial" w:cs="Arial" w:eastAsia="Arial" w:hAnsi="Arial"/>
        <w:color w:val="999999"/>
        <w:sz w:val="18"/>
        <w:szCs w:val="18"/>
      </w:rPr>
      <w:t xml:space="preserve">Confidentiel — Hacking Health Camp 2026  |  Mon Cercle Santé</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b/>
        <w:bCs/>
        <w:color w:val="2E75B6"/>
        <w:sz w:val="20"/>
        <w:szCs w:val="20"/>
      </w:rPr>
      <w:t xml:space="preserve">Mon Cercle Santé  —  </w:t>
    </w:r>
    <w:r>
      <w:rPr>
        <w:rFonts w:ascii="Arial" w:cs="Arial" w:eastAsia="Arial" w:hAnsi="Arial"/>
        <w:color w:val="666666"/>
        <w:sz w:val="20"/>
        <w:szCs w:val="20"/>
      </w:rPr>
      <w:t xml:space="preserve">Benchmark Concurrentiel  |  Prisme chercheur  |  Europe / France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2026-03-21T09:46:48.013Z</dcterms:created>
  <dcterms:modified xsi:type="dcterms:W3CDTF">2026-03-21T09:46:48.015Z</dcterms:modified>
</cp:coreProperties>
</file>

<file path=docProps/custom.xml><?xml version="1.0" encoding="utf-8"?>
<Properties xmlns="http://schemas.openxmlformats.org/officeDocument/2006/custom-properties" xmlns:vt="http://schemas.openxmlformats.org/officeDocument/2006/docPropsVTypes"/>
</file>