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ffa"/>
        <w:jc w:val="both"/>
        <w:spacing w:line="160" w:lineRule="exac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ellMar>
          <w:top w:w="0" w:type="dxa"/>
          <w:left w:w="0" w:type="dxa"/>
          <w:bottom w:w="57" w:type="dxa"/>
          <w:right w:w="0" w:type="dxa"/>
        </w:tblCellMar>
      </w:tblPr>
      <w:tblGrid>
        <w:gridCol w:w="1989"/>
        <w:gridCol w:w="7866"/>
      </w:tblGrid>
      <w:tr>
        <w:trPr>
          <w:trHeight w:val="907" w:hRule="atLeast"/>
        </w:trPr>
        <w:tc>
          <w:tcPr>
            <w:tcW w:w="1009" w:type="pct"/>
            <w:vAlign w:val="center"/>
          </w:tcPr>
          <w:p>
            <w:pPr>
              <w:jc w:val="center"/>
              <w:tabs>
                <w:tab w:val="left" w:pos="4875"/>
              </w:tabs>
              <w:rPr>
                <w:rFonts w:eastAsia="굴림"/>
              </w:rPr>
            </w:pPr>
            <w:r>
              <w:rPr>
                <w:rFonts w:eastAsia="굴림" w:hint="eastAsia"/>
              </w:rPr>
              <w:t>교육 제목</w:t>
            </w:r>
          </w:p>
        </w:tc>
        <w:tc>
          <w:tcPr>
            <w:tcW w:w="3991" w:type="pct"/>
            <w:vAlign w:val="center"/>
          </w:tcPr>
          <w:p>
            <w:pPr>
              <w:jc w:val="left"/>
              <w:spacing w:line="400" w:lineRule="atLeast"/>
              <w:rPr>
                <w:rFonts w:ascii="굴림" w:eastAsia="굴림" w:hAnsi="굴림"/>
                <w:b/>
              </w:rPr>
            </w:pPr>
            <w:r>
              <w:rPr>
                <w:rFonts w:ascii="굴림" w:eastAsia="굴림" w:hAnsi="굴림"/>
                <w:b/>
                <w:rtl w:val="off"/>
              </w:rPr>
              <w:t>통계의기초</w:t>
            </w:r>
          </w:p>
        </w:tc>
      </w:tr>
      <w:tr>
        <w:trPr>
          <w:trHeight w:val="454" w:hRule="atLeast"/>
        </w:trPr>
        <w:tc>
          <w:tcPr>
            <w:tcW w:w="1009" w:type="pct"/>
            <w:vAlign w:val="center"/>
          </w:tcPr>
          <w:p>
            <w:pPr>
              <w:jc w:val="center"/>
              <w:tabs>
                <w:tab w:val="left" w:pos="4875"/>
              </w:tabs>
              <w:rPr>
                <w:rFonts w:eastAsia="굴림"/>
              </w:rPr>
            </w:pPr>
            <w:r>
              <w:rPr>
                <w:rFonts w:eastAsia="굴림" w:hint="eastAsia"/>
              </w:rPr>
              <w:t>교육 일시</w:t>
            </w:r>
          </w:p>
        </w:tc>
        <w:tc>
          <w:tcPr>
            <w:tcW w:w="3991" w:type="pct"/>
            <w:vAlign w:val="center"/>
          </w:tcPr>
          <w:p>
            <w:pPr>
              <w:jc w:val="left"/>
              <w:tabs>
                <w:tab w:val="left" w:pos="4875"/>
              </w:tabs>
              <w:rPr>
                <w:rFonts w:eastAsia="굴림"/>
              </w:rPr>
            </w:pPr>
            <w:r>
              <w:rPr>
                <w:rFonts w:eastAsia="굴림"/>
                <w:rtl w:val="off"/>
              </w:rPr>
              <w:t>21년 9월 15일</w:t>
            </w:r>
          </w:p>
        </w:tc>
      </w:tr>
      <w:tr>
        <w:trPr>
          <w:trHeight w:val="454" w:hRule="atLeast"/>
        </w:trPr>
        <w:tc>
          <w:tcPr>
            <w:tcW w:w="1009" w:type="pct"/>
            <w:vAlign w:val="center"/>
          </w:tcPr>
          <w:p>
            <w:pPr>
              <w:jc w:val="center"/>
              <w:tabs>
                <w:tab w:val="left" w:pos="4875"/>
              </w:tabs>
              <w:rPr>
                <w:rFonts w:eastAsia="굴림"/>
              </w:rPr>
            </w:pPr>
            <w:r>
              <w:rPr>
                <w:rFonts w:eastAsia="굴림" w:hint="eastAsia"/>
              </w:rPr>
              <w:t>교육 장소</w:t>
            </w:r>
          </w:p>
        </w:tc>
        <w:tc>
          <w:tcPr>
            <w:tcW w:w="3991" w:type="pct"/>
            <w:vAlign w:val="center"/>
          </w:tcPr>
          <w:p>
            <w:pPr>
              <w:tabs>
                <w:tab w:val="left" w:pos="4875"/>
              </w:tabs>
              <w:rPr>
                <w:rFonts w:ascii="굴림" w:eastAsia="굴림" w:hAnsi="굴림" w:hint="eastAsia"/>
              </w:rPr>
            </w:pPr>
            <w:r>
              <w:rPr>
                <w:rFonts w:ascii="굴림" w:eastAsia="굴림" w:hAnsi="굴림" w:hint="eastAsia"/>
                <w:rtl w:val="off"/>
              </w:rPr>
              <w:t>비대면수업-자택</w:t>
            </w:r>
          </w:p>
        </w:tc>
      </w:tr>
      <w:tr>
        <w:trPr>
          <w:trHeight w:val="454" w:hRule="atLeast"/>
        </w:trPr>
        <w:tc>
          <w:tcPr>
            <w:tcW w:w="5000" w:type="pct"/>
            <w:gridSpan w:val="2"/>
            <w:vAlign w:val="center"/>
          </w:tcPr>
          <w:p>
            <w:pPr>
              <w:ind w:firstLineChars="100" w:firstLine="216"/>
              <w:jc w:val="center"/>
              <w:tabs>
                <w:tab w:val="left" w:pos="4875"/>
              </w:tabs>
              <w:rPr>
                <w:rFonts w:eastAsia="굴림"/>
                <w:b/>
                <w:sz w:val="22"/>
              </w:rPr>
            </w:pPr>
            <w:r>
              <w:rPr>
                <w:rFonts w:eastAsia="굴림" w:hint="eastAsia"/>
                <w:b/>
                <w:sz w:val="22"/>
              </w:rPr>
              <w:t>교육 내용</w:t>
            </w:r>
          </w:p>
        </w:tc>
      </w:tr>
      <w:tr>
        <w:trPr>
          <w:trHeight w:val="4508" w:hRule="atLeast"/>
        </w:trPr>
        <w:tc>
          <w:tcPr>
            <w:tcW w:w="1009" w:type="pct"/>
            <w:vAlign w:val="center"/>
          </w:tcPr>
          <w:p>
            <w:pPr>
              <w:jc w:val="center"/>
              <w:tabs>
                <w:tab w:val="left" w:pos="4875"/>
              </w:tabs>
              <w:rPr>
                <w:rFonts w:eastAsia="굴림"/>
              </w:rPr>
            </w:pPr>
            <w:r>
              <w:rPr>
                <w:rFonts w:eastAsia="굴림" w:hint="eastAsia"/>
                <w:sz w:val="22"/>
              </w:rPr>
              <w:t>오전</w:t>
            </w:r>
          </w:p>
        </w:tc>
        <w:tc>
          <w:tcPr>
            <w:tcW w:w="3991" w:type="pct"/>
            <w:vAlign w:val="center"/>
          </w:tcPr>
          <w:p>
            <w:pPr>
              <w:pStyle w:val="0"/>
              <w:widowControl w:val="off"/>
            </w:pPr>
            <w:bookmarkStart w:id="1" w:name="_top"/>
            <w:bookmarkEnd w:id="1"/>
            <w:r>
              <w:rPr>
                <w:sz w:val="24"/>
              </w:rPr>
              <w:t>통계학과 데이터사이언스와의 차이: 기존의 통계학은 데이터가 정형화 되어있었다, 예를 들어 나이, 지역, 나라, 인종, 연봉, etc... 하지만 요즘의 데이터사이언스는 데이터가 비정형인 것들이 많다, 예를 들어 사진, 웹에서 긁어온 다량의 데이터...etc 이러한 것들은 기존의 통계학으로는 다룰 수가 없고 컴퓨터프로그래밍이 가능/불가능의 차이도 있다.</w:t>
            </w:r>
          </w:p>
          <w:p>
            <w:pPr>
              <w:pStyle w:val="0"/>
              <w:widowControl w:val="off"/>
            </w:pPr>
            <w:r>
              <w:rPr>
                <w:sz w:val="24"/>
              </w:rPr>
              <w:t xml:space="preserve">  데이터에는 크게 정형과 비정형 자료가 있다. 정형 데이터에는 몇 가지 종류가 존재한다. 연속형 자료, 범주형/이산형 자료가 있다. 연속형 자료는 등간척도/interval과 비율척도/ratio가 있다. 등간척도는 절대값 0이 없는 자료로 대표적인 예로 온도가 있는데 이때의 0도는 수로 표현했을 때 0이지만 물리적으로는 영하와 영상의 온도의 중간일 뿐이다. 비율척도는 절대값0이 존재하는 자료로 예로 무게와 압력 등이 있는데 이때의 0은 물리적으로 질량/무게가 없거나 가해지는 힘이 없는 경우다. 명목척도/nominal과 순서척도/ordinal이 있다. 명목척도는 속성을 분류하는 것으로 대표적인 것으로 교과목으로 국어/영어/수학이 있다. 순서척도는 속성 간에 차이가 존재하는 것으로 대표적으로 국어-수 영어-미 수학-양 이 있다. 비정형 데이터는 말 그대로 정해진 것이 없는 자료인데 예를 들어 사람의 모습, 자연의 풍경, 냄새, 이러한 것들이 있다.</w:t>
            </w:r>
          </w:p>
          <w:p>
            <w:pPr>
              <w:pStyle w:val="0"/>
              <w:ind w:leftChars="0" w:left="0"/>
              <w:widowControl w:val="off"/>
            </w:pPr>
            <w:r>
              <w:rPr>
                <w:sz w:val="24"/>
              </w:rPr>
              <w:t xml:space="preserve">  어떠한 것을 분석하고 이해하려는 과정 중에는 자료의 수집이 필수적이고 그러한 자료를 모을 때 모든 자료를 모으고 나타내는 것이 이상적이겠으나 물리적으로 힘든 경우가 많고 그를 위해 데이터를 축약/요약한다. 데이터를 이해/분석하기 전에 어느 것의/에서 데이터를 추출할지를 정해야 하는데 그 때 자료를 추출을 할 집단을 모집단이라고 하고 예를 들어 우리나라 남자의 평균 키가 있다. 자료를 추출할 때 모든 데이터를 얻으면 좋겠으나 현실적으로 불가능한 경우가 많고 그 경우에는 모집단에서도 일부 집단을 정해서/뽑아서 데이터를 추출을 하는데 우리나라 남자의 평균키를 예로 들었을 때 10대 남성 50명 20대 50명...60대 50명 이러한 경우를 예로 들 수 있다. 주의 할 것으로는 데이터를 추출할 집단을 잘못 설정하거나 표본 집단을 여러 방면으로 고려하지 않으면 결과가 왜곡 될 수가 있다, 예를 들어 사람의 암을 치료하기 위한 연구를 할 때 표본 집단을 대한민국에서만 선정해서 데이터를 추출한다면 연구 결과를 다른 나라 사람들한테는 유전자나 여러 나라의 사람들의 다른 생활 방식 등의 여러 면으로 대한민국 사람들과는 다른 변수로 인해 적용하기 어려울 수 있다.</w:t>
            </w:r>
          </w:p>
          <w:p>
            <w:pPr>
              <w:pStyle w:val="0"/>
              <w:widowControl w:val="off"/>
              <w:rPr>
                <w:rFonts w:hint="eastAsia"/>
                <w:sz w:val="24"/>
                <w:rtl w:val="off"/>
              </w:rPr>
            </w:pPr>
            <w:r>
              <w:rPr>
                <w:sz w:val="24"/>
              </w:rPr>
              <w:t xml:space="preserve">  데이터에서 정보를 뽑아내고 그것의 의미를 이해하기 위해서는 데이터의 구조와 크기를 잘 파악하고 분석을 해야 하고 그것을 적절하게 요약을 할 수 있어야 한다. 데이터의 구조와 크기를 잘 파악한 다는 것은 어떠한 방법으로 데이터를 추출하는 가를 말하는 것인데, 예를 들면 대한민국의 사람들의 재산을 알기위해 우리나라의 모든 사람들을 대상으로 데이터를 추출할 텐데 이때 재산을 유동성을 기준으로 범주를 나눠 데이터를 추출할 수도 있고 모든 재산을 원화 화폐로 바꿔서 데이터를 산출할 수가 있고 그 데이터에서 나오는 정보를 잘 이해하려면 요약/표현도 적절하게 해야한다. 데이터를 표현 할 때 그래프를 통해 데이터를 요약할 수도 있고 수치를 통해 요약을 할 수가 있다. 범주형의 자료의 경우 요약 방법 중 대표적인 것은 돗수분포표/frequency table, 막대그래프/bar graph/bar plot, 파이차트/pie chart가 있다. 연속형의 경우에는 돗수분포표 (Frequency table), 히스토그램 (Histogram), 상자수염 그림 (Boxplot), 바이올린 그림 (Violin plot)을 대표적인 예로 들 수 있다. 그래프를 통해 정보를 표현 했을 때에는 직관적으로/한 눈에 이해하기가 편하다. 하지만 그 그래프를 작성한 주체가 기준이나 그래프의 모양, 수치의 표현을 통해 정보의 의미를 왜곡 시킬 수 있다는 주의할 점이 있다. 간단한 예를 들자면 미국을 표현하기 위해 미국의 생겨난 날부터 지금까지의 1인당 국민소득을 막대그래프로 나타내면 굉장한 성장세로 현재의 42000달러에 달하는 것을 보게 되어 미국을 굉장히 살기 좋고 국민 모두가 부자로 지낼 것만 같은 의견을 가지게 될 수가 있는데 이때 빈부의 격차나 세계적인 사건으로 인한 미국 경제의 성장과 같은 기준들과 변수가 배제되어 미국에 대한 생각 왜곡될 수가 있는 것이다. 수치를 통해 연속형 자료를 요약하는 방법들 중 중심위치를 측정하는 것들로는 대표적으로 표본평균 (Sample Mean), 중앙값 (Median) 그리고 최빈값 (Mode)이 있다. 표본평균은 중심을 나타내는 측도 중에서 가장 많이 사용되는 방법으로 자료의 무게 중심을 나타내는데 공식은  </w:t>
            </w:r>
            <m:oMath>
              <m:bar>
                <m:barPr>
                  <m:pos m:val="top"/>
                  <m:ctrlPr>
                    <w:rPr>
                      <w:sz w:val="24"/>
                    </w:rPr>
                  </m:ctrlPr>
                </m:barPr>
                <m:e>
                  <m:r>
                    <m:rPr>
                      <m:sty m:val="p"/>
                    </m:rPr>
                    <w:rPr>
                      <w:rFonts w:ascii="Cambria Math" w:hAnsi="Cambria Math"/>
                    </w:rPr>
                    <m:t>x</m:t>
                  </m:r>
                </m:e>
              </m:bar>
              <m:r>
                <m:rPr>
                  <m:sty m:val="p"/>
                </m:rPr>
                <w:rPr>
                  <w:rFonts w:ascii="Cambria Math" w:hAnsi="Cambria Math"/>
                </w:rPr>
                <m:t>=(</m:t>
              </m:r>
              <m:limUpp>
                <m:limUppPr>
                  <m:ctrlPr>
                    <w:rPr>
                      <w:rFonts w:ascii="Cambria Math" w:hAnsi="Cambria Math"/>
                    </w:rPr>
                  </m:ctrlPr>
                </m:limUppPr>
                <m:e>
                  <m:limLow>
                    <m:limLowPr>
                      <m:ctrlPr>
                        <w:rPr>
                          <w:rFonts w:ascii="Cambria Math" w:hAnsi="Cambria Math"/>
                        </w:rPr>
                      </m:ctrlPr>
                    </m:limLowPr>
                    <m:e>
                      <m:r>
                        <m:rPr>
                          <m:sty m:val="p"/>
                        </m:rPr>
                        <w:rPr>
                          <w:rFonts w:ascii="Cambria Math" w:hAnsi="Cambria Math"/>
                        </w:rPr>
                        <m:t>∑</m:t>
                      </m:r>
                    </m:e>
                    <m:lim>
                      <m:r>
                        <m:rPr>
                          <m:sty m:val="p"/>
                        </m:rPr>
                        <w:rPr>
                          <w:rFonts w:ascii="Cambria Math" w:hAnsi="Cambria Math"/>
                        </w:rPr>
                        <m:t>i=1</m:t>
                      </m:r>
                    </m:lim>
                  </m:limLow>
                </m:e>
                <m:lim>
                  <m:r>
                    <m:rPr>
                      <m:sty m:val="p"/>
                    </m:rPr>
                    <w:rPr>
                      <w:rFonts w:ascii="Cambria Math" w:hAnsi="Cambria Math"/>
                    </w:rPr>
                    <m:t>n</m:t>
                  </m:r>
                </m:lim>
              </m:limUpp>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))/n</m:t>
              </m:r>
            </m:oMath>
            <w:r>
              <w:rPr>
                <w:sz w:val="24"/>
              </w:rPr>
              <w:t xml:space="preserve">  이고 자료의 이상치의 영향을 많이 받는다. 중앙값은 전체 관측값을 크기순으로 나열한 했을 때 중앙에 위치한 값을 나타내고 공식은  이고 데이터의 수가 홀수면(n+1)/2번째 관측값을 쓰고, 짝수이면 n/2번째와 (n-1)/2번째 관측값의 평균값을 쓰고 자료의 아상치에 영향을 적게 받는 다는 점이 있다. 최빈값은 관측값 중에 가장 자주 나온 값을 말한다. 자료에 이상치의 정도와 개수에 따라 표본평균과 중앙값을 적절히 써야 한다, 그렇지 않으면 왜곡된 결론이 나올 수 있다.</w:t>
            </w:r>
          </w:p>
          <w:p>
            <w:pPr>
              <w:pStyle w:val="0"/>
              <w:widowControl w:val="off"/>
              <w:rPr>
                <w:rFonts w:ascii="함초롬바탕" w:eastAsia="함초롬바탕" w:hAnsi="함초롬바탕" w:hint="default"/>
                <w:sz w:val="24"/>
              </w:rPr>
            </w:pPr>
            <w:r>
              <w:rPr>
                <w:rFonts w:ascii="함초롬바탕" w:eastAsia="함초롬바탕" w:hAnsi="함초롬바탕" w:hint="default"/>
                <w:color w:val="333333"/>
                <w:sz w:val="24"/>
                <w:shd w:val="clear" w:color="000000" w:fill="FFFFFF"/>
                <w:rtl w:val="off"/>
              </w:rPr>
              <w:t xml:space="preserve">  </w:t>
            </w:r>
            <w:r>
              <w:rPr>
                <w:rFonts w:ascii="함초롬바탕" w:eastAsia="함초롬바탕" w:hAnsi="함초롬바탕" w:hint="default"/>
                <w:color w:val="333333"/>
                <w:sz w:val="24"/>
                <w:shd w:val="clear" w:color="000000" w:fill="FFFFFF"/>
              </w:rPr>
              <w:t xml:space="preserve">데이터를 통해 값을 관측하고 거기에서 의미를 이끌어 내기 위해서는 변수들과 데이터의 관계를 파악하는 것이 매우 중요하다. 이때 두 연속형 변수간에 선형적 연관관계가 있는지 분석하는 통계적 방법을 상관분석(correlation)이 있다. 하지만 상관분석은 두 변수간에 연관된 정도를 나타내는 것이고 인과관계와 같은 것은 아니다, 예를 들어 아이스크림의 판매량이 증가했더니 상어에 의해 사망한 사람들의 수가 증가하는, 즉, 양의 상관관계를 나타내는 통계가 있다고 가정하자, 그러면 아이스크림의 판매량과 상어에 의해 사망한 사람들의 수는 서로 비례하여 아이스크림이 많이 팔리면 사람들이 상어한테 죽는다는 말이 안 되는 관계가 나타난다, 하지만 사실은 여름이라 아이스크림 판매량이 증가한 것이고 여름이라 해안가에 상어가 자주 출몰하여 피서를 온 사람들이 상어에 의해 피해를 입은 수가 증가한 것으로 두 사건들은 서로 전혀 상관이 없는 독립적인 사건들이고 인과관계가 있는 관계라면 여름과 아이스크림 판매량, 그리고 여름과 상어의 출몰의 빈도가 되겠다. </w:t>
            </w:r>
          </w:p>
          <w:p>
            <w:pPr>
              <w:ind w:firstLineChars="100" w:firstLine="200"/>
              <w:jc w:val="left"/>
              <w:tabs>
                <w:tab w:val="left" w:pos="4875"/>
              </w:tabs>
              <w:rPr>
                <w:rFonts w:ascii="함초롬바탕" w:eastAsia="함초롬바탕" w:hAnsi="함초롬바탕"/>
              </w:rPr>
            </w:pPr>
          </w:p>
        </w:tc>
      </w:tr>
      <w:tr>
        <w:trPr>
          <w:trHeight w:val="5235" w:hRule="atLeast"/>
        </w:trPr>
        <w:tc>
          <w:tcPr>
            <w:tcW w:w="1009" w:type="pct"/>
            <w:vAlign w:val="center"/>
          </w:tcPr>
          <w:p>
            <w:pPr>
              <w:jc w:val="center"/>
              <w:tabs>
                <w:tab w:val="left" w:pos="4875"/>
              </w:tabs>
              <w:rPr>
                <w:rFonts w:eastAsia="굴림"/>
              </w:rPr>
            </w:pPr>
            <w:r>
              <w:rPr>
                <w:rFonts w:eastAsia="굴림" w:hint="eastAsia"/>
                <w:sz w:val="22"/>
              </w:rPr>
              <w:t>오후</w:t>
            </w:r>
          </w:p>
        </w:tc>
        <w:tc>
          <w:tcPr>
            <w:tcW w:w="3991" w:type="pct"/>
            <w:vAlign w:val="center"/>
          </w:tcPr>
          <w:p>
            <w:pPr>
              <w:pStyle w:val="0"/>
              <w:widowControl w:val="off"/>
            </w:pPr>
            <w:r>
              <w:rPr>
                <w:color w:val="333333"/>
                <w:sz w:val="24"/>
                <w:shd w:val="clear" w:color="000000" w:fill="FFFFFF"/>
              </w:rPr>
              <w:t xml:space="preserve">위에서 상관관계가 언급되었는데 통계에서 상관관계는 두 변수가 있을 경우 계수로 값을 구할 수 있으며 양의 상관관계와 음의 상관관계를 판별할 수 있다. 두 연속형 변수가 정규분포를 따를 때에는 피어슨 상관계수(Pearson‘s r)를 이용하여 상관관계를 나타낼 수 있다. r값이 –면 음의 상관관계이고 +이면 양의 상관관계인데 둘 다 1에 가까울수록 높은 상관성을 뜻하고, 낮을수록 낮은 상관성을 뜻한다. 공식은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Cov(x,y)</m:t>
                  </m:r>
                </m:num>
                <m:den>
                  <m:rad>
                    <m:radPr>
                      <m:ctrlPr>
                        <w:rPr>
                          <w:rFonts w:ascii="Cambria Math" w:hAnsi="Cambria Math"/>
                        </w:rPr>
                      </m:ctrlPr>
                    </m:radPr>
                    <m:deg>
                      <m:r>
                        <m:rPr>
                          <m:sty m:val="p"/>
                        </m:rPr>
                        <w:rPr>
                          <w:rFonts w:ascii="Cambria Math" w:hAnsi="Cambria Math"/>
                        </w:rPr>
                        <m:t>2</m:t>
                      </m:r>
                    </m:deg>
                    <m:e>
                      <m:r>
                        <m:rPr>
                          <m:sty m:val="p"/>
                        </m:rPr>
                        <w:rPr>
                          <w:rFonts w:ascii="Cambria Math" w:hAnsi="Cambria Math"/>
                        </w:rPr>
                        <m:t>Var(x)</m:t>
                      </m:r>
                    </m:e>
                  </m:rad>
                  <m:rad>
                    <m:radPr>
                      <m:ctrlPr>
                        <w:rPr>
                          <w:rFonts w:ascii="Cambria Math" w:hAnsi="Cambria Math"/>
                        </w:rPr>
                      </m:ctrlPr>
                    </m:radPr>
                    <m:deg>
                      <m:r>
                        <m:rPr>
                          <m:sty m:val="p"/>
                        </m:rPr>
                        <w:rPr>
                          <w:rFonts w:ascii="Cambria Math" w:hAnsi="Cambria Math"/>
                        </w:rPr>
                        <m:t>2</m:t>
                      </m:r>
                    </m:deg>
                    <m:e>
                      <m:r>
                        <m:rPr>
                          <m:sty m:val="p"/>
                        </m:rPr>
                        <w:rPr>
                          <w:rFonts w:ascii="Cambria Math" w:hAnsi="Cambria Math"/>
                        </w:rPr>
                        <m:t>Var(y)</m:t>
                      </m:r>
                    </m:e>
                  </m:rad>
                </m:den>
              </m:f>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m:t>
                      </m:r>
                    </m:sub>
                    <m:sup>
                      <m:r>
                        <m:rPr>
                          <m:sty m:val="p"/>
                        </m:rPr>
                        <w:rPr>
                          <w:rFonts w:ascii="Cambria Math" w:hAnsi="Cambria Math"/>
                        </w:rPr>
                        <m:t>n</m:t>
                      </m:r>
                    </m:sup>
                    <m:e>
                      <m:r>
                        <m:rPr>
                          <m:sty m:val="p"/>
                        </m:rPr>
                        <w:rPr>
                          <w:rFonts w:ascii="Cambria Math" w:hAnsi="Cambria Math"/>
                        </w:rPr>
                        <m:t>(</m:t>
                      </m:r>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bar>
                    <m:barPr>
                      <m:pos m:val="top"/>
                      <m:ctrlPr>
                        <w:rPr>
                          <w:rFonts w:ascii="Cambria Math" w:hAnsi="Cambria Math"/>
                        </w:rPr>
                      </m:ctrlPr>
                    </m:barPr>
                    <m:e>
                      <m:r>
                        <m:rPr>
                          <m:sty m:val="p"/>
                        </m:rPr>
                        <w:rPr>
                          <w:rFonts w:ascii="Cambria Math" w:hAnsi="Cambria Math"/>
                        </w:rPr>
                        <m:t>X</m:t>
                      </m:r>
                    </m:e>
                  </m:bar>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bar>
                    <m:barPr>
                      <m:pos m:val="top"/>
                      <m:ctrlPr>
                        <w:rPr>
                          <w:rFonts w:ascii="Cambria Math" w:hAnsi="Cambria Math"/>
                        </w:rPr>
                      </m:ctrlPr>
                    </m:barPr>
                    <m:e>
                      <m:r>
                        <m:rPr>
                          <m:sty m:val="p"/>
                        </m:rPr>
                        <w:rPr>
                          <w:rFonts w:ascii="Cambria Math" w:hAnsi="Cambria Math"/>
                        </w:rPr>
                        <m:t>Y</m:t>
                      </m:r>
                    </m:e>
                  </m:bar>
                  <m:r>
                    <m:rPr>
                      <m:sty m:val="p"/>
                    </m:rPr>
                    <w:rPr>
                      <w:rFonts w:ascii="Cambria Math" w:hAnsi="Cambria Math"/>
                    </w:rPr>
                    <m:t>)</m:t>
                  </m:r>
                </m:num>
                <m:den>
                  <m:rad>
                    <m:radPr>
                      <m:ctrlPr>
                        <w:rPr>
                          <w:rFonts w:ascii="Cambria Math" w:hAnsi="Cambria Math"/>
                        </w:rPr>
                      </m:ctrlPr>
                    </m:radPr>
                    <m:deg>
                      <m:r>
                        <m:rPr>
                          <m:sty m:val="p"/>
                        </m:rPr>
                        <w:rPr>
                          <w:rFonts w:ascii="Cambria Math" w:hAnsi="Cambria Math"/>
                        </w:rPr>
                        <m:t>2</m:t>
                      </m:r>
                    </m:deg>
                    <m:e>
                      <m:nary>
                        <m:naryPr>
                          <m:chr m:val="∑"/>
                          <m:limLoc m:val="undOvr"/>
                          <m:ctrlPr>
                            <w:rPr>
                              <w:rFonts w:ascii="Cambria Math" w:hAnsi="Cambria Math"/>
                            </w:rPr>
                          </m:ctrlPr>
                        </m:naryPr>
                        <m:sub>
                          <m:r>
                            <m:rPr>
                              <m:sty m:val="p"/>
                            </m:rPr>
                            <w:rPr>
                              <w:rFonts w:ascii="Cambria Math" w:hAnsi="Cambria Math"/>
                            </w:rPr>
                            <m:t>i</m:t>
                          </m:r>
                        </m:sub>
                        <m:sup>
                          <m:r>
                            <m:rPr>
                              <m:sty m:val="p"/>
                            </m:rPr>
                            <w:rPr>
                              <w:rFonts w:ascii="Cambria Math" w:hAnsi="Cambria Math"/>
                            </w:rPr>
                            <m:t>n</m:t>
                          </m:r>
                        </m:sup>
                        <m:e>
                          <m:r>
                            <m:rPr>
                              <m:sty m:val="p"/>
                            </m:rPr>
                            <w:rPr>
                              <w:rFonts w:ascii="Cambria Math" w:hAnsi="Cambria Math"/>
                            </w:rPr>
                            <m:t>(</m:t>
                          </m:r>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bar>
                        <m:barPr>
                          <m:pos m:val="top"/>
                          <m:ctrlPr>
                            <w:rPr>
                              <w:rFonts w:ascii="Cambria Math" w:hAnsi="Cambria Math"/>
                            </w:rPr>
                          </m:ctrlPr>
                        </m:barPr>
                        <m:e>
                          <m:r>
                            <m:rPr>
                              <m:sty m:val="p"/>
                            </m:rPr>
                            <w:rPr>
                              <w:rFonts w:ascii="Cambria Math" w:hAnsi="Cambria Math"/>
                            </w:rPr>
                            <m:t>X</m:t>
                          </m:r>
                        </m:e>
                      </m:ba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rad>
                    <m:radPr>
                      <m:ctrlPr>
                        <w:rPr>
                          <w:rFonts w:ascii="Cambria Math" w:hAnsi="Cambria Math"/>
                        </w:rPr>
                      </m:ctrlPr>
                    </m:radPr>
                    <m:deg>
                      <m:r>
                        <m:rPr>
                          <m:sty m:val="p"/>
                        </m:rPr>
                        <w:rPr>
                          <w:rFonts w:ascii="Cambria Math" w:hAnsi="Cambria Math"/>
                        </w:rPr>
                        <m:t>2</m:t>
                      </m:r>
                    </m:deg>
                    <m:e>
                      <m:nary>
                        <m:naryPr>
                          <m:chr m:val="∑"/>
                          <m:limLoc m:val="undOvr"/>
                          <m:ctrlPr>
                            <w:rPr>
                              <w:rFonts w:ascii="Cambria Math" w:hAnsi="Cambria Math"/>
                            </w:rPr>
                          </m:ctrlPr>
                        </m:naryPr>
                        <m:sub>
                          <m:r>
                            <m:rPr>
                              <m:sty m:val="p"/>
                            </m:rPr>
                            <w:rPr>
                              <w:rFonts w:ascii="Cambria Math" w:hAnsi="Cambria Math"/>
                            </w:rPr>
                            <m:t>i</m:t>
                          </m:r>
                        </m:sub>
                        <m:sup>
                          <m:r>
                            <m:rPr>
                              <m:sty m:val="p"/>
                            </m:rPr>
                            <w:rPr>
                              <w:rFonts w:ascii="Cambria Math" w:hAnsi="Cambria Math"/>
                            </w:rPr>
                            <m:t>n</m:t>
                          </m:r>
                        </m:sup>
                        <m:e>
                          <m:r>
                            <m:rPr>
                              <m:sty m:val="p"/>
                            </m:rPr>
                            <w:rPr>
                              <w:rFonts w:ascii="Cambria Math" w:hAnsi="Cambria Math"/>
                            </w:rPr>
                            <m:t>(</m:t>
                          </m:r>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bar>
                        <m:barPr>
                          <m:pos m:val="top"/>
                          <m:ctrlPr>
                            <w:rPr>
                              <w:rFonts w:ascii="Cambria Math" w:hAnsi="Cambria Math"/>
                            </w:rPr>
                          </m:ctrlPr>
                        </m:barPr>
                        <m:e>
                          <m:r>
                            <m:rPr>
                              <m:sty m:val="p"/>
                            </m:rPr>
                            <w:rPr>
                              <w:rFonts w:ascii="Cambria Math" w:hAnsi="Cambria Math"/>
                            </w:rPr>
                            <m:t>Y</m:t>
                          </m:r>
                        </m:e>
                      </m:ba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den>
              </m:f>
            </m:oMath>
            <w:r>
              <w:rPr>
                <w:color w:val="333333"/>
                <w:sz w:val="24"/>
                <w:shd w:val="clear" w:color="000000" w:fill="FFFFFF"/>
              </w:rPr>
              <w:t xml:space="preserve">이다. 두 연속형 변수가 정규분포를 따르지 않는 경우에는 비모수적 방법으로 상관관계를 나타내는 스피어만 상관계수(Spearman‘s r)을 사용할 수 있다. 이 계수는 순서형 자료에서도 적용이 가능하고 비선형적 연관성도 판단이 가는하고 공식은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r>
                    <m:rPr>
                      <m:nor m:val="1"/>
                      <m:sty m:val="p"/>
                    </m:rPr>
                    <w:rPr>
                      <w:rFonts w:ascii="Cambria Math" w:hAnsi="Cambria Math"/>
                    </w:rPr>
                    <m:t>Cov</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num>
                <m:den>
                  <m:rad>
                    <m:radPr>
                      <m:ctrlPr>
                        <w:rPr>
                          <w:rFonts w:ascii="Cambria Math" w:hAnsi="Cambria Math"/>
                        </w:rPr>
                      </m:ctrlPr>
                    </m:radPr>
                    <m:deg>
                      <m:r>
                        <m:rPr>
                          <m:sty m:val="p"/>
                        </m:rPr>
                        <w:rPr>
                          <w:rFonts w:ascii="Cambria Math" w:hAnsi="Cambria Math"/>
                        </w:rPr>
                        <m:t>2</m:t>
                      </m:r>
                    </m:deg>
                    <m:e>
                      <m:r>
                        <m:rPr>
                          <m:nor m:val="1"/>
                          <m:sty m:val="p"/>
                        </m:rPr>
                        <w:rPr>
                          <w:rFonts w:ascii="Cambria Math" w:hAnsi="Cambria Math"/>
                        </w:rPr>
                        <m:t>Var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e>
                  </m:rad>
                  <m:rad>
                    <m:radPr>
                      <m:ctrlPr>
                        <w:rPr>
                          <w:rFonts w:ascii="Cambria Math" w:hAnsi="Cambria Math"/>
                        </w:rPr>
                      </m:ctrlPr>
                    </m:radPr>
                    <m:deg>
                      <m:r>
                        <m:rPr>
                          <m:sty m:val="p"/>
                        </m:rPr>
                        <w:rPr>
                          <w:rFonts w:ascii="Cambria Math" w:hAnsi="Cambria Math"/>
                        </w:rPr>
                        <m:t>2</m:t>
                      </m:r>
                    </m:deg>
                    <m:e>
                      <m:r>
                        <m:rPr>
                          <m:nor m:val="1"/>
                          <m:sty m:val="p"/>
                        </m:rPr>
                        <w:rPr>
                          <w:rFonts w:ascii="Cambria Math" w:hAnsi="Cambria Math"/>
                        </w:rPr>
                        <m:t>Var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e>
                  </m:rad>
                </m:den>
              </m:f>
              <m:r>
                <m:rPr>
                  <m:sty m:val="p"/>
                </m:rPr>
                <w:rPr>
                  <w:rFonts w:ascii="Cambria Math" w:hAnsi="Cambria Math"/>
                </w:rPr>
                <m:t>,    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는  x,y의 순위값(rank).</m:t>
              </m:r>
              <m:box>
                <m:boxPr>
                  <m:brk m:val="0"/>
                  <m:opEmu m:val="1"/>
                  <m:ctrlPr>
                    <w:rPr>
                      <w:rFonts w:ascii="Cambria Math" w:hAnsi="Cambria Math"/>
                    </w:rPr>
                  </m:ctrlPr>
                </m:boxPr>
                <m:e>
                  <m:r>
                    <m:t xml:space="preserve"> </m:t>
                  </m:r>
                </m:e>
              </m:box>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r>
                <m:rPr>
                  <m:sty m:val="p"/>
                </m:rPr>
                <w:rPr>
                  <w:rFonts w:ascii="Cambria Math" w:hAnsi="Cambria Math"/>
                </w:rPr>
                <m:t>=1-</m:t>
              </m:r>
              <m:f>
                <m:fPr>
                  <m:ctrlPr>
                    <w:rPr>
                      <w:rFonts w:ascii="Cambria Math" w:hAnsi="Cambria Math"/>
                    </w:rPr>
                  </m:ctrlPr>
                </m:fPr>
                <m:num>
                  <m:r>
                    <m:rPr>
                      <m:sty m:val="p"/>
                    </m:rPr>
                    <w:rPr>
                      <w:rFonts w:ascii="Cambria Math" w:hAnsi="Cambria Math"/>
                    </w:rPr>
                    <m:t>6</m:t>
                  </m:r>
                  <m:nary>
                    <m:naryPr>
                      <m:chr m:val="∑"/>
                      <m:limLoc m:val="undOvr"/>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e>
                        <m:sup>
                          <m:r>
                            <m:rPr>
                              <m:sty m:val="p"/>
                            </m:rPr>
                            <w:rPr>
                              <w:rFonts w:ascii="Cambria Math" w:hAnsi="Cambria Math"/>
                            </w:rPr>
                            <m:t>2</m:t>
                          </m:r>
                        </m:sup>
                      </m:sSup>
                    </m:e>
                  </m:nary>
                </m:num>
                <m:den>
                  <m:r>
                    <m:rPr>
                      <m:sty m:val="p"/>
                    </m:rPr>
                    <w:rPr>
                      <w:rFonts w:ascii="Cambria Math" w:hAnsi="Cambria Math"/>
                    </w:rPr>
                    <m:t>n(</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-1)</m:t>
                  </m:r>
                </m:den>
              </m:f>
              <m:r>
                <m:rPr>
                  <m:sty m:val="p"/>
                </m:rPr>
                <w:rPr>
                  <w:rFonts w:ascii="Cambria Math" w:hAnsi="Cambria Math"/>
                </w:rPr>
                <m:t> ,  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color w:val="333333"/>
                <w:sz w:val="24"/>
                <w:shd w:val="clear" w:color="000000" w:fill="FFFFFF"/>
              </w:rPr>
              <w:t xml:space="preserve"> 이고 상관성은 피어슨 상관계수와 동일하게 –1부터1까지 있으며 절대값 1에 가까울수록 높은 상관성을 뜻한다.</w:t>
            </w:r>
          </w:p>
          <w:p>
            <w:pPr>
              <w:jc w:val="both"/>
              <w:tabs>
                <w:tab w:val="left" w:pos="4875"/>
              </w:tabs>
              <w:spacing w:line="360"/>
              <w:rPr>
                <w:rFonts w:ascii="함초롬바탕" w:eastAsia="함초롬바탕" w:hAnsi="함초롬바탕"/>
                <w:sz w:val="24"/>
                <w:szCs w:val="24"/>
              </w:rPr>
            </w:pPr>
            <w:r>
              <w:rPr>
                <w:color w:val="333333"/>
                <w:sz w:val="24"/>
                <w:shd w:val="clear" w:color="000000" w:fill="FFFFFF"/>
              </w:rPr>
              <w:t xml:space="preserve"> </w:t>
            </w:r>
            <w:r>
              <w:rPr>
                <w:rFonts w:ascii="함초롬바탕" w:eastAsia="함초롬바탕" w:hAnsi="함초롬바탕" w:hint="default"/>
                <w:color w:val="333333"/>
                <w:sz w:val="24"/>
                <w:shd w:val="clear" w:color="000000" w:fill="FFFFFF"/>
              </w:rPr>
              <w:t xml:space="preserve"> 어떠한 현상의 데이터를 다루면서 그 현상이 발생할 확률을 구하는 것은 필연적이다. 확률은 동일한 실험을 무한히 반복했을 때 나타</w:t>
            </w:r>
            <w:r>
              <w:rPr>
                <w:rFonts w:ascii="함초롬바탕" w:eastAsia="함초롬바탕" w:hAnsi="함초롬바탕" w:hint="default"/>
                <w:color w:val="333333"/>
                <w:sz w:val="24"/>
                <w:szCs w:val="24"/>
                <w:shd w:val="clear" w:color="000000" w:fill="FFFFFF"/>
              </w:rPr>
              <w:t>나는 사건의 상대돗수의 비로 100분율을 이용해 나타낼 수 있으며 0보다 작을수 없고 1(100%0)를 넘을 수 없다. 확률을 계산하는 방법으로는 여사건의 법칙P(Ac)=1−P(A), 합사건의 법칙P(A∪B)=P(A)+P(B)−P(A∩B), 합사건의 여사건P((A∪B)c)=P(Ac∩Bc), 조건부확률</w:t>
            </w:r>
            <m:oMath>
              <m:r>
                <m:rPr>
                  <m:sty m:val="p"/>
                </m:rPr>
                <w:rPr>
                  <w:rFonts w:ascii="Cambria Math" w:hAnsi="Cambria Math"/>
                  <w:sz w:val="24"/>
                  <w:szCs w:val="24"/>
                </w:rPr>
                <m:t>P(AB)=</m:t>
              </m:r>
              <m:f>
                <m:fPr>
                  <m:ctrlPr>
                    <w:rPr>
                      <w:rFonts w:ascii="Cambria Math" w:hAnsi="Cambria Math"/>
                      <w:sz w:val="24"/>
                      <w:szCs w:val="24"/>
                    </w:rPr>
                  </m:ctrlPr>
                </m:fPr>
                <m:num>
                  <m:r>
                    <m:rPr>
                      <m:sty m:val="p"/>
                    </m:rPr>
                    <w:rPr>
                      <w:rFonts w:ascii="Cambria Math" w:hAnsi="Cambria Math"/>
                      <w:sz w:val="24"/>
                      <w:szCs w:val="24"/>
                    </w:rPr>
                    <m:t>P(A∩B)</m:t>
                  </m:r>
                </m:num>
                <m:den>
                  <m:r>
                    <m:rPr>
                      <m:sty m:val="p"/>
                    </m:rPr>
                    <w:rPr>
                      <w:rFonts w:ascii="Cambria Math" w:hAnsi="Cambria Math"/>
                      <w:sz w:val="24"/>
                      <w:szCs w:val="24"/>
                    </w:rPr>
                    <m:t>P(B)</m:t>
                  </m:r>
                </m:den>
              </m:f>
              <m:r>
                <m:rPr>
                  <m:sty m:val="p"/>
                </m:rPr>
                <w:rPr>
                  <w:rFonts w:ascii="Cambria Math" w:hAnsi="Cambria Math"/>
                  <w:sz w:val="24"/>
                  <w:szCs w:val="24"/>
                </w:rPr>
                <m:t>, P(B)〉0</m:t>
              </m:r>
            </m:oMath>
            <w:r>
              <w:rPr>
                <w:rFonts w:ascii="함초롬바탕" w:eastAsia="함초롬바탕" w:hAnsi="함초롬바탕" w:hint="default"/>
                <w:color w:val="333333"/>
                <w:sz w:val="24"/>
                <w:szCs w:val="24"/>
                <w:shd w:val="clear" w:color="000000" w:fill="FFFFFF"/>
              </w:rPr>
              <w:t xml:space="preserve"> 과 두 사건이 독립인 경우의 P(A∩B)=P(A)P(B)으로 계산을 할 수 있다.</w:t>
            </w:r>
          </w:p>
        </w:tc>
      </w:tr>
    </w:tbl>
    <w:p>
      <w:pPr>
        <w:pStyle w:val="affa"/>
        <w:jc w:val="both"/>
        <w:spacing w:line="160" w:lineRule="exact"/>
      </w:pPr>
    </w:p>
    <w:sectPr>
      <w:pgSz w:w="11907" w:h="16840" w:code="9"/>
      <w:pgMar w:top="1701" w:right="1134" w:bottom="851" w:left="1134" w:header="1134" w:footer="567" w:gutter="0"/>
      <w:cols w:space="720"/>
      <w:docGrid w:linePitch="271"/>
      <w:headerReference w:type="first" r:id="rId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 w:name="Cambria Math">
    <w:panose1 w:val="02040503050406030204"/>
    <w:notTrueType w:val="false"/>
    <w:sig w:usb0="E00006FF" w:usb1="420024FF" w:usb2="02000000" w:usb3="00000001" w:csb0="2000019F" w:csb1="00000001"/>
  </w:font>
  <w:font w:name="함초롬바탕">
    <w:panose1 w:val="02030604000101010101"/>
    <w:notTrueType w:val="false"/>
    <w:sig w:usb0="F70006FF" w:usb1="11DFFFFF" w:usb2="001BFDD7" w:usb3="00000001" w:csb0="001F007F" w:csb1="00000001"/>
  </w:font>
  <w:font w:name="Times New Roman">
    <w:panose1 w:val="02020603050405020304"/>
    <w:family w:val="roman"/>
    <w:charset w:val="00"/>
    <w:notTrueType w:val="false"/>
    <w:sig w:usb0="E0002EFF" w:usb1="C000785B" w:usb2="00000009" w:usb3="00000001" w:csb0="400001FF" w:csb1="FFFF0000"/>
  </w:font>
  <w:font w:name="바탕체">
    <w:panose1 w:val="02030609000101010101"/>
    <w:family w:val="roman"/>
    <w:charset w:val="81"/>
    <w:notTrueType w:val="false"/>
    <w:sig w:usb0="B00002AF" w:usb1="69D77CFB" w:usb2="00000030" w:usb3="00000001" w:csb0="4008009F" w:csb1="DFD70000"/>
  </w:font>
  <w:font w:name="바탕">
    <w:panose1 w:val="02030600000101010101"/>
    <w:family w:val="roman"/>
    <w:charset w:val="81"/>
    <w:notTrueType w:val="false"/>
    <w:sig w:usb0="B00002AF" w:usb1="69D77CFB" w:usb2="00000030" w:usb3="00000001" w:csb0="4008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jc w:val="center"/>
      <w:rPr>
        <w:szCs w:val="32"/>
      </w:rPr>
    </w:pPr>
    <w:r>
      <w:rPr>
        <w:rFonts w:ascii="굴림" w:eastAsia="굴림" w:hAnsi="굴림" w:hint="eastAsia"/>
        <w:b/>
        <w:sz w:val="28"/>
        <w:szCs w:val="28"/>
      </w:rPr>
      <w:t xml:space="preserve">교 육 일 지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720"/>
  <w:doNotHyphenateCaps/>
  <w:drawingGridHorizontalSpacing w:val="100"/>
  <w:drawingGridVerticalSpacing w:val="271"/>
  <w:displayHorizontalDrawingGridEvery w:val="1"/>
  <w:displayVerticalDrawingGridEvery w:val="1"/>
  <w:doNotShadeFormData/>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체" w:hAnsi="Times New Roman" w:cs="Times New Roman"/>
      </w:rPr>
    </w:rPrDefault>
    <w:pPrDefault>
      <w:pPr/>
    </w:pPrDefault>
  </w:docDefaults>
  <w:style w:type="paragraph" w:default="1" w:styleId="a1">
    <w:name w:val="Normal"/>
    <w:qFormat/>
    <w:pPr>
      <w:widowControl w:val="off"/>
      <w:wordWrap w:val="off"/>
      <w:jc w:val="both"/>
    </w:pPr>
    <w:rPr>
      <w:kern w:val="2"/>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e">
    <w:name w:val="header"/>
    <w:basedOn w:val="a1"/>
    <w:pPr>
      <w:snapToGrid w:val="0"/>
      <w:tabs>
        <w:tab w:val="center" w:pos="4252"/>
        <w:tab w:val="right" w:pos="8504"/>
      </w:tabs>
    </w:pPr>
  </w:style>
  <w:style w:type="paragraph" w:styleId="affa">
    <w:name w:val="Body Text"/>
    <w:basedOn w:val="a1"/>
    <w:pPr>
      <w:adjustRightInd/>
      <w:autoSpaceDE w:val="off"/>
      <w:autoSpaceDN w:val="off"/>
      <w:wordWrap/>
      <w:jc w:val="left"/>
      <w:spacing w:line="307" w:lineRule="atLeast"/>
    </w:pPr>
    <w:rPr>
      <w:rFonts w:ascii="바탕" w:eastAsia="바탕" w:hAnsi="바탕"/>
      <w:color w:val="000000"/>
      <w:sz w:val="19"/>
      <w:szCs w:val="19"/>
      <w:kern w:val="0"/>
    </w:rPr>
  </w:style>
  <w:style w:type="paragraph"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Korea United Pharm., Inc.</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R&amp;D Center</dc:creator>
  <cp:keywords/>
  <dc:description/>
  <cp:lastModifiedBy>USER</cp:lastModifiedBy>
  <cp:revision>1</cp:revision>
  <dcterms:created xsi:type="dcterms:W3CDTF">2021-09-08T07:23:00Z</dcterms:created>
  <dcterms:modified xsi:type="dcterms:W3CDTF">2021-09-15T09:55:55Z</dcterms:modified>
  <cp:lastPrinted>2013-04-03T01:01:00Z</cp:lastPrinted>
  <cp:version>0900.0100.01</cp:version>
</cp:coreProperties>
</file>