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Quarto Manuals</w:t>
      </w:r>
    </w:p>
    <w:p>
      <w:pPr>
        <w:pStyle w:val="Author"/>
      </w:pPr>
      <w:r>
        <w:t xml:space="preserve"> </w:t>
      </w:r>
    </w:p>
    <w:p>
      <w:pPr>
        <w:pStyle w:val="Author"/>
      </w:pPr>
      <w:r>
        <w:t xml:space="preserve">Tinashe M. Tapera</w:t>
      </w:r>
      <w:r>
        <w:rPr>
          <w:vertAlign w:val="superscript"/>
        </w:rPr>
        <w:t xml:space="preserve">1</w:t>
      </w:r>
      <w:r>
        <w:t xml:space="preserve">, Chris</w:t>
      </w:r>
      <w:r>
        <w:rPr>
          <w:vertAlign w:val="superscript"/>
        </w:rPr>
        <w:t xml:space="preserve">1</w:t>
      </w:r>
      <w:r>
        <w:t xml:space="preserve">, Danielle</w:t>
      </w:r>
      <w:r>
        <w:rPr>
          <w:vertAlign w:val="superscript"/>
        </w:rPr>
        <w:t xml:space="preserve">2,3</w:t>
      </w:r>
      <w:r>
        <w:t xml:space="preserve">, and Michelle</w:t>
      </w:r>
      <w:r>
        <w:rPr>
          <w:vertAlign w:val="superscript"/>
        </w:rPr>
        <w:t xml:space="preserve">4</w:t>
      </w:r>
    </w:p>
    <w:p>
      <w:pPr>
        <w:pStyle w:val="Author"/>
      </w:pPr>
      <w:r>
        <w:rPr>
          <w:vertAlign w:val="superscript"/>
        </w:rPr>
        <w:t xml:space="preserve">1</w:t>
      </w:r>
      <w:r>
        <w:t xml:space="preserve">Clinical Psychology Program, Department of Psychology, Ana and Blanca’s University</w:t>
      </w:r>
    </w:p>
    <w:p>
      <w:pPr>
        <w:pStyle w:val="Author"/>
      </w:pPr>
      <w:r>
        <w:rPr>
          <w:vertAlign w:val="superscript"/>
        </w:rPr>
        <w:t xml:space="preserve">2</w:t>
      </w:r>
      <w:r>
        <w:t xml:space="preserve">Danielle’s Primary Affiliation</w:t>
      </w:r>
    </w:p>
    <w:p>
      <w:pPr>
        <w:pStyle w:val="Author"/>
      </w:pPr>
      <w:r>
        <w:rPr>
          <w:vertAlign w:val="superscript"/>
        </w:rPr>
        <w:t xml:space="preserve">3</w:t>
      </w:r>
      <w:r>
        <w:t xml:space="preserve">Danielle’s Secondary Affiliation</w:t>
      </w:r>
    </w:p>
    <w:p>
      <w:pPr>
        <w:pStyle w:val="Author"/>
      </w:pPr>
      <w:r>
        <w:rPr>
          <w:vertAlign w:val="superscript"/>
        </w:rPr>
        <w:t xml:space="preserve">4</w:t>
      </w:r>
      <w:r>
        <w:t xml:space="preserve">Buffalo, NY</w:t>
      </w:r>
    </w:p>
    <w:p>
      <w:pPr>
        <w:pStyle w:val="BodyText"/>
      </w:pPr>
      <w:r>
        <w:t xml:space="preserve"> </w:t>
      </w:r>
    </w:p>
    <w:p>
      <w:pPr>
        <w:pStyle w:val="BodyText"/>
      </w:pPr>
      <w:r>
        <w:t xml:space="preserve"> </w:t>
      </w:r>
    </w:p>
    <w:bookmarkEnd w:id="22"/>
    <w:bookmarkStart w:id="42" w:name="author-note"/>
    <w:p>
      <w:pPr>
        <w:pStyle w:val="Heading1"/>
      </w:pPr>
      <w:r>
        <w:t xml:space="preserve">Author Note</w:t>
      </w:r>
    </w:p>
    <w:p>
      <w:pPr>
        <w:pStyle w:val="FirstParagraph"/>
      </w:pPr>
      <w:r>
        <w:t xml:space="preserve">Tinashe M. Tapera</w:t>
      </w:r>
      <w:r>
        <w:t xml:space="preserve"> </w:t>
      </w:r>
      <w:bookmarkStart w:id="26" w:name="orc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6"/>
      <w:r>
        <w:t xml:space="preserve"> </w:t>
      </w:r>
      <w:hyperlink r:id="rId27">
        <w:r>
          <w:rPr>
            <w:rStyle w:val="Hyperlink"/>
          </w:rPr>
          <w:t xml:space="preserve">https://orcid.org/0000-0001-9080-5010</w:t>
        </w:r>
      </w:hyperlink>
    </w:p>
    <w:p>
      <w:pPr>
        <w:pStyle w:val="BodyText"/>
      </w:pPr>
      <w:r>
        <w:t xml:space="preserve">Chris</w:t>
      </w:r>
      <w:r>
        <w:t xml:space="preserve"> </w:t>
      </w:r>
      <w:bookmarkStart w:id="30" w:name="orcid"/>
      <w:r>
        <w:drawing>
          <wp:inline>
            <wp:extent cx="152279" cy="152279"/>
            <wp:effectExtent b="0" l="0" r="0" t="0"/>
            <wp:docPr descr="Orcid ID Logo: A green circle with white letters ID" title="" id="28" name="Picture"/>
            <a:graphic>
              <a:graphicData uri="http://schemas.openxmlformats.org/drawingml/2006/picture">
                <pic:pic>
                  <pic:nvPicPr>
                    <pic:cNvPr descr="_extensions/wjschne/apaquarto/ORCID-iD_icon-vector.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0"/>
      <w:r>
        <w:t xml:space="preserve"> </w:t>
      </w:r>
      <w:hyperlink r:id="rId31">
        <w:r>
          <w:rPr>
            <w:rStyle w:val="Hyperlink"/>
          </w:rPr>
          <w:t xml:space="preserve">https://orcid.org/0000-0000-0000-0002</w:t>
        </w:r>
      </w:hyperlink>
    </w:p>
    <w:p>
      <w:pPr>
        <w:pStyle w:val="BodyText"/>
      </w:pPr>
      <w:r>
        <w:t xml:space="preserve">Danielle</w:t>
      </w:r>
      <w:r>
        <w:t xml:space="preserve"> </w:t>
      </w:r>
      <w:bookmarkStart w:id="34" w:name="orcid"/>
      <w:r>
        <w:drawing>
          <wp:inline>
            <wp:extent cx="152279" cy="152279"/>
            <wp:effectExtent b="0" l="0" r="0" t="0"/>
            <wp:docPr descr="Orcid ID Logo: A green circle with white letters ID" title="" id="32" name="Picture"/>
            <a:graphic>
              <a:graphicData uri="http://schemas.openxmlformats.org/drawingml/2006/picture">
                <pic:pic>
                  <pic:nvPicPr>
                    <pic:cNvPr descr="_extensions/wjschne/apaquarto/ORCID-iD_icon-vector.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4"/>
      <w:r>
        <w:t xml:space="preserve"> </w:t>
      </w:r>
      <w:hyperlink r:id="rId35">
        <w:r>
          <w:rPr>
            <w:rStyle w:val="Hyperlink"/>
          </w:rPr>
          <w:t xml:space="preserve">https://orcid.org/0000-0000-0000-0003</w:t>
        </w:r>
      </w:hyperlink>
    </w:p>
    <w:p>
      <w:pPr>
        <w:pStyle w:val="BodyText"/>
      </w:pPr>
      <w:r>
        <w:t xml:space="preserve">Michelle</w:t>
      </w:r>
      <w:r>
        <w:t xml:space="preserve"> </w:t>
      </w:r>
      <w:bookmarkStart w:id="38" w:name="orcid"/>
      <w:r>
        <w:drawing>
          <wp:inline>
            <wp:extent cx="152279" cy="152279"/>
            <wp:effectExtent b="0" l="0" r="0" t="0"/>
            <wp:docPr descr="Orcid ID Logo: A green circle with white letters ID" title="" id="36" name="Picture"/>
            <a:graphic>
              <a:graphicData uri="http://schemas.openxmlformats.org/drawingml/2006/picture">
                <pic:pic>
                  <pic:nvPicPr>
                    <pic:cNvPr descr="_extensions/wjschne/apaquarto/ORCID-iD_icon-vector.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8"/>
      <w:r>
        <w:t xml:space="preserve"> </w:t>
      </w:r>
      <w:hyperlink r:id="rId39">
        <w:r>
          <w:rPr>
            <w:rStyle w:val="Hyperlink"/>
          </w:rPr>
          <w:t xml:space="preserve">https://orcid.org/0000-0000-0000-0004</w:t>
        </w:r>
      </w:hyperlink>
    </w:p>
    <w:p>
      <w:pPr>
        <w:pStyle w:val="BodyText"/>
      </w:pPr>
      <w:r>
        <w:t xml:space="preserve">Carina Mengano is now at Generic University.</w:t>
      </w:r>
    </w:p>
    <w:p>
      <w:pPr>
        <w:pStyle w:val="BodyText"/>
      </w:pPr>
      <w:r>
        <w:t xml:space="preserve">The authors have no conflicts of interest to disclose.</w:t>
      </w:r>
    </w:p>
    <w:p>
      <w:pPr>
        <w:pStyle w:val="BodyText"/>
      </w:pPr>
      <w:r>
        <w:t xml:space="preserve">Author roles were classified using the Contributor Role Taxonomy (CRediT;</w:t>
      </w:r>
      <w:r>
        <w:t xml:space="preserve"> </w:t>
      </w:r>
      <w:hyperlink r:id="rId40">
        <w:r>
          <w:rPr>
            <w:rStyle w:val="Hyperlink"/>
          </w:rPr>
          <w:t xml:space="preserve">credit.niso.org</w:t>
        </w:r>
      </w:hyperlink>
      <w:r>
        <w:t xml:space="preserve">) as follows: </w:t>
      </w:r>
      <w:r>
        <w:rPr>
          <w:i/>
          <w:iCs/>
        </w:rPr>
        <w:t xml:space="preserve">Tinashe M. Tapera</w:t>
      </w:r>
      <w:r>
        <w:rPr>
          <w:b/>
          <w:bCs/>
        </w:rPr>
        <w:t xml:space="preserve">: </w:t>
      </w:r>
      <w:r>
        <w:t xml:space="preserve">conceptualization and writing – original draft. </w:t>
      </w:r>
      <w:r>
        <w:rPr>
          <w:i/>
          <w:iCs/>
        </w:rPr>
        <w:t xml:space="preserve">Chris</w:t>
      </w:r>
      <w:r>
        <w:rPr>
          <w:b/>
          <w:bCs/>
        </w:rPr>
        <w:t xml:space="preserve">: </w:t>
      </w:r>
      <w:r>
        <w:t xml:space="preserve">project administration and formal analysis. </w:t>
      </w:r>
      <w:r>
        <w:rPr>
          <w:i/>
          <w:iCs/>
        </w:rPr>
        <w:t xml:space="preserve">Danielle</w:t>
      </w:r>
      <w:r>
        <w:rPr>
          <w:b/>
          <w:bCs/>
        </w:rPr>
        <w:t xml:space="preserve">: </w:t>
      </w:r>
      <w:r>
        <w:t xml:space="preserve">formal analysis and writing – original draft. </w:t>
      </w:r>
      <w:r>
        <w:rPr>
          <w:i/>
          <w:iCs/>
        </w:rPr>
        <w:t xml:space="preserve">Michelle</w:t>
      </w:r>
      <w:r>
        <w:rPr>
          <w:b/>
          <w:bCs/>
        </w:rPr>
        <w:t xml:space="preserve">: </w:t>
      </w:r>
      <w:r>
        <w:t xml:space="preserve">writing – original draft, methodology, and formal analysis</w:t>
      </w:r>
    </w:p>
    <w:p>
      <w:pPr>
        <w:pStyle w:val="BodyText"/>
      </w:pPr>
      <w:r>
        <w:t xml:space="preserve">Correspondence concerning this article should be addressed to Tinashe M. Tapera, Clinical Psychology Program, Department of Psychology, Ana and Blanca’s University, 1234 Capital St., Albany, NY 12084-1234, USA, Email:</w:t>
      </w:r>
      <w:r>
        <w:t xml:space="preserve"> </w:t>
      </w:r>
      <w:hyperlink r:id="rId41">
        <w:r>
          <w:rPr>
            <w:rStyle w:val="Hyperlink"/>
          </w:rPr>
          <w:t xml:space="preserve">ttapera@hsph.harvard.edu</w:t>
        </w:r>
      </w:hyperlink>
    </w:p>
    <w:p>
      <w:r>
        <w:br w:type="page"/>
      </w:r>
    </w:p>
    <w:bookmarkEnd w:id="42"/>
    <w:bookmarkStart w:id="43" w:name="abstract"/>
    <w:p>
      <w:pPr>
        <w:pStyle w:val="Heading1"/>
      </w:pPr>
      <w:r>
        <w:t xml:space="preserve">Abstract</w:t>
      </w:r>
    </w:p>
    <w:p>
      <w:pPr>
        <w:pStyle w:val="AbstractFirstParagraph"/>
      </w:pPr>
      <w:r>
        <w:t xml:space="preserve">to be fleshed out from bullet form below</w:t>
      </w:r>
    </w:p>
    <w:bookmarkEnd w:id="43"/>
    <w:bookmarkStart w:id="44" w:name="impact"/>
    <w:p>
      <w:pPr>
        <w:pStyle w:val="Heading1"/>
      </w:pPr>
      <w:r>
        <w:t xml:space="preserve">Impact Statement</w:t>
      </w:r>
    </w:p>
    <w:p>
      <w:pPr>
        <w:pStyle w:val="AbstractFirstParagraph"/>
      </w:pPr>
      <w:r>
        <w:t xml:space="preserve">Scientific programming workflows are becoming increasingly complex, while existing support mechanisms remain poorly matched to that complexity. Traditional documentation is flexible but non-executable, command-line wrappers are executable but often too rigid, and current agentic systems are promising but not yet sufficiently reliable for many high-stakes workflow setup tasks. We propose Quarto Manuals, an executable documentation framework built on Quarto that helps authors create flexible, scalable, and reproducible workflow manuals composed of structured pages with explicit procedures and checks. Powered by the quarto-emit backend, Quarto Manuals enable authors to create executable documentation that allows users to conveniently step through scientific computing workflows while generating reproducible project artifacts and receiving immediate feedback on whether each step has been implemented correctly.</w:t>
      </w:r>
    </w:p>
    <w:p>
      <w:pPr>
        <w:pStyle w:val="BodyText"/>
      </w:pPr>
      <w:r>
        <w:rPr>
          <w:i/>
          <w:iCs/>
        </w:rPr>
        <w:t xml:space="preserve">Keywords</w:t>
      </w:r>
      <w:r>
        <w:t xml:space="preserve">: APA Style, Quarto, Markdown, apaquarto</w:t>
      </w:r>
    </w:p>
    <w:p>
      <w:r>
        <w:br w:type="page"/>
      </w:r>
    </w:p>
    <w:bookmarkEnd w:id="44"/>
    <w:bookmarkStart w:id="46" w:name="firstheader"/>
    <w:p>
      <w:pPr>
        <w:pStyle w:val="Heading1"/>
      </w:pPr>
      <w:r>
        <w:t xml:space="preserve">Quarto Manuals</w:t>
      </w:r>
    </w:p>
    <w:p>
      <w:pPr>
        <w:numPr>
          <w:ilvl w:val="0"/>
          <w:numId w:val="1001"/>
        </w:numPr>
      </w:pPr>
      <w:r>
        <w:t xml:space="preserve">programming is already hard and the data is only going to get bigger. workflows are blowing up in complexity and scale. scientists need rigour in their workflows.</w:t>
      </w:r>
    </w:p>
    <w:p>
      <w:pPr>
        <w:numPr>
          <w:ilvl w:val="0"/>
          <w:numId w:val="1001"/>
        </w:numPr>
      </w:pPr>
      <w:r>
        <w:t xml:space="preserve">to get around this, we could write good docs. but good docs have limitations:</w:t>
      </w:r>
    </w:p>
    <w:p>
      <w:pPr>
        <w:numPr>
          <w:ilvl w:val="1"/>
          <w:numId w:val="1002"/>
        </w:numPr>
      </w:pPr>
      <w:r>
        <w:t xml:space="preserve">good docs break down in usefulness when we have to scale</w:t>
      </w:r>
    </w:p>
    <w:p>
      <w:pPr>
        <w:numPr>
          <w:ilvl w:val="1"/>
          <w:numId w:val="1002"/>
        </w:numPr>
      </w:pPr>
      <w:r>
        <w:t xml:space="preserve">good docs are not executable, meaning artifacts are not reproducible</w:t>
      </w:r>
    </w:p>
    <w:p>
      <w:pPr>
        <w:numPr>
          <w:ilvl w:val="1"/>
          <w:numId w:val="1002"/>
        </w:numPr>
      </w:pPr>
      <w:r>
        <w:t xml:space="preserve">good docs do not have a flexible feedback loop to confirm the user is acting correctly</w:t>
      </w:r>
    </w:p>
    <w:p>
      <w:pPr>
        <w:numPr>
          <w:ilvl w:val="0"/>
          <w:numId w:val="1001"/>
        </w:numPr>
      </w:pPr>
      <w:r>
        <w:t xml:space="preserve">What about command line wrappers? They are executable but they are totally inflexible.</w:t>
      </w:r>
    </w:p>
    <w:p>
      <w:pPr>
        <w:numPr>
          <w:ilvl w:val="1"/>
          <w:numId w:val="1003"/>
        </w:numPr>
      </w:pPr>
      <w:r>
        <w:t xml:space="preserve">You build it once and everyone has to do it that way, or</w:t>
      </w:r>
    </w:p>
    <w:p>
      <w:pPr>
        <w:numPr>
          <w:ilvl w:val="1"/>
          <w:numId w:val="1003"/>
        </w:numPr>
      </w:pPr>
      <w:r>
        <w:t xml:space="preserve">you inundate yourself with a million flags and options to try to make it flexible. This is not a good solution for repetitive but unexpectedly parametric workflows.</w:t>
      </w:r>
    </w:p>
    <w:p>
      <w:pPr>
        <w:numPr>
          <w:ilvl w:val="0"/>
          <w:numId w:val="1001"/>
        </w:numPr>
      </w:pPr>
      <w:r>
        <w:t xml:space="preserve">what about AI, LLMs, agents?</w:t>
      </w:r>
    </w:p>
    <w:p>
      <w:pPr>
        <w:numPr>
          <w:ilvl w:val="1"/>
          <w:numId w:val="1004"/>
        </w:numPr>
      </w:pPr>
      <w:r>
        <w:t xml:space="preserve">This is a promising solution, but (fact) LLMs are non-deterministic,</w:t>
      </w:r>
      <w:r>
        <w:t xml:space="preserve"> </w:t>
      </w:r>
      <w:r>
        <w:t xml:space="preserve">meaning some steps in larger and more complex workflows will inevitably have results that may not be reproducible.</w:t>
      </w:r>
    </w:p>
    <w:p>
      <w:pPr>
        <w:numPr>
          <w:ilvl w:val="1"/>
          <w:numId w:val="1004"/>
        </w:numPr>
      </w:pPr>
      <w:r>
        <w:t xml:space="preserve">Additionally (opinion) agents are not yet mature enough to be reliable</w:t>
      </w:r>
      <w:r>
        <w:t xml:space="preserve"> </w:t>
      </w:r>
      <w:r>
        <w:t xml:space="preserve">for some of the complex workflows we have in mind (though we are working on it with agentic workflows).</w:t>
      </w:r>
    </w:p>
    <w:p>
      <w:pPr>
        <w:numPr>
          <w:ilvl w:val="0"/>
          <w:numId w:val="1001"/>
        </w:numPr>
      </w:pPr>
      <w:r>
        <w:t xml:space="preserve">To solve this in the meantime, we need a new type of documentation that is executable, flexible, and scalable. This is where Quarto comes in.</w:t>
      </w:r>
    </w:p>
    <w:p>
      <w:pPr>
        <w:numPr>
          <w:ilvl w:val="0"/>
          <w:numId w:val="1001"/>
        </w:numPr>
      </w:pPr>
      <w:r>
        <w:t xml:space="preserve">We propose Quarto Manuals, an executable documentation framework that is flexible, scalable, and reproducible. Internally, a Quarto Manual is</w:t>
      </w:r>
      <w:r>
        <w:t xml:space="preserve"> </w:t>
      </w:r>
      <w:r>
        <w:t xml:space="preserve">a custom starter template and extension for Quarto.</w:t>
      </w:r>
    </w:p>
    <w:p>
      <w:pPr>
        <w:numPr>
          <w:ilvl w:val="0"/>
          <w:numId w:val="1001"/>
        </w:numPr>
      </w:pPr>
      <w:r>
        <w:t xml:space="preserve">benefits:</w:t>
      </w:r>
    </w:p>
    <w:p>
      <w:pPr>
        <w:numPr>
          <w:ilvl w:val="1"/>
          <w:numId w:val="1005"/>
        </w:numPr>
      </w:pPr>
      <w:r>
        <w:t xml:space="preserve">flexible: can be used for different audiences, can be used for different purposes, can be used for different programming languages</w:t>
      </w:r>
    </w:p>
    <w:p>
      <w:pPr>
        <w:numPr>
          <w:ilvl w:val="1"/>
          <w:numId w:val="1005"/>
        </w:numPr>
      </w:pPr>
      <w:r>
        <w:t xml:space="preserve">scalable: can be used for different projects, can be used for different teams, can be used for different organizations, and can scale in complexity required of the project</w:t>
      </w:r>
    </w:p>
    <w:p>
      <w:pPr>
        <w:numPr>
          <w:ilvl w:val="1"/>
          <w:numId w:val="1005"/>
        </w:numPr>
      </w:pPr>
      <w:r>
        <w:t xml:space="preserve">reproducible: side effects are intentional, meaning they can be used to generate reproducible artifacts for the workflow itself</w:t>
      </w:r>
    </w:p>
    <w:p>
      <w:pPr>
        <w:numPr>
          <w:ilvl w:val="1"/>
          <w:numId w:val="1005"/>
        </w:numPr>
      </w:pPr>
      <w:r>
        <w:t xml:space="preserve">relies on quarto and can leverage the full ecosystem of quarto, including quarto extensions, quarto publishing, and quarto rendering</w:t>
      </w:r>
    </w:p>
    <w:p>
      <w:pPr>
        <w:numPr>
          <w:ilvl w:val="0"/>
          <w:numId w:val="1001"/>
        </w:numPr>
      </w:pPr>
      <w:r>
        <w:t xml:space="preserve">drawbacks:</w:t>
      </w:r>
    </w:p>
    <w:p>
      <w:pPr>
        <w:numPr>
          <w:ilvl w:val="1"/>
          <w:numId w:val="1006"/>
        </w:numPr>
      </w:pPr>
      <w:r>
        <w:t xml:space="preserve">requires some programming knowledge to use</w:t>
      </w:r>
    </w:p>
    <w:p>
      <w:pPr>
        <w:numPr>
          <w:ilvl w:val="1"/>
          <w:numId w:val="1006"/>
        </w:numPr>
      </w:pPr>
      <w:r>
        <w:t xml:space="preserve">requires quarto; might be a new framework for some</w:t>
      </w:r>
    </w:p>
    <w:p>
      <w:pPr>
        <w:numPr>
          <w:ilvl w:val="1"/>
          <w:numId w:val="1006"/>
        </w:numPr>
      </w:pPr>
      <w:r>
        <w:t xml:space="preserve">requires active user participation, not fully automated (but this is a feature, not a bug)</w:t>
      </w:r>
    </w:p>
    <w:p>
      <w:pPr>
        <w:numPr>
          <w:ilvl w:val="0"/>
          <w:numId w:val="1001"/>
        </w:numPr>
      </w:pPr>
      <w:r>
        <w:t xml:space="preserve">we show three examples in action: a simple example, an intermediate example, and a complex example.</w:t>
      </w:r>
    </w:p>
    <w:p>
      <w:pPr>
        <w:numPr>
          <w:ilvl w:val="0"/>
          <w:numId w:val="1001"/>
        </w:numPr>
      </w:pPr>
      <w:r>
        <w:t xml:space="preserve">Importantly, we use</w:t>
      </w:r>
      <w:r>
        <w:t xml:space="preserve"> </w:t>
      </w:r>
      <w:r>
        <w:rPr>
          <w:rStyle w:val="VerbatimChar"/>
        </w:rPr>
        <w:t xml:space="preserve">quarto-emit</w:t>
      </w:r>
      <w:r>
        <w:t xml:space="preserve">, a new extension, for the backend. A Quarto Manual is just a cognitive framework physically materialized</w:t>
      </w:r>
      <w:r>
        <w:t xml:space="preserve"> </w:t>
      </w:r>
      <w:r>
        <w:t xml:space="preserve">by Quarto’s custom Divs, and powered in the backend by a simple but powerful file export extension,</w:t>
      </w:r>
      <w:r>
        <w:t xml:space="preserve"> </w:t>
      </w:r>
      <w:r>
        <w:rPr>
          <w:rStyle w:val="VerbatimChar"/>
        </w:rPr>
        <w:t xml:space="preserve">quarto-emit</w:t>
      </w:r>
      <w:r>
        <w:t xml:space="preserve">.</w:t>
      </w:r>
    </w:p>
    <w:p>
      <w:pPr>
        <w:numPr>
          <w:ilvl w:val="0"/>
          <w:numId w:val="1001"/>
        </w:numPr>
      </w:pPr>
      <w:r>
        <w:t xml:space="preserve">For manual Authors:</w:t>
      </w:r>
    </w:p>
    <w:p>
      <w:pPr>
        <w:numPr>
          <w:ilvl w:val="1"/>
          <w:numId w:val="1007"/>
        </w:numPr>
      </w:pPr>
      <w:r>
        <w:t xml:space="preserve">Authors call</w:t>
      </w:r>
      <w:r>
        <w:t xml:space="preserve"> </w:t>
      </w:r>
      <w:r>
        <w:rPr>
          <w:rStyle w:val="VerbatimChar"/>
        </w:rPr>
        <w:t xml:space="preserve">quarto use template GoldenPlanetaryHealthLab/QuartoManuals</w:t>
      </w:r>
      <w:r>
        <w:t xml:space="preserve"> </w:t>
      </w:r>
      <w:r>
        <w:t xml:space="preserve">to create a new Quarto Manual that instructs users on how to do something complex and procedural, for e.g.,</w:t>
      </w:r>
      <w:r>
        <w:t xml:space="preserve"> </w:t>
      </w:r>
      <w:r>
        <w:t xml:space="preserve">“SetupMyProject”</w:t>
      </w:r>
    </w:p>
    <w:p>
      <w:pPr>
        <w:numPr>
          <w:ilvl w:val="1"/>
          <w:numId w:val="1007"/>
        </w:numPr>
      </w:pPr>
      <w:r>
        <w:t xml:space="preserve">Helpful prompts throughout the template help guide manual authors to use the template effectively, but leave them with the flexibility to implement</w:t>
      </w:r>
      <w:r>
        <w:t xml:space="preserve"> </w:t>
      </w:r>
      <w:r>
        <w:t xml:space="preserve">their workflows to their desired level of sophistication.</w:t>
      </w:r>
    </w:p>
    <w:p>
      <w:pPr>
        <w:numPr>
          <w:ilvl w:val="1"/>
          <w:numId w:val="1007"/>
        </w:numPr>
      </w:pPr>
      <w:r>
        <w:t xml:space="preserve">Authors implement each page check with a testing suite to give the user feedback on whether they are implementing the workflow correctly.</w:t>
      </w:r>
    </w:p>
    <w:p>
      <w:pPr>
        <w:numPr>
          <w:ilvl w:val="1"/>
          <w:numId w:val="1007"/>
        </w:numPr>
      </w:pPr>
      <w:r>
        <w:t xml:space="preserve">inter-page dependencies are gently suggested, but not enforced to reduce implementation overhead for the extension and allow for flexibility in workflow design.</w:t>
      </w:r>
    </w:p>
    <w:p>
      <w:pPr>
        <w:numPr>
          <w:ilvl w:val="1"/>
          <w:numId w:val="1007"/>
        </w:numPr>
      </w:pPr>
      <w:r>
        <w:rPr>
          <w:rStyle w:val="VerbatimChar"/>
        </w:rPr>
        <w:t xml:space="preserve">git push</w:t>
      </w:r>
      <w:r>
        <w:t xml:space="preserve"> </w:t>
      </w:r>
      <w:r>
        <w:t xml:space="preserve">to push the manual to a GitHub repository (or code hosting site of your choice)</w:t>
      </w:r>
    </w:p>
    <w:p>
      <w:pPr>
        <w:numPr>
          <w:ilvl w:val="0"/>
          <w:numId w:val="1001"/>
        </w:numPr>
      </w:pPr>
      <w:r>
        <w:t xml:space="preserve">For manual Users:</w:t>
      </w:r>
    </w:p>
    <w:p>
      <w:pPr>
        <w:numPr>
          <w:ilvl w:val="1"/>
          <w:numId w:val="1008"/>
        </w:numPr>
      </w:pPr>
      <w:r>
        <w:t xml:space="preserve">In your home directory or otherwise,</w:t>
      </w:r>
      <w:r>
        <w:t xml:space="preserve"> </w:t>
      </w:r>
      <w:r>
        <w:rPr>
          <w:rStyle w:val="VerbatimChar"/>
        </w:rPr>
        <w:t xml:space="preserve">quarto use template MyLab/SetupMyProject</w:t>
      </w:r>
      <w:r>
        <w:t xml:space="preserve"> </w:t>
      </w:r>
      <w:r>
        <w:t xml:space="preserve">clones the SetupMyProject Manual project to your local machine.</w:t>
      </w:r>
    </w:p>
    <w:p>
      <w:pPr>
        <w:numPr>
          <w:ilvl w:val="1"/>
          <w:numId w:val="1008"/>
        </w:numPr>
      </w:pPr>
      <w:r>
        <w:t xml:space="preserve">Step through the pages of the manual, leaving behind setup artifacts as you go, like .venv files, .Renviron files, and other scripts or configuration files. These artifacts are reproducible and can be used to set up your project environment.</w:t>
      </w:r>
    </w:p>
    <w:p>
      <w:pPr>
        <w:numPr>
          <w:ilvl w:val="1"/>
          <w:numId w:val="1008"/>
        </w:numPr>
      </w:pPr>
      <w:r>
        <w:t xml:space="preserve">Run</w:t>
      </w:r>
      <w:r>
        <w:t xml:space="preserve"> </w:t>
      </w:r>
      <w:r>
        <w:rPr>
          <w:rStyle w:val="VerbatimChar"/>
        </w:rPr>
        <w:t xml:space="preserve">quarto render</w:t>
      </w:r>
      <w:r>
        <w:t xml:space="preserve"> </w:t>
      </w:r>
      <w:r>
        <w:t xml:space="preserve">to render the manual to HTML, PDF, or DOCX. If the manual has checks implemented in a testing suite, quarto render will execute the testing suite, providing you with a visual report of your progress in the manual and whether you are implementing the workflow correctly.</w:t>
      </w:r>
    </w:p>
    <w:p>
      <w:pPr>
        <w:numPr>
          <w:ilvl w:val="1"/>
          <w:numId w:val="1008"/>
        </w:numPr>
      </w:pPr>
      <w:r>
        <w:t xml:space="preserve">If all goes well, you now have a fully setup project as the original author intended, and you can now start working on your implementation of the project.</w:t>
      </w:r>
    </w:p>
    <w:bookmarkStart w:id="45" w:name="hypotheses-aims-and-objectives"/>
    <w:p>
      <w:pPr>
        <w:pStyle w:val="Heading2"/>
      </w:pPr>
      <w:r>
        <w:t xml:space="preserve">Hypotheses, Aims, and Objectives</w:t>
      </w:r>
    </w:p>
    <w:p>
      <w:pPr>
        <w:pStyle w:val="FirstParagraph"/>
      </w:pPr>
      <w:r>
        <w:t xml:space="preserve">The last paragraph of the introduction usually states the specific hypotheses of the study, often in a way that links them to the research design.</w:t>
      </w:r>
    </w:p>
    <w:bookmarkEnd w:id="45"/>
    <w:bookmarkEnd w:id="46"/>
    <w:bookmarkStart w:id="53" w:name="method"/>
    <w:p>
      <w:pPr>
        <w:pStyle w:val="Heading1"/>
      </w:pPr>
      <w:r>
        <w:t xml:space="preserve">Method</w:t>
      </w:r>
    </w:p>
    <w:p>
      <w:pPr>
        <w:pStyle w:val="FirstParagraph"/>
      </w:pPr>
      <w:r>
        <w:t xml:space="preserve">General remarks on method. This paragraph is optional. Not all papers require each of these sections. Edit them as needed. Consult the</w:t>
      </w:r>
      <w:r>
        <w:t xml:space="preserve"> </w:t>
      </w:r>
      <w:hyperlink r:id="rId47">
        <w:r>
          <w:rPr>
            <w:rStyle w:val="Hyperlink"/>
          </w:rPr>
          <w:t xml:space="preserve">Journal Article Reporting Standards</w:t>
        </w:r>
      </w:hyperlink>
      <w:r>
        <w:t xml:space="preserve"> </w:t>
      </w:r>
      <w:r>
        <w:t xml:space="preserve">for what is needed for your type of article.</w:t>
      </w:r>
    </w:p>
    <w:bookmarkStart w:id="48" w:name="participants"/>
    <w:p>
      <w:pPr>
        <w:pStyle w:val="Heading2"/>
      </w:pPr>
      <w:r>
        <w:t xml:space="preserve">Participants</w:t>
      </w:r>
    </w:p>
    <w:p>
      <w:pPr>
        <w:pStyle w:val="FirstParagraph"/>
      </w:pPr>
      <w:r>
        <w:t xml:space="preserve">Who are they? How were they recruited? Report criteria for participant inclusion and exclusion. Perhaps some basic demographic stats are in order. A table is a great way to avoid repetition in statistical reporting.</w:t>
      </w:r>
    </w:p>
    <w:bookmarkEnd w:id="48"/>
    <w:bookmarkStart w:id="51" w:name="measures"/>
    <w:p>
      <w:pPr>
        <w:pStyle w:val="Heading2"/>
      </w:pPr>
      <w:r>
        <w:t xml:space="preserve">Measures</w:t>
      </w:r>
    </w:p>
    <w:p>
      <w:pPr>
        <w:pStyle w:val="FirstParagraph"/>
      </w:pPr>
      <w:r>
        <w:t xml:space="preserve">This section can also be titled</w:t>
      </w:r>
      <w:r>
        <w:t xml:space="preserve"> </w:t>
      </w:r>
      <w:r>
        <w:rPr>
          <w:b/>
          <w:bCs/>
        </w:rPr>
        <w:t xml:space="preserve">Materials</w:t>
      </w:r>
      <w:r>
        <w:t xml:space="preserve"> </w:t>
      </w:r>
      <w:r>
        <w:t xml:space="preserve">or</w:t>
      </w:r>
      <w:r>
        <w:t xml:space="preserve"> </w:t>
      </w:r>
      <w:r>
        <w:rPr>
          <w:b/>
          <w:bCs/>
        </w:rPr>
        <w:t xml:space="preserve">Apparatus</w:t>
      </w:r>
      <w:r>
        <w:t xml:space="preserve">. Whatever tools, equipment, or measurement devices used in the study should be described.</w:t>
      </w:r>
    </w:p>
    <w:bookmarkStart w:id="49" w:name="measure-a"/>
    <w:p>
      <w:pPr>
        <w:pStyle w:val="Heading3"/>
      </w:pPr>
      <w:r>
        <w:t xml:space="preserve">Measure A</w:t>
      </w:r>
    </w:p>
    <w:p>
      <w:pPr>
        <w:pStyle w:val="FirstParagraph"/>
      </w:pPr>
      <w:r>
        <w:t xml:space="preserve">Describe Measure A.</w:t>
      </w:r>
    </w:p>
    <w:bookmarkEnd w:id="49"/>
    <w:bookmarkStart w:id="50" w:name="measure-b"/>
    <w:p>
      <w:pPr>
        <w:pStyle w:val="Heading3"/>
      </w:pPr>
      <w:r>
        <w:t xml:space="preserve">Measure B</w:t>
      </w:r>
    </w:p>
    <w:p>
      <w:pPr>
        <w:pStyle w:val="FirstParagraph"/>
      </w:pPr>
      <w:r>
        <w:t xml:space="preserve">Describe Measure B.</w:t>
      </w:r>
    </w:p>
    <w:p>
      <w:pPr>
        <w:pStyle w:val="Heading4"/>
        <w:rPr>
          <w:vanish/>
          <w:specVanish/>
        </w:rPr>
      </w:pPr>
      <w:r>
        <w:t>Subscale B1.</w:t>
      </w:r>
      <w:r>
        <w:t xml:space="preserve"> </w:t>
      </w:r>
    </w:p>
    <w:p>
      <w:pPr>
        <w:pStyle w:val="BodyText"/>
      </w:pPr>
      <w:r>
        <w:t xml:space="preserve">A paragraph after a 4th-level header will appear on the same line as the header.</w:t>
      </w:r>
    </w:p>
    <w:p>
      <w:pPr>
        <w:pStyle w:val="Heading4"/>
        <w:rPr>
          <w:vanish/>
          <w:specVanish/>
        </w:rPr>
      </w:pPr>
      <w:r>
        <w:t>Subscale B2.</w:t>
      </w:r>
      <w:r>
        <w:t xml:space="preserve"> </w:t>
      </w:r>
    </w:p>
    <w:p>
      <w:pPr>
        <w:pStyle w:val="BodyText"/>
      </w:pPr>
      <w:r>
        <w:t xml:space="preserve">A paragraph after a 4th-level header will appear on the same line as the header.</w:t>
      </w:r>
    </w:p>
    <w:p>
      <w:pPr>
        <w:pStyle w:val="Heading5"/>
        <w:rPr>
          <w:vanish/>
          <w:specVanish/>
        </w:rPr>
      </w:pPr>
      <w:r>
        <w:t>Subscale B2a.</w:t>
      </w:r>
      <w:r>
        <w:t xml:space="preserve"> </w:t>
      </w:r>
    </w:p>
    <w:p>
      <w:pPr>
        <w:pStyle w:val="BodyText"/>
      </w:pPr>
      <w:r>
        <w:t xml:space="preserve">A paragraph after a 5th-level header will appear on the same line as the header.</w:t>
      </w:r>
    </w:p>
    <w:p>
      <w:pPr>
        <w:pStyle w:val="Heading5"/>
        <w:rPr>
          <w:vanish/>
          <w:specVanish/>
        </w:rPr>
      </w:pPr>
      <w:r>
        <w:t>Subscale B2b.</w:t>
      </w:r>
      <w:r>
        <w:t xml:space="preserve"> </w:t>
      </w:r>
    </w:p>
    <w:p>
      <w:pPr>
        <w:pStyle w:val="BodyText"/>
      </w:pPr>
      <w:r>
        <w:t xml:space="preserve">A paragraph after a 5th-level header will appear on the same line as the header.</w:t>
      </w:r>
    </w:p>
    <w:bookmarkEnd w:id="50"/>
    <w:bookmarkEnd w:id="51"/>
    <w:bookmarkStart w:id="52" w:name="procedure"/>
    <w:p>
      <w:pPr>
        <w:pStyle w:val="Heading2"/>
      </w:pPr>
      <w:r>
        <w:t xml:space="preserve">Procedure</w:t>
      </w:r>
    </w:p>
    <w:p>
      <w:pPr>
        <w:pStyle w:val="FirstParagraph"/>
      </w:pPr>
      <w:r>
        <w:t xml:space="preserve">What did participants do? How are the data going to be analyzed?</w:t>
      </w:r>
    </w:p>
    <w:bookmarkEnd w:id="52"/>
    <w:bookmarkEnd w:id="53"/>
    <w:bookmarkStart w:id="57" w:name="results"/>
    <w:p>
      <w:pPr>
        <w:pStyle w:val="Heading1"/>
      </w:pPr>
      <w:r>
        <w:t xml:space="preserve">Results</w:t>
      </w:r>
    </w:p>
    <w:bookmarkStart w:id="56" w:name="descriptive-statistics"/>
    <w:p>
      <w:pPr>
        <w:pStyle w:val="Heading2"/>
      </w:pPr>
      <w:r>
        <w:t xml:space="preserve">Descriptive Statistics</w:t>
      </w:r>
    </w:p>
    <w:p>
      <w:pPr>
        <w:pStyle w:val="FirstParagraph"/>
      </w:pPr>
      <w:r>
        <w:t xml:space="preserve">Describe the basic characteristics of the primary variables. My ideal is to describe the variables well enough that someone conducting a meta-analysis can include the study without needing to ask for additional information.</w:t>
      </w:r>
    </w:p>
    <w:p>
      <w:pPr>
        <w:pStyle w:val="BodyText"/>
      </w:pPr>
      <w:hyperlink w:anchor="tbl-mymarkdowntable2">
        <w:r>
          <w:rPr>
            <w:rStyle w:val="Hyperlink"/>
          </w:rPr>
          <w:t xml:space="preserve">Table 1</w:t>
        </w:r>
      </w:hyperlink>
      <w:r>
        <w:t xml:space="preserve"> </w:t>
      </w:r>
      <w:r>
        <w:t xml:space="preserve">is an example of a plain markdown table. Note the that the caption begins with a colon.</w:t>
      </w:r>
    </w:p>
    <w:bookmarkStart w:id="55" w:name="tbl-mymarkdowntable2"/>
    <w:p>
      <w:pPr>
        <w:pStyle w:val="FigureTitle"/>
      </w:pPr>
      <w:r>
        <w:t xml:space="preserve">Table 1</w:t>
      </w:r>
    </w:p>
    <w:p>
      <w:pPr>
        <w:pStyle w:val="Caption"/>
      </w:pPr>
      <w:r>
        <w:t xml:space="preserve">My Caption.</w:t>
      </w:r>
    </w:p>
    <w:bookmarkStart w:id="54" w:name="tbl-mymarkdowntable2"/>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Letters</w:t>
            </w:r>
          </w:p>
        </w:tc>
        <w:tc>
          <w:tcPr/>
          <w:p>
            <w:pPr>
              <w:pStyle w:val="Compact"/>
              <w:jc w:val="center"/>
            </w:pPr>
            <w:r>
              <w:t xml:space="preserve">Numbers</w:t>
            </w:r>
          </w:p>
        </w:tc>
      </w:tr>
      <w:tr>
        <w:tc>
          <w:tcPr/>
          <w:p>
            <w:pPr>
              <w:pStyle w:val="Compact"/>
              <w:jc w:val="center"/>
            </w:pPr>
            <w:r>
              <w:t xml:space="preserve">A</w:t>
            </w:r>
          </w:p>
        </w:tc>
        <w:tc>
          <w:tcPr/>
          <w:p>
            <w:pPr>
              <w:pStyle w:val="Compact"/>
              <w:jc w:val="center"/>
            </w:pPr>
            <w:r>
              <w:t xml:space="preserve">1</w:t>
            </w:r>
          </w:p>
        </w:tc>
      </w:tr>
      <w:tr>
        <w:tc>
          <w:tcPr/>
          <w:p>
            <w:pPr>
              <w:pStyle w:val="Compact"/>
              <w:jc w:val="center"/>
            </w:pPr>
            <w:r>
              <w:t xml:space="preserve">B</w:t>
            </w:r>
          </w:p>
        </w:tc>
        <w:tc>
          <w:tcPr/>
          <w:p>
            <w:pPr>
              <w:pStyle w:val="Compact"/>
              <w:jc w:val="center"/>
            </w:pPr>
            <w:r>
              <w:t xml:space="preserve">2</w:t>
            </w:r>
          </w:p>
        </w:tc>
      </w:tr>
      <w:tr>
        <w:tc>
          <w:tcPr/>
          <w:p>
            <w:pPr>
              <w:pStyle w:val="Compact"/>
              <w:jc w:val="center"/>
            </w:pPr>
            <w:r>
              <w:t xml:space="preserve">C</w:t>
            </w:r>
          </w:p>
        </w:tc>
        <w:tc>
          <w:tcPr/>
          <w:p>
            <w:pPr>
              <w:pStyle w:val="Compact"/>
              <w:jc w:val="center"/>
            </w:pPr>
            <w:r>
              <w:t xml:space="preserve">3</w:t>
            </w:r>
          </w:p>
        </w:tc>
      </w:tr>
    </w:tbl>
    <w:bookmarkEnd w:id="54"/>
    <w:bookmarkEnd w:id="55"/>
    <w:p>
      <w:pPr>
        <w:pStyle w:val="FigureNote"/>
      </w:pPr>
      <w:r>
        <w:rPr>
          <w:i/>
          <w:iCs/>
        </w:rPr>
        <w:t xml:space="preserve">Note</w:t>
      </w:r>
      <w:r>
        <w:t xml:space="preserve">. My note</w:t>
      </w:r>
    </w:p>
    <w:bookmarkEnd w:id="56"/>
    <w:bookmarkEnd w:id="57"/>
    <w:bookmarkStart w:id="60" w:name="discussion"/>
    <w:p>
      <w:pPr>
        <w:pStyle w:val="Heading1"/>
      </w:pPr>
      <w:r>
        <w:t xml:space="preserve">Discussion</w:t>
      </w:r>
    </w:p>
    <w:p>
      <w:pPr>
        <w:pStyle w:val="FirstParagraph"/>
      </w:pPr>
      <w:r>
        <w:t xml:space="preserve">Describe results in non-statistical terms.</w:t>
      </w:r>
      <w:r>
        <w:t xml:space="preserve"> </w:t>
      </w:r>
    </w:p>
    <w:bookmarkStart w:id="58" w:name="limitations-and-future-directions"/>
    <w:p>
      <w:pPr>
        <w:pStyle w:val="Heading2"/>
      </w:pPr>
      <w:r>
        <w:t xml:space="preserve">Limitations and Future Directions</w:t>
      </w:r>
    </w:p>
    <w:p>
      <w:pPr>
        <w:pStyle w:val="FirstParagraph"/>
      </w:pPr>
      <w:r>
        <w:t xml:space="preserve">Every study has limitations. Based on this study, some additional steps might include…</w:t>
      </w:r>
    </w:p>
    <w:bookmarkEnd w:id="58"/>
    <w:bookmarkStart w:id="59" w:name="conclusion"/>
    <w:p>
      <w:pPr>
        <w:pStyle w:val="Heading2"/>
      </w:pPr>
      <w:r>
        <w:t xml:space="preserve">Conclusion</w:t>
      </w:r>
    </w:p>
    <w:p>
      <w:pPr>
        <w:pStyle w:val="FirstParagraph"/>
      </w:pPr>
      <w:r>
        <w:t xml:space="preserve">Describe the main point of the paper.</w:t>
      </w:r>
    </w:p>
    <w:bookmarkEnd w:id="59"/>
    <w:bookmarkEnd w:id="60"/>
    <w:bookmarkStart w:id="62" w:name="references"/>
    <w:p>
      <w:pPr>
        <w:pStyle w:val="Heading1"/>
      </w:pPr>
      <w:r>
        <w:t xml:space="preserve">References</w:t>
      </w:r>
    </w:p>
    <w:p>
      <w:pPr>
        <w:pStyle w:val="FirstParagraph"/>
      </w:pPr>
      <w:r>
        <w:t xml:space="preserve">References marked with an asterisk indicate studies included in the meta-analysis.</w:t>
      </w:r>
    </w:p>
    <w:bookmarkStart w:id="61" w:name="refs"/>
    <w:bookmarkEnd w:id="61"/>
    <w:bookmarkEnd w:id="62"/>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svg" /><Relationship Type="http://schemas.openxmlformats.org/officeDocument/2006/relationships/hyperlink" Id="rId47" Target="https://apastyle.apa.org/jars" TargetMode="External" /><Relationship Type="http://schemas.openxmlformats.org/officeDocument/2006/relationships/hyperlink" Id="rId40" Target="https://credit.niso.org" TargetMode="External" /><Relationship Type="http://schemas.openxmlformats.org/officeDocument/2006/relationships/hyperlink" Id="rId31" Target="https://orcid.org/0000-0000-0000-0002" TargetMode="External" /><Relationship Type="http://schemas.openxmlformats.org/officeDocument/2006/relationships/hyperlink" Id="rId35" Target="https://orcid.org/0000-0000-0000-0003" TargetMode="External" /><Relationship Type="http://schemas.openxmlformats.org/officeDocument/2006/relationships/hyperlink" Id="rId39" Target="https://orcid.org/0000-0000-0000-0004" TargetMode="External" /><Relationship Type="http://schemas.openxmlformats.org/officeDocument/2006/relationships/hyperlink" Id="rId27" Target="https://orcid.org/0000-0001-9080-5010" TargetMode="External" /><Relationship Type="http://schemas.openxmlformats.org/officeDocument/2006/relationships/hyperlink" Id="rId41" Target="mailto:ttapera@hsph.harvard.edu" TargetMode="External" /></Relationships>
</file>

<file path=word/_rels/footnotes.xml.rels><?xml version="1.0" encoding="UTF-8"?><Relationships xmlns="http://schemas.openxmlformats.org/package/2006/relationships"><Relationship Type="http://schemas.openxmlformats.org/officeDocument/2006/relationships/hyperlink" Id="rId47" Target="https://apastyle.apa.org/jars" TargetMode="External" /><Relationship Type="http://schemas.openxmlformats.org/officeDocument/2006/relationships/hyperlink" Id="rId40" Target="https://credit.niso.org" TargetMode="External" /><Relationship Type="http://schemas.openxmlformats.org/officeDocument/2006/relationships/hyperlink" Id="rId31" Target="https://orcid.org/0000-0000-0000-0002" TargetMode="External" /><Relationship Type="http://schemas.openxmlformats.org/officeDocument/2006/relationships/hyperlink" Id="rId35" Target="https://orcid.org/0000-0000-0000-0003" TargetMode="External" /><Relationship Type="http://schemas.openxmlformats.org/officeDocument/2006/relationships/hyperlink" Id="rId39" Target="https://orcid.org/0000-0000-0000-0004" TargetMode="External" /><Relationship Type="http://schemas.openxmlformats.org/officeDocument/2006/relationships/hyperlink" Id="rId27" Target="https://orcid.org/0000-0001-9080-5010" TargetMode="External" /><Relationship Type="http://schemas.openxmlformats.org/officeDocument/2006/relationships/hyperlink" Id="rId41" Target="mailto:ttapera@hsph.harvard.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EXECUTABLE SOFTWARE OPERATIONS MANUALS BUILT FROM INTERDEPENDENT QUARTO PAGES</dc:description>
  <dc:language>en</dc:language>
  <cp:keywords>APA Style, Quarto, Markdown, apaquarto</cp:keywords>
  <dcterms:created xsi:type="dcterms:W3CDTF">2026-07-30T21:03:19Z</dcterms:created>
  <dcterms:modified xsi:type="dcterms:W3CDTF">2026-07-30T21:03:19Z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to be fleshed out from bullet form below</vt:lpwstr>
  </property>
  <property fmtid="{D5CDD505-2E9C-101B-9397-08002B2CF9AE}" pid="5" name="apaauthor">
    <vt:lpwstr/>
  </property>
  <property fmtid="{D5CDD505-2E9C-101B-9397-08002B2CF9AE}" pid="6" name="apatitle">
    <vt:lpwstr>Quarto Manuals</vt:lpwstr>
  </property>
  <property fmtid="{D5CDD505-2E9C-101B-9397-08002B2CF9AE}" pid="7" name="apatitledisplay">
    <vt:lpwstr>Quarto Manuals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lank-lines-above-author-note">
    <vt:lpwstr>2</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draft-date">
    <vt:lpwstr>False</vt:lpwstr>
  </property>
  <property fmtid="{D5CDD505-2E9C-101B-9397-08002B2CF9AE}" pid="19" name="engines">
    <vt:lpwstr/>
  </property>
  <property fmtid="{D5CDD505-2E9C-101B-9397-08002B2CF9AE}" pid="20" name="execute">
    <vt:lpwstr/>
  </property>
  <property fmtid="{D5CDD505-2E9C-101B-9397-08002B2CF9AE}" pid="21" name="fig-cap-location">
    <vt:lpwstr>top</vt:lpwstr>
  </property>
  <property fmtid="{D5CDD505-2E9C-101B-9397-08002B2CF9AE}" pid="22" name="floatsintext">
    <vt:lpwstr>True</vt:lpwstr>
  </property>
  <property fmtid="{D5CDD505-2E9C-101B-9397-08002B2CF9AE}" pid="23" name="fontsize">
    <vt:lpwstr>12pt</vt:lpwstr>
  </property>
  <property fmtid="{D5CDD505-2E9C-101B-9397-08002B2CF9AE}" pid="24" name="header-includes">
    <vt:lpwstr/>
  </property>
  <property fmtid="{D5CDD505-2E9C-101B-9397-08002B2CF9AE}" pid="25" name="impact-statement">
    <vt:lpwstr>Scientific programming workflows are becoming increasingly complex, while existing support mechanisms remain poorly matched to that complexity. Traditional documentation is flexible but non-executable, command-line wrappers are executable but often too rigid, and current agentic systems are promising but not yet sufficiently reliable for many high-stakes workflow setup tasks. We propose Quarto Manuals, an executable documentation framework built on Quarto that helps authors create flexible, scalable, and reproducible workflow manuals composed of structured pages with explicit procedures and checks. Powered by the quarto-emit backend, Quarto Manuals enable authors to create executable documentation that allows users to conveniently step through scientific computing workflows while generating reproducible project artifacts and receiving immediate feedback on whether each step has been implemented correctly.</vt:lpwstr>
  </property>
  <property fmtid="{D5CDD505-2E9C-101B-9397-08002B2CF9AE}" pid="26" name="include-after">
    <vt:lpwstr/>
  </property>
  <property fmtid="{D5CDD505-2E9C-101B-9397-08002B2CF9AE}" pid="27" name="include-before">
    <vt:lpwstr/>
  </property>
  <property fmtid="{D5CDD505-2E9C-101B-9397-08002B2CF9AE}" pid="28" name="knitr">
    <vt:lpwstr/>
  </property>
  <property fmtid="{D5CDD505-2E9C-101B-9397-08002B2CF9AE}" pid="29" name="labels">
    <vt:lpwstr/>
  </property>
  <property fmtid="{D5CDD505-2E9C-101B-9397-08002B2CF9AE}" pid="30" name="language">
    <vt:lpwstr/>
  </property>
  <property fmtid="{D5CDD505-2E9C-101B-9397-08002B2CF9AE}" pid="31" name="link-citations">
    <vt:lpwstr>True</vt:lpwstr>
  </property>
  <property fmtid="{D5CDD505-2E9C-101B-9397-08002B2CF9AE}" pid="32" name="mask">
    <vt:lpwstr>False</vt:lpwstr>
  </property>
  <property fmtid="{D5CDD505-2E9C-101B-9397-08002B2CF9AE}" pid="33" name="masked-citations">
    <vt:lpwstr/>
  </property>
  <property fmtid="{D5CDD505-2E9C-101B-9397-08002B2CF9AE}" pid="34" name="meta-analysis">
    <vt:lpwstr>True</vt:lpwstr>
  </property>
  <property fmtid="{D5CDD505-2E9C-101B-9397-08002B2CF9AE}" pid="35" name="no-ampersand-parenthetical">
    <vt:lpwstr>False</vt:lpwstr>
  </property>
  <property fmtid="{D5CDD505-2E9C-101B-9397-08002B2CF9AE}" pid="36" name="nocite">
    <vt:lpwstr>@bentley1929instructions, @cohen2003applied</vt:lpwstr>
  </property>
  <property fmtid="{D5CDD505-2E9C-101B-9397-08002B2CF9AE}" pid="37" name="number-depth">
    <vt:lpwstr>3</vt:lpwstr>
  </property>
  <property fmtid="{D5CDD505-2E9C-101B-9397-08002B2CF9AE}" pid="38" name="numbered-lines">
    <vt:lpwstr>False</vt:lpwstr>
  </property>
  <property fmtid="{D5CDD505-2E9C-101B-9397-08002B2CF9AE}" pid="39" name="numbersections">
    <vt:lpwstr>False</vt:lpwstr>
  </property>
  <property fmtid="{D5CDD505-2E9C-101B-9397-08002B2CF9AE}" pid="40" name="oneaffiliation">
    <vt:lpwstr>False</vt:lpwstr>
  </property>
  <property fmtid="{D5CDD505-2E9C-101B-9397-08002B2CF9AE}" pid="41" name="oneauthor">
    <vt:lpwstr>False</vt:lpwstr>
  </property>
  <property fmtid="{D5CDD505-2E9C-101B-9397-08002B2CF9AE}" pid="42" name="references">
    <vt:lpwstr/>
  </property>
  <property fmtid="{D5CDD505-2E9C-101B-9397-08002B2CF9AE}" pid="43" name="revealjs-plugins">
    <vt:lpwstr/>
  </property>
  <property fmtid="{D5CDD505-2E9C-101B-9397-08002B2CF9AE}" pid="44" name="shorttitle">
    <vt:lpwstr>EXECUTABLE SOFTWARE OPERATIONS MANUALS BUILT FROM INTERDEPENDENT QUARTO PAGES</vt:lpwstr>
  </property>
  <property fmtid="{D5CDD505-2E9C-101B-9397-08002B2CF9AE}" pid="45" name="suppress-abstract">
    <vt:lpwstr>False</vt:lpwstr>
  </property>
  <property fmtid="{D5CDD505-2E9C-101B-9397-08002B2CF9AE}" pid="46" name="suppress-affiliation">
    <vt:lpwstr>False</vt:lpwstr>
  </property>
  <property fmtid="{D5CDD505-2E9C-101B-9397-08002B2CF9AE}" pid="47" name="suppress-author">
    <vt:lpwstr>False</vt:lpwstr>
  </property>
  <property fmtid="{D5CDD505-2E9C-101B-9397-08002B2CF9AE}" pid="48" name="suppress-author-note">
    <vt:lpwstr>False</vt:lpwstr>
  </property>
  <property fmtid="{D5CDD505-2E9C-101B-9397-08002B2CF9AE}" pid="49" name="suppress-corresponding-address">
    <vt:lpwstr>False</vt:lpwstr>
  </property>
  <property fmtid="{D5CDD505-2E9C-101B-9397-08002B2CF9AE}" pid="50" name="suppress-corresponding-affiliation-name">
    <vt:lpwstr>False</vt:lpwstr>
  </property>
  <property fmtid="{D5CDD505-2E9C-101B-9397-08002B2CF9AE}" pid="51" name="suppress-corresponding-city">
    <vt:lpwstr>False</vt:lpwstr>
  </property>
  <property fmtid="{D5CDD505-2E9C-101B-9397-08002B2CF9AE}" pid="52" name="suppress-corresponding-country">
    <vt:lpwstr>False</vt:lpwstr>
  </property>
  <property fmtid="{D5CDD505-2E9C-101B-9397-08002B2CF9AE}" pid="53" name="suppress-corresponding-department">
    <vt:lpwstr>False</vt:lpwstr>
  </property>
  <property fmtid="{D5CDD505-2E9C-101B-9397-08002B2CF9AE}" pid="54" name="suppress-corresponding-email">
    <vt:lpwstr>False</vt:lpwstr>
  </property>
  <property fmtid="{D5CDD505-2E9C-101B-9397-08002B2CF9AE}" pid="55" name="suppress-corresponding-group">
    <vt:lpwstr>False</vt:lpwstr>
  </property>
  <property fmtid="{D5CDD505-2E9C-101B-9397-08002B2CF9AE}" pid="56" name="suppress-corresponding-paragraph">
    <vt:lpwstr>False</vt:lpwstr>
  </property>
  <property fmtid="{D5CDD505-2E9C-101B-9397-08002B2CF9AE}" pid="57" name="suppress-corresponding-postal-code">
    <vt:lpwstr>False</vt:lpwstr>
  </property>
  <property fmtid="{D5CDD505-2E9C-101B-9397-08002B2CF9AE}" pid="58" name="suppress-corresponding-region">
    <vt:lpwstr>False</vt:lpwstr>
  </property>
  <property fmtid="{D5CDD505-2E9C-101B-9397-08002B2CF9AE}" pid="59" name="suppress-credit-statement">
    <vt:lpwstr>False</vt:lpwstr>
  </property>
  <property fmtid="{D5CDD505-2E9C-101B-9397-08002B2CF9AE}" pid="60" name="suppress-disclosures-paragraph">
    <vt:lpwstr>False</vt:lpwstr>
  </property>
  <property fmtid="{D5CDD505-2E9C-101B-9397-08002B2CF9AE}" pid="61" name="suppress-impact-statement">
    <vt:lpwstr>False</vt:lpwstr>
  </property>
  <property fmtid="{D5CDD505-2E9C-101B-9397-08002B2CF9AE}" pid="62" name="suppress-keywords">
    <vt:lpwstr>False</vt:lpwstr>
  </property>
  <property fmtid="{D5CDD505-2E9C-101B-9397-08002B2CF9AE}" pid="63" name="suppress-orcid">
    <vt:lpwstr>False</vt:lpwstr>
  </property>
  <property fmtid="{D5CDD505-2E9C-101B-9397-08002B2CF9AE}" pid="64" name="suppress-short-title">
    <vt:lpwstr>False</vt:lpwstr>
  </property>
  <property fmtid="{D5CDD505-2E9C-101B-9397-08002B2CF9AE}" pid="65" name="suppress-status-change-paragraph">
    <vt:lpwstr>False</vt:lpwstr>
  </property>
  <property fmtid="{D5CDD505-2E9C-101B-9397-08002B2CF9AE}" pid="66" name="suppress-title">
    <vt:lpwstr>False</vt:lpwstr>
  </property>
  <property fmtid="{D5CDD505-2E9C-101B-9397-08002B2CF9AE}" pid="67" name="suppress-title-introduction">
    <vt:lpwstr>False</vt:lpwstr>
  </property>
  <property fmtid="{D5CDD505-2E9C-101B-9397-08002B2CF9AE}" pid="68" name="suppress-title-page">
    <vt:lpwstr>False</vt:lpwstr>
  </property>
  <property fmtid="{D5CDD505-2E9C-101B-9397-08002B2CF9AE}" pid="69" name="suppress-title-page-number">
    <vt:lpwstr>False</vt:lpwstr>
  </property>
  <property fmtid="{D5CDD505-2E9C-101B-9397-08002B2CF9AE}" pid="70" name="tbl-cap-location">
    <vt:lpwstr>top</vt:lpwstr>
  </property>
  <property fmtid="{D5CDD505-2E9C-101B-9397-08002B2CF9AE}" pid="71" name="toc-title">
    <vt:lpwstr>Table of contents</vt:lpwstr>
  </property>
  <property fmtid="{D5CDD505-2E9C-101B-9397-08002B2CF9AE}" pid="72" name="word-count">
    <vt:lpwstr>False</vt:lpwstr>
  </property>
  <property fmtid="{D5CDD505-2E9C-101B-9397-08002B2CF9AE}" pid="73" name="wordn">
    <vt:lpwstr>969</vt:lpwstr>
  </property>
  <property fmtid="{D5CDD505-2E9C-101B-9397-08002B2CF9AE}" pid="74" name="zerocitations">
    <vt:lpwstr>False</vt:lpwstr>
  </property>
</Properties>
</file>