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2554" w:sz="4"/>
              <w:left w:val="single" w:color="172554" w:sz="4"/>
              <w:bottom w:val="single" w:color="172554" w:sz="4"/>
              <w:right w:val="single" w:color="172554" w:sz="4"/>
            </w:tcBorders>
            <w:shd w:fill="172554" w:val="clear"/>
            <w:tcMar>
              <w:top w:type="dxa" w:w="200"/>
              <w:left w:type="dxa" w:w="200"/>
              <w:bottom w:type="dxa" w:w="160"/>
              <w:right w:type="dxa" w:w="200"/>
            </w:tcMar>
          </w:tcPr>
          <w:p>
            <w:pPr>
              <w:spacing w:after="60" w:before="0"/>
              <w:jc w:val="center"/>
            </w:pPr>
            <w:r>
              <w:rPr>
                <w:rFonts w:ascii="Arial" w:cs="Arial" w:eastAsia="Arial" w:hAnsi="Arial"/>
                <w:color w:val="bfdbfe"/>
                <w:sz w:val="24"/>
                <w:szCs w:val="24"/>
              </w:rPr>
              <w:t xml:space="preserve">Golden Rule Practices</w:t>
            </w:r>
          </w:p>
          <w:p>
            <w:pPr>
              <w:spacing w:after="60" w:before="0"/>
              <w:jc w:val="center"/>
            </w:pPr>
            <w:r>
              <w:rPr>
                <w:rFonts w:ascii="Arial" w:cs="Arial" w:eastAsia="Arial" w:hAnsi="Arial"/>
                <w:b/>
                <w:bCs/>
                <w:color w:val="FFFFFF"/>
                <w:sz w:val="36"/>
                <w:szCs w:val="36"/>
              </w:rPr>
              <w:t xml:space="preserve">60-Day Cash Forecast</w:t>
            </w:r>
          </w:p>
          <w:p>
            <w:pPr>
              <w:spacing w:after="0" w:before="0"/>
              <w:jc w:val="center"/>
            </w:pPr>
            <w:r>
              <w:rPr>
                <w:rFonts w:ascii="Arial" w:cs="Arial" w:eastAsia="Arial" w:hAnsi="Arial"/>
                <w:color w:val="bfdbfe"/>
                <w:sz w:val="18"/>
                <w:szCs w:val="18"/>
              </w:rPr>
              <w:t xml:space="preserve">Week Ending May 29, 2026  ·  Prepared by Beth Dandini  ·  Confidential</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2554" w:sz="4"/>
              <w:left w:val="single" w:color="172554" w:sz="4"/>
              <w:bottom w:val="single" w:color="172554" w:sz="4"/>
              <w:right w:val="single" w:color="172554" w:sz="4"/>
            </w:tcBorders>
            <w:shd w:fill="172554"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EXPECTED CASH IN</w:t>
            </w:r>
          </w:p>
        </w:tc>
      </w:tr>
    </w:tbl>
    <w:p>
      <w:pPr>
        <w:spacing w:after="120" w:before="0"/>
      </w:pPr>
      <w:r>
        <w:t xml:space="preserve"/>
      </w:r>
    </w:p>
    <w:p>
      <w:pPr>
        <w:pBdr>
          <w:bottom w:val="single" w:color="cbd5e1" w:sz="4" w:space="1"/>
        </w:pBdr>
        <w:spacing w:after="80" w:before="200"/>
      </w:pPr>
      <w:r>
        <w:rPr>
          <w:rFonts w:ascii="Arial" w:cs="Arial" w:eastAsia="Arial" w:hAnsi="Arial"/>
          <w:b/>
          <w:bCs/>
          <w:color w:val="172554"/>
          <w:sz w:val="20"/>
          <w:szCs w:val="20"/>
        </w:rPr>
        <w:t xml:space="preserve">High Confidence — Signed Agreements in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Event</w:t>
            </w:r>
          </w:p>
        </w:tc>
        <w:tc>
          <w:tcPr>
            <w:tcW w:type="dxa" w:w="20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w:t>
            </w:r>
          </w:p>
        </w:tc>
        <w:tc>
          <w:tcPr>
            <w:tcW w:type="dxa" w:w="18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Sale Price</w:t>
            </w:r>
          </w:p>
        </w:tc>
        <w:tc>
          <w:tcPr>
            <w:tcW w:type="dxa" w:w="276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Net After Lien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WW:6D closing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Week of June 1–8</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$36,500</w:t>
            </w:r>
          </w:p>
        </w:tc>
        <w:tc>
          <w:tcPr>
            <w:tcW w:type="dxa" w:w="2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$28,672 (after $7,829 lien)</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WW:18A closing</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June, title pending</w:t>
            </w:r>
          </w:p>
        </w:tc>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$46,000</w:t>
            </w:r>
          </w:p>
        </w:tc>
        <w:tc>
          <w:tcPr>
            <w:tcW w:type="dxa" w:w="2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$46,000 (no lien)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dcfce7" w:val="clear"/>
            <w:tcMar>
              <w:top w:type="dxa" w:w="120"/>
              <w:left w:type="dxa" w:w="160"/>
              <w:bottom w:type="dxa" w:w="120"/>
              <w:right w:type="dxa" w:w="160"/>
            </w:tcMar>
          </w:tcPr>
          <w:p>
            <w:pPr>
              <w:spacing w:after="0" w:before="0"/>
            </w:pPr>
            <w:r>
              <w:rPr>
                <w:rFonts w:ascii="Arial" w:cs="Arial" w:eastAsia="Arial" w:hAnsi="Arial"/>
                <w:color w:val="15803d"/>
                <w:sz w:val="19"/>
                <w:szCs w:val="19"/>
              </w:rPr>
              <w:t xml:space="preserve">Combined high-confidence cash in: $74,672</w:t>
            </w:r>
          </w:p>
        </w:tc>
      </w:tr>
    </w:tbl>
    <w:p>
      <w:pPr>
        <w:spacing w:after="80" w:before="0"/>
      </w:pPr>
      <w:r>
        <w:t xml:space="preserve"/>
      </w:r>
    </w:p>
    <w:p>
      <w:pPr>
        <w:pBdr>
          <w:bottom w:val="single" w:color="cbd5e1" w:sz="4" w:space="1"/>
        </w:pBdr>
        <w:spacing w:after="80" w:before="200"/>
      </w:pPr>
      <w:r>
        <w:rPr>
          <w:rFonts w:ascii="Arial" w:cs="Arial" w:eastAsia="Arial" w:hAnsi="Arial"/>
          <w:b/>
          <w:bCs/>
          <w:color w:val="172554"/>
          <w:sz w:val="20"/>
          <w:szCs w:val="20"/>
        </w:rPr>
        <w:t xml:space="preserve">Medium Confidence — Financing in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60"/>
        <w:gridCol w:w="3800"/>
      </w:tblGrid>
      <w:tr>
        <w:tc>
          <w:tcPr>
            <w:tcW w:type="dxa" w:w="24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Event</w:t>
            </w:r>
          </w:p>
        </w:tc>
        <w:tc>
          <w:tcPr>
            <w:tcW w:type="dxa" w:w="16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w:t>
            </w:r>
          </w:p>
        </w:tc>
        <w:tc>
          <w:tcPr>
            <w:tcW w:type="dxa" w:w="156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Amount</w:t>
            </w:r>
          </w:p>
        </w:tc>
        <w:tc>
          <w:tcPr>
            <w:tcW w:type="dxa" w:w="38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FS2:01 Jessica Rienquist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June</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$29,000</w:t>
            </w:r>
          </w:p>
        </w:tc>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Financing underway. Lien $17,228 paid to Vincent at closing. Net to GRP: $11,772.</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FS1:74</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June 1 potential</w:t>
            </w:r>
          </w:p>
        </w:tc>
        <w:tc>
          <w:tcPr>
            <w:tcW w:type="dxa" w:w="1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TBD</w:t>
            </w:r>
          </w:p>
        </w:tc>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Multiple applicants, no confirmed price yet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WW:3G Triad consignment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Unknown</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10% commission</w:t>
            </w:r>
          </w:p>
        </w:tc>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Triad slow on loan approval. Bradley Berry wants to close.</w:t>
            </w:r>
          </w:p>
        </w:tc>
      </w:tr>
    </w:tbl>
    <w:p>
      <w:pPr>
        <w:spacing w:after="80" w:before="0"/>
      </w:pPr>
      <w:r>
        <w:t xml:space="preserve"/>
      </w:r>
    </w:p>
    <w:p>
      <w:pPr>
        <w:pBdr>
          <w:bottom w:val="single" w:color="cbd5e1" w:sz="4" w:space="1"/>
        </w:pBdr>
        <w:spacing w:after="80" w:before="200"/>
      </w:pPr>
      <w:r>
        <w:rPr>
          <w:rFonts w:ascii="Arial" w:cs="Arial" w:eastAsia="Arial" w:hAnsi="Arial"/>
          <w:b/>
          <w:bCs/>
          <w:color w:val="172554"/>
          <w:sz w:val="20"/>
          <w:szCs w:val="20"/>
        </w:rPr>
        <w:t xml:space="preserve">Pipeline — Listing in 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Home</w:t>
            </w:r>
          </w:p>
        </w:tc>
        <w:tc>
          <w:tcPr>
            <w:tcW w:type="dxa" w:w="20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List Price</w:t>
            </w:r>
          </w:p>
        </w:tc>
        <w:tc>
          <w:tcPr>
            <w:tcW w:type="dxa" w:w="456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CP:58 Powerline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$35,000</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Listing this week</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FS1:17</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$25,000</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Make ready, Dalton starting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FS2:53</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$25,000</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Minor work needed</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FS2:029</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TBD</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Relisting after punch list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2554" w:sz="4"/>
              <w:left w:val="single" w:color="172554" w:sz="4"/>
              <w:bottom w:val="single" w:color="172554" w:sz="4"/>
              <w:right w:val="single" w:color="172554" w:sz="4"/>
            </w:tcBorders>
            <w:shd w:fill="172554"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KNOWN CASH OUT NEXT 60 DAYS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18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Amount</w:t>
            </w:r>
          </w:p>
        </w:tc>
        <w:tc>
          <w:tcPr>
            <w:tcW w:type="dxa" w:w="396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Timing</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GRP payroll</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~$26,000</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~2 weeks</w:t>
            </w:r>
          </w:p>
        </w:tc>
      </w:tr>
      <w:tr>
        <w:tc>
          <w:tcPr>
            <w:tcW w:type="dxa" w:w="3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WW:6D — lien to Vincent</w:t>
            </w:r>
          </w:p>
        </w:tc>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$7,829</w:t>
            </w:r>
          </w:p>
        </w:tc>
        <w:tc>
          <w:tcPr>
            <w:tcW w:type="dxa" w:w="3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At closing</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FS2:024 — lien to Vincent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$16,000</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Overdue — confirm with Vincent when he returns</w:t>
            </w:r>
          </w:p>
        </w:tc>
      </w:tr>
      <w:tr>
        <w:tc>
          <w:tcPr>
            <w:tcW w:type="dxa" w:w="3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FS2:01 — lien to Vincent</w:t>
            </w:r>
          </w:p>
        </w:tc>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$17,228</w:t>
            </w:r>
          </w:p>
        </w:tc>
        <w:tc>
          <w:tcPr>
            <w:tcW w:type="dxa" w:w="3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At closing (medium confidence)</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FS floodplane remaining</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$6,600</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Potential</w:t>
            </w:r>
          </w:p>
        </w:tc>
      </w:tr>
      <w:tr>
        <w:tc>
          <w:tcPr>
            <w:tcW w:type="dxa" w:w="3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PEP loan CP:2125 Patricia</w:t>
            </w:r>
          </w:p>
        </w:tc>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$28,000</w:t>
            </w:r>
          </w:p>
        </w:tc>
        <w:tc>
          <w:tcPr>
            <w:tcW w:type="dxa" w:w="3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Decision pending — pay off or bridge through Vincent</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Open lot insurance renewal</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TBD</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Early to mid June — coverage being right-sized</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922b21" w:sz="4"/>
              <w:right w:val="single" w:color="922b21" w:sz="4"/>
            </w:tcBorders>
            <w:shd w:fill="922b2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GRP CASH CONTEXT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922b21" w:sz="4"/>
              <w:right w:val="single" w:color="922b21" w:sz="4"/>
            </w:tcBorders>
            <w:shd w:fill="fee2e2" w:val="clear"/>
            <w:tcMar>
              <w:top w:type="dxa" w:w="160"/>
              <w:left w:type="dxa" w:w="180"/>
              <w:bottom w:type="dxa" w:w="160"/>
              <w:right w:type="dxa" w:w="180"/>
            </w:tcMar>
          </w:tcPr>
          <w:p>
            <w:pPr>
              <w:spacing w:after="100" w:before="0"/>
            </w:pPr>
            <w:r>
              <w:rPr>
                <w:rFonts w:ascii="Arial" w:cs="Arial" w:eastAsia="Arial" w:hAnsi="Arial"/>
                <w:b/>
                <w:bCs/>
                <w:color w:val="922b21"/>
                <w:sz w:val="22"/>
                <w:szCs w:val="22"/>
              </w:rPr>
              <w:t xml:space="preserve">GRP Projected Balance This Week: $773</w:t>
            </w:r>
          </w:p>
          <w:p>
            <w:pPr>
              <w:spacing w:after="0" w:before="0"/>
            </w:pPr>
            <w:r>
              <w:rPr>
                <w:rFonts w:ascii="Arial" w:cs="Arial" w:eastAsia="Arial" w:hAnsi="Arial"/>
                <w:color w:val="0f172a"/>
                <w:sz w:val="19"/>
                <w:szCs w:val="19"/>
              </w:rPr>
              <w:t xml:space="preserve">GRP received $21,850 in deposits this week — $15,850 from the 2008 W 3rd sale and $6,000 from FS1:19. Of the FS1:19 proceeds, $5,640 was paid to Larry Reding. However, $13,000 in payroll expenses that were not covered by intercompany transfers last week hit the GRP bank account this week, consuming the deposit proceeds. That is why GRP projects at only $773 after this week despite the incoming cash. The WW closings are the primary bridge to fund the next payroll cycle.</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4"/>
              <w:left w:val="single" w:color="15803d" w:sz="4"/>
              <w:bottom w:val="single" w:color="15803d" w:sz="4"/>
              <w:right w:val="single" w:color="15803d" w:sz="4"/>
            </w:tcBorders>
            <w:shd w:fill="15803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NET CASH SUMMARY — HIGH CONFIDENCE ONLY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15803d" w:sz="4"/>
              <w:left w:val="single" w:color="15803d" w:sz="4"/>
              <w:bottom w:val="single" w:color="15803d" w:sz="4"/>
              <w:right w:val="single" w:color="15803d" w:sz="4"/>
            </w:tcBorders>
            <w:shd w:fill="15803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3000"/>
            <w:tcBorders>
              <w:top w:val="single" w:color="15803d" w:sz="4"/>
              <w:left w:val="single" w:color="15803d" w:sz="4"/>
              <w:bottom w:val="single" w:color="15803d" w:sz="4"/>
              <w:right w:val="single" w:color="15803d" w:sz="4"/>
            </w:tcBorders>
            <w:shd w:fill="15803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Amount</w:t>
            </w:r>
          </w:p>
        </w:tc>
      </w:tr>
      <w:tr>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WW:6D and WW:18A combined sale proceeds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$82,500</w:t>
            </w:r>
          </w:p>
        </w:tc>
      </w:tr>
      <w:t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Less: WW:6D lien to Vincent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($7,829)</w:t>
            </w:r>
          </w:p>
        </w:tc>
      </w:tr>
      <w:tr>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Net cash from confirmed WW closings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$74,671</w:t>
            </w:r>
          </w:p>
        </w:tc>
      </w:tr>
      <w:tr>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Less: GRP payroll due in ~2 weeks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($26,000)</w:t>
            </w:r>
          </w:p>
        </w:tc>
      </w:tr>
      <w:tr>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left"/>
            </w:pPr>
            <w:r>
              <w:rPr>
                <w:rFonts w:ascii="Arial" w:cs="Arial" w:eastAsia="Arial" w:hAnsi="Arial"/>
                <w:color w:val="0f172a"/>
                <w:sz w:val="18"/>
                <w:szCs w:val="18"/>
              </w:rPr>
              <w:t xml:space="preserve">Net after payroll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jc w:val="right"/>
            </w:pPr>
            <w:r>
              <w:rPr>
                <w:rFonts w:ascii="Courier New" w:cs="Courier New" w:eastAsia="Courier New" w:hAnsi="Courier New"/>
                <w:color w:val="0f172a"/>
                <w:sz w:val="18"/>
                <w:szCs w:val="18"/>
              </w:rPr>
              <w:t xml:space="preserve">$48,671</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val="clear"/>
            <w:tcMar>
              <w:top w:type="dxa" w:w="120"/>
              <w:left w:type="dxa" w:w="160"/>
              <w:bottom w:type="dxa" w:w="120"/>
              <w:right w:type="dxa" w:w="160"/>
            </w:tcMar>
          </w:tcPr>
          <w:p>
            <w:pPr>
              <w:spacing w:after="0" w:before="0"/>
            </w:pPr>
            <w:r>
              <w:rPr>
                <w:rFonts w:ascii="Arial" w:cs="Arial" w:eastAsia="Arial" w:hAnsi="Arial"/>
                <w:color w:val="b45309"/>
                <w:sz w:val="19"/>
                <w:szCs w:val="19"/>
              </w:rPr>
              <w:t xml:space="preserve">The WW closings cover the next payroll cycle and begin rebuilding GRP cash. FS2:01 net ($11,772 after lien) is additional upside if financing closes in June but is excluded from this high-confidence summary. FS2:024 lien ($16,000 overdue) and PEP payoff ($28,000) require separate decisions.</w:t>
            </w:r>
          </w:p>
        </w:tc>
      </w:tr>
    </w:tbl>
    <w:p>
      <w:pPr>
        <w:spacing w:after="200" w:before="0"/>
      </w:pPr>
      <w:r>
        <w:t xml:space="preserve"/>
      </w:r>
    </w:p>
    <w:p>
      <w:pPr>
        <w:pBdr>
          <w:top w:val="single" w:color="cbd5e1" w:sz="4" w:space="1"/>
        </w:pBdr>
        <w:spacing w:after="0" w:before="120"/>
        <w:jc w:val="center"/>
      </w:pPr>
      <w:r>
        <w:rPr>
          <w:rFonts w:ascii="Arial" w:cs="Arial" w:eastAsia="Arial" w:hAnsi="Arial"/>
          <w:color w:val="64748b"/>
          <w:sz w:val="16"/>
          <w:szCs w:val="16"/>
        </w:rPr>
        <w:t xml:space="preserve">Golden Rule Practices  ·  Internal Use Only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2026-05-28T14:41:37.281Z</dcterms:created>
  <dcterms:modified xsi:type="dcterms:W3CDTF">2026-05-28T14:41:37.298Z</dcterms:modified>
</cp:coreProperties>
</file>

<file path=docProps/custom.xml><?xml version="1.0" encoding="utf-8"?>
<Properties xmlns="http://schemas.openxmlformats.org/officeDocument/2006/custom-properties" xmlns:vt="http://schemas.openxmlformats.org/officeDocument/2006/docPropsVTypes"/>
</file>