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20) 1990's by James gosling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21) Main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22) the word hello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23) nothing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24) c &amp; 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25) the only good one is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26) white space is space in the code that does not affect program execution. It does however affect readability.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27) complex tasks can be divided into simple ones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28) same info, but one can be read by a human, and the other a computer.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29) a universally executable version of the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30) a: machine b: assembly c: high level d: high level e: compiler f: interpreter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31) syntax the order and method to how code is put together by the writer. Semantics are how certain code is executed.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32) compile time error, runtime error, logical error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33) understanding the goal, making a solution, refining the solution, then implementing it, and finally testing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34) having more options to consider can stop you from getting stuck.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35) objects classes encapsulation inheritance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