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A26C6" w14:textId="77777777" w:rsidR="00B716A0" w:rsidRPr="009A15E0" w:rsidRDefault="009A15E0" w:rsidP="009A15E0">
      <w:pPr>
        <w:spacing w:after="200" w:line="276" w:lineRule="auto"/>
        <w:jc w:val="both"/>
        <w:rPr>
          <w:rFonts w:asciiTheme="majorHAnsi" w:eastAsiaTheme="majorEastAsia" w:hAnsiTheme="majorHAnsi" w:cstheme="majorBidi"/>
          <w:b/>
          <w:bCs/>
          <w:szCs w:val="28"/>
        </w:rPr>
      </w:pPr>
      <w:r>
        <w:rPr>
          <w:b/>
          <w:bCs/>
        </w:rPr>
        <w:t>Abstract</w:t>
      </w:r>
    </w:p>
    <w:p w14:paraId="1E1E6FCB" w14:textId="77777777" w:rsidR="00A22C1B" w:rsidRDefault="00A22C1B" w:rsidP="00A22C1B">
      <w:pPr>
        <w:pStyle w:val="NormalWeb"/>
      </w:pPr>
      <w:r>
        <w:rPr>
          <w:rStyle w:val="Strong"/>
          <w:b w:val="1"/>
        </w:rPr>
        <w:t>Objective:</w:t>
      </w:r>
      <w:r>
        <w:rPr>
          <w:rStyle w:val="Strong"/>
          <w:b w:val="0"/>
        </w:rPr>
        <w:t xml:space="preserve"> To determine how seizure-detector sensitivity and false alarm rate affect observed regression to the mean and apparent placebo response in simulated epilepsy randomized controlled trials.</w:t>
      </w:r>
    </w:p>
    <w:p w14:paraId="10B38DE0" w14:textId="77777777" w:rsidR="00A22C1B" w:rsidRDefault="00A22C1B" w:rsidP="00A22C1B">
      <w:pPr>
        <w:pStyle w:val="NormalWeb"/>
      </w:pPr>
      <w:r>
        <w:rPr>
          <w:rStyle w:val="Strong"/>
          <w:b w:val="1"/>
        </w:rPr>
        <w:t>Methods:</w:t>
      </w:r>
      <w:r>
        <w:rPr>
          <w:rStyle w:val="Strong"/>
          <w:b w:val="0"/>
        </w:rPr>
        <w:t xml:space="preserve"> Using a seizure-diary simulator, we generated 100,000 potential participants with a two-month baseline and three-month test period. Separate sweeps varied sensitivity from 10% to 100% and false alarm rate from zero to one alarm/day. Expected false alarms were subtracted from monthly counts. Eligibility used monthly thresholds without a seizure-free-interval criterion. Sensitivity analyses retained the former 25-day rule, held cohort membership fixed, and used additive expected-alarm eligibility thresholds.</w:t>
      </w:r>
    </w:p>
    <w:p w14:paraId="535676A8" w14:textId="77777777" w:rsidR="00A22C1B" w:rsidRDefault="00A22C1B" w:rsidP="00A22C1B">
      <w:pPr>
        <w:pStyle w:val="NormalWeb"/>
      </w:pPr>
      <w:r>
        <w:rPr>
          <w:rStyle w:val="Strong"/>
          <w:b w:val="1"/>
        </w:rPr>
        <w:t>Results:</w:t>
      </w:r>
      <w:r>
        <w:rPr>
          <w:rStyle w:val="Strong"/>
          <w:b w:val="0"/>
        </w:rPr>
        <w:t xml:space="preserve"> With perfect detection, 37.2% of eligible participants met the observed regression-to-the-mean definition and median placebo change was 14.3% (95% confidence interval 13.3% to 14.8%). At 10% sensitivity, these values were 64.4% and 48.1%; at one false alarm/day, they were 53.6% and 31.2%. The 25-day rule preserved the overall trends. Holding the cohort fixed reversed the rising observed regression-to-the-mean pattern. Additive thresholds produced identical outcomes.</w:t>
      </w:r>
    </w:p>
    <w:p w14:paraId="3712F249" w14:textId="77777777" w:rsidR="00A22C1B" w:rsidRDefault="00A22C1B" w:rsidP="00A22C1B">
      <w:pPr>
        <w:pStyle w:val="NormalWeb"/>
      </w:pPr>
      <w:r>
        <w:rPr>
          <w:rStyle w:val="Strong"/>
          <w:b w:val="1"/>
        </w:rPr>
        <w:t>Significance:</w:t>
      </w:r>
      <w:r>
        <w:rPr>
          <w:rStyle w:val="Strong"/>
          <w:b w:val="0"/>
        </w:rPr>
        <w:t xml:space="preserve"> Detector errors changed eligibility and apparent placebo response despite expected-alarm correction. The increasing observed regression-to-the-mean pattern depended on reselection and should not be interpreted as an isolated measurement-error effect within a fixed cohort. Trial simulations should specify detector performance, correction rules, and eligibility together.</w:t>
      </w:r>
    </w:p>
    <w:p w14:paraId="6CE59988" w14:textId="77777777" w:rsidR="00FE788B" w:rsidRDefault="00FE788B" w:rsidP="00C73F7F">
      <w:pPr>
        <w:spacing w:after="200" w:line="276" w:lineRule="auto"/>
        <w:jc w:val="both"/>
      </w:pPr>
      <w:r>
        <w:t>Keywords: seizure detection; regression to the mean; clinical trials; false alarms; simulation</w:t>
      </w:r>
    </w:p>
    <w:p w14:paraId="3F3FED65" w14:textId="77777777" w:rsidR="00D50B4D" w:rsidRDefault="00D50B4D" w:rsidP="00C73F7F">
      <w:pPr>
        <w:pStyle w:val="Heading1"/>
        <w:jc w:val="both"/>
      </w:pPr>
    </w:p>
    <w:p w14:paraId="12830041" w14:textId="77777777" w:rsidR="00B716A0" w:rsidRDefault="00C769AC" w:rsidP="00C73F7F">
      <w:pPr>
        <w:pStyle w:val="Heading1"/>
        <w:jc w:val="both"/>
      </w:pPr>
      <w:r>
        <w:t>Introduction</w:t>
      </w:r>
    </w:p>
    <w:p w14:paraId="46AD78CE" w14:textId="1C36E3ED" w:rsidR="00B716A0" w:rsidRDefault="00C769AC" w:rsidP="00C73F7F">
      <w:pPr>
        <w:jc w:val="both"/>
      </w:pPr>
      <w:r>
        <w:t>Automated seizure detection devices are evaluated by sensitivity, false alarm rate (FAR), detection latency, and usability. Guidelines and meta-analytic studies show that performance varies across seizure types and recording settings.</w:t>
      </w:r>
      <w:r>
        <w:fldChar w:fldCharType="begin"/>
      </w:r>
      <w:r w:rsidR="00C73F7F">
        <w:instrText xml:space="preserve"> ADDIN ZOTERO_ITEM CSL_CITATION {"citationID":"CblazARd","properties":{"unsorted":false,"formattedCitation":"\\super 1\\uc0\\u8211{}3\\nosupersub{}","plainCitation":"1–3","noteIndex":0},"citationItems":[{"id":638,"uris":["http://zotero.org/users/1538114/items/2E3DNX5V"],"itemData":{"id":638,"type":"article-journal","abstract":"The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fldChar w:fldCharType="separate"/>
      </w:r>
      <w:r w:rsidR="006A2419" w:rsidRPr="006A2419">
        <w:rPr>
          <w:rFonts w:eastAsiaTheme="minorEastAsia" w:cs="Times New Roman"/>
          <w:szCs w:val="24"/>
          <w:vertAlign w:val="superscript"/>
        </w:rPr>
        <w:t>1–3</w:t>
      </w:r>
      <w:r>
        <w:fldChar w:fldCharType="end"/>
      </w:r>
      <w:r>
        <w:t xml:space="preserve"> These metrics are commonly interpreted for patient safety, caregiver notification, or diary accuracy. They can also affect eligibility and outcome calculations in randomized controlled trials (RCTs).</w:t>
      </w:r>
    </w:p>
    <w:p w14:paraId="080063B6" w14:textId="3480D7B6" w:rsidR="00B716A0" w:rsidRDefault="00C769AC" w:rsidP="00C73F7F">
      <w:pPr>
        <w:jc w:val="both"/>
      </w:pPr>
      <w:r>
        <w:t>Epilepsy trials are vulnerable to apparent placebo response for several reasons. Seizure frequency varies over time, affecting outcomes.</w:t>
      </w:r>
      <w:r>
        <w:fldChar w:fldCharType="begin"/>
      </w:r>
      <w:r w:rsidR="00B835DC">
        <w:instrText xml:space="preserve"> ADDIN ZOTERO_ITEM CSL_CITATION {"citationID":"UL0AWjgI","properties":{"unsorted":false,"formattedCitation":"\\super 4\\uc0\\u8211{}10\\nosupersub{}","plainCitation":"4–10","noteIndex":0},"citationItems":[{"id":642,"uris":["http://zotero.org/users/1538114/items/DIR56C2D"],"itemData":{"id":642,"type":"article-journal","abstract":"OBJECTIVE: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M."}],"issued":{"date-parts":[["2026",2]]}}},{"id":190,"uris":["http://zotero.org/users/1538114/items/AX5H9B4Q"],"itemData":{"id":190,"type":"article-journal","container-title":"Epilepsy &amp; Behavior","DOI":"10.1016/j.yebeh.2014.12.004","ISSN":"15255050","journalAbbreviation":"Epilepsy Behav","language":"en","page":"128-134","source":"CrossRef","title":"Placebo and nocebo responses in drug trials of epilepsy","volume":"43","author":[{"family":"Zaccara","given":"Gaetano"},{"family":"Giovannelli","given":"Fabio"},{"family":"Schmidt","given":"Dieter"}],"issued":{"date-parts":[["2015",2]]}}},{"id":661,"uris":["http://zotero.org/users/1538114/items/AA8BTYPI"],"itemData":{"id":661,"type":"article-journal","abstract":"PURPOSE: Because of the lack of head-to-head adjunctive-therapy trials of antiepileptic drugs (AEDs) in refractory partial epilepsy, meta-analyses of placebo-controlled randomized controlled trials (RCTs) represent a potentially important source of evidence to guide treatment decisions. However, such indirect comparisons raise various methodologic issues that may hamper their relevance.\nMETHODS: All RCTs in adult refractory partial epilepsy were analyzed to assess whether efficacy outcomes are influenced by: characteristics of patients and trials ; use of last observation carried forward (LOCF) analysis; evaluation period (entire period versus maintenance period); and year of publication. A meta-analysis of these AEDs was then performed taking these factors into consideration.\nKEY FINDINGS: Sixty-three RCTs evaluating 20 AEDs were included. The following variables influenced efficacy estimates: (1) responder rates correlated positively with duration of the entire treatment period (p = 0.038); (2) response to placebo was significantly greater in the maintenance period than in the entire treatment period (p = 0.005); (3) responder rates increased over the years both for AEDs (p &lt; 0.001) and for placebo (p = 0.001); (4) LOCF analysis overestimated responder rates for AEDs (p &lt; 0.001) and for placebo (p = 0.001) compared with completer-based analysis, and the overestimation correlated positively with withdrawal rates (p &lt; 0.001). A meta-analysis of available data showed large differences in efficacy ranking in relation to dose selection and type of analysis, but these were mostly nonsignificant due to statistical power limitations.\nSIGNIFICANCE: Several methodologic issues hamper the relevance of indirect comparisons of AEDs in the adjunctive-therapy of refractory partial epilepsy. Some of these issues could be overcome by improved standardization in the reporting of efficacy outcomes.","container-title":"Epilepsia","DOI":"10.1111/j.1528-1167.2010.02915.x","ISSN":"1528-1167","issue":"2","journalAbbreviation":"Epilepsia","language":"eng","page":"219-233","PMID":"21269281","source":"PubMed","title":"Factors determining response to antiepileptic drugs in randomized controlled trials. A systematic review and meta-analysis","volume":"52","author":[{"family":"Rheims","given":"Sylvain"},{"family":"Perucca","given":"Emilio"},{"family":"Cucherat","given":"Michel"},{"family":"Ryvlin","given":"Philippe"}],"issued":{"date-parts":[["2011",2]]}}}],"schema":"https://github.com/citation-style-language/schema/raw/master/csl-citation.json"} </w:instrText>
      </w:r>
      <w:r>
        <w:fldChar w:fldCharType="separate"/>
      </w:r>
      <w:r w:rsidR="006A2419" w:rsidRPr="006A2419">
        <w:rPr>
          <w:rFonts w:eastAsiaTheme="minorEastAsia" w:cs="Times New Roman"/>
          <w:szCs w:val="24"/>
          <w:vertAlign w:val="superscript"/>
        </w:rPr>
        <w:t>4–10</w:t>
      </w:r>
      <w:r>
        <w:fldChar w:fldCharType="end"/>
      </w:r>
      <w:r>
        <w:t xml:space="preserve"> Placebo response includes regression to the mean </w:t>
      </w:r>
      <w:r>
        <w:lastRenderedPageBreak/>
        <w:t>(RTM).</w:t>
      </w:r>
      <w:r w:rsidR="0022433C">
        <w:fldChar w:fldCharType="begin"/>
      </w:r>
      <w:r w:rsidR="00BA7AD3">
        <w:instrText xml:space="preserve"> ADDIN ZOTERO_ITEM CSL_CITATION {"citationID":"9LIFJptr","properties":{"unsorted":false,"formattedCitation":"\\super 8,11\\nosupersub{}","plainCitation":"8,11","noteIndex":0},"citationItems":[{"id":671,"uris":["http://zotero.org/users/1538114/items/UAL9HNIK"],"itemData":{"id":671,"type":"article-journal","abstract":"Epilepsy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M."}],"issued":{"date-parts":[["2026",2]]}}},{"id":665,"uris":["http://zotero.org/users/1538114/items/8DQ4Y9T9"],"itemData":{"id":665,"type":"article-journal","abstract":"Statistical regression to the mean predicts that patients selected for abnormalcy will, on the average, tend to improve. We argue that most improvements attributed to the placebo effect are actually instances of statistical regression. First, whereas older clinical trials susceptible to regression resulted in a marked improvement in placebo-treated patients, in a modern series of clinical trials whose design tended to protect against regression, we found no significant improvement (median change 0.3 per cent, p greater than 0.05) in placebo-treated patients. Secondly, regression can yield sizeable improvements, even among biochemical tests. Among a series of 15 biochemical tests, theoretical estimates of the improvement due to regression by selection of patients as high abnormals (i.e. 3 standard deviations above the mean) ranged from 2.5 per cent for serum sodium to 26 per cent for serum lactate dehydrogenase (median 10 per cent); empirical estimates ranged from 3.8 per cent for serum chloride to 37.3 per cent for serum phosphorus (median 9.5 per cent). Thus, we urge caution in interpreting patient improvements as causal effects of our actions and should avoid the conceit of assuming that our personal presence has strong healing powers.","container-title":"Statistics in Medicine","DOI":"10.1002/sim.4780020401","ISSN":"0277-6715","issue":"4","journalAbbreviation":"Stat Med","language":"eng","page":"417-427","PMID":"6369471","source":"PubMed","title":"How much of the placebo 'effect' is really statistical regression?","volume":"2","author":[{"family":"McDonald","given":"C. J."},{"family":"Mazzuca","given":"S. A."},{"family":"McCabe","given":"G. P."}],"issued":{"date-parts":[["1983"]]}}}],"schema":"https://github.com/citation-style-language/schema/raw/master/csl-citation.json"} </w:instrText>
      </w:r>
      <w:r w:rsidR="0022433C">
        <w:fldChar w:fldCharType="separate"/>
      </w:r>
      <w:r w:rsidR="006A2419" w:rsidRPr="006A2419">
        <w:rPr>
          <w:rFonts w:eastAsiaTheme="minorEastAsia" w:cs="Times New Roman"/>
          <w:szCs w:val="24"/>
          <w:vertAlign w:val="superscript"/>
        </w:rPr>
        <w:t>8,11</w:t>
      </w:r>
      <w:r w:rsidR="0022433C">
        <w:fldChar w:fldCharType="end"/>
      </w:r>
      <w:r>
        <w:t xml:space="preserve"> Prior work showed that eligibility rules can change RTM and placebo response.</w:t>
      </w:r>
      <w:r>
        <w:fldChar w:fldCharType="begin"/>
      </w:r>
      <w:r w:rsidR="00C73F7F">
        <w:instrText xml:space="preserve"> ADDIN ZOTERO_ITEM CSL_CITATION {"citationID":"crTFhRDLe","properties":{"formattedCitation":"\\super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6A2419" w:rsidRPr="006A2419">
        <w:rPr>
          <w:rFonts w:eastAsiaTheme="minorEastAsia" w:cs="Times New Roman"/>
          <w:szCs w:val="24"/>
          <w:vertAlign w:val="superscript"/>
        </w:rPr>
        <w:t>4</w:t>
      </w:r>
      <w:r>
        <w:fldChar w:fldCharType="end"/>
      </w:r>
      <w:r>
        <w:t xml:space="preserve"> Natural seizure-frequency variability can reproduce many features of placebo response without a psychobiological placebo effect.</w:t>
      </w:r>
      <w:r>
        <w:fldChar w:fldCharType="begin"/>
      </w:r>
      <w:r w:rsidR="00BA7AD3">
        <w:instrText xml:space="preserve"> ADDIN ZOTERO_ITEM CSL_CITATION {"citationID":"Jm5AD7J1","properties":{"unsorted":false,"formattedCitation":"\\super 5\\uc0\\u8211{}8,12\\nosupersub{}","plainCitation":"5–8,12","noteIndex":0},"citationItems":[{"id":646,"uris":["http://zotero.org/users/1538114/items/9BM8NJ4B"],"itemData":{"id":646,"type":"article-journal","abstract":"For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6A2419" w:rsidRPr="006A2419">
        <w:rPr>
          <w:rFonts w:eastAsiaTheme="minorEastAsia" w:cs="Times New Roman"/>
          <w:szCs w:val="24"/>
          <w:vertAlign w:val="superscript"/>
        </w:rPr>
        <w:t>5–8,12</w:t>
      </w:r>
      <w:r>
        <w:fldChar w:fldCharType="end"/>
      </w:r>
    </w:p>
    <w:p w14:paraId="11FDEDAD" w14:textId="77777777" w:rsidR="00B716A0" w:rsidRDefault="00C769AC" w:rsidP="00C73F7F">
      <w:pPr>
        <w:jc w:val="both"/>
      </w:pPr>
      <w:r>
        <w:t>Seizure detection devices change measured counts before trial eligibility and outcomes are calculated. We investigated how sensitivity and FAR alter a study-specific observed-RTM pattern and apparent placebo response in simulated epilepsy RCTs.</w:t>
      </w:r>
    </w:p>
    <w:p w14:paraId="5593ADEF" w14:textId="77777777" w:rsidR="00B716A0" w:rsidRDefault="00C769AC" w:rsidP="00C73F7F">
      <w:pPr>
        <w:pStyle w:val="Heading1"/>
        <w:jc w:val="both"/>
      </w:pPr>
      <w:r>
        <w:t>Methods</w:t>
      </w:r>
    </w:p>
    <w:p w14:paraId="1D848A7C" w14:textId="2325F68A" w:rsidR="00B716A0" w:rsidRDefault="0028143C" w:rsidP="00C73F7F">
      <w:pPr>
        <w:jc w:val="both"/>
      </w:pPr>
      <w:r>
        <w:t>Simulations used Python and CHOCOLATES, an open-source seizure-diary simulator developed to reproduce empirical diary properties, including heterogeneous seizure rates, the relationship between mean frequency and variability, clustering, and cycles.</w:t>
      </w:r>
      <w:r w:rsidR="00C769AC">
        <w:fldChar w:fldCharType="begin"/>
      </w:r>
      <w:r w:rsidR="00BA7AD3">
        <w:instrText xml:space="preserve"> ADDIN ZOTERO_ITEM CSL_CITATION {"citationID":"cZbHQXjup","properties":{"formattedCitation":"\\super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C769AC">
        <w:fldChar w:fldCharType="separate"/>
      </w:r>
      <w:r w:rsidR="006A2419" w:rsidRPr="006A2419">
        <w:rPr>
          <w:rFonts w:eastAsiaTheme="minorEastAsia" w:cs="Times New Roman"/>
          <w:szCs w:val="24"/>
          <w:vertAlign w:val="superscript"/>
        </w:rPr>
        <w:t>12</w:t>
      </w:r>
      <w:r w:rsidR="00C769AC">
        <w:fldChar w:fldCharType="end"/>
      </w:r>
      <w:r>
        <w:t xml:space="preserve"> We used daily sampling and 30-day months. The implemented daily model does not represent 12-hour or 24-hour within-day cycles; software versions and simulator settings are reported in the Appendix.</w:t>
      </w:r>
    </w:p>
    <w:p w14:paraId="00C176AA" w14:textId="5885446C" w:rsidR="00B716A0" w:rsidRDefault="00C769AC" w:rsidP="00C73F7F">
      <w:pPr>
        <w:jc w:val="both"/>
      </w:pPr>
      <w:r>
        <w:t>Each simulated placebo-arm participant had a two-month baseline and three-month test period. No active treatment effect was added. Apparent improvement can arise through natural variability and RTM without an intervention.</w:t>
      </w:r>
      <w:r w:rsidR="00C73F7F">
        <w:fldChar w:fldCharType="begin"/>
      </w:r>
      <w:r w:rsidR="00BA7AD3">
        <w:instrText xml:space="preserve"> ADDIN ZOTERO_ITEM CSL_CITATION {"citationID":"ZBKLqADh","properties":{"unsorted":false,"formattedCitation":"\\super 4,12,13\\nosupersub{}","plainCitation":"4,12,13","noteIndex":0},"citationItems":[{"id":642,"uris":["http://zotero.org/users/1538114/items/DIR56C2D"],"itemData":{"id":642,"type":"article-journal","abstract":"OBJECTIVE: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Brandon"}],"issued":{"date-parts":[["2023",2]]}}},{"id":673,"uris":["http://zotero.org/users/1538114/items/KQHGARN6"],"itemData":{"id":673,"type":"article-journal","abstract":"Regression to the mean (RTM) is a widespread statistical phenomenon. It is a group phenomenon that occurs whenever an extreme group is selected from a population based on the measurement of a particular variable. If a second measurement is then taken for the same group, the second mean will be closer to the population mean than the first measurement. This decrease (or increase) can be mistakenly attributed to a treatment effect; the conclusion can be drawn that an effect results from treatment when it in fact results from chance. Any intervention that is aimed at a group or characteristic that is very different from the average will appear to be successful because of RTM. It is therefore important that any genuine reductions because of the treatment are separated out from the effect of RTM. If the problem is ignored then this will lead to errors in the interpretation of results and, potentially, decisions made on the evidence of those results. This paper highlights the importance of the issue and its effects on many common clinical, public health and managerial decisions.","container-title":"Journal of Evaluation in Clinical Practice","DOI":"10.1111/j.1365-2753.2004.00505.x","ISSN":"1356-1294","issue":"1","journalAbbreviation":"J Eval Clin Pract","language":"eng","page":"59-65","PMID":"15660538","source":"PubMed","title":"Regression to the mean: treatment effect without the intervention","title-short":"Regression to the mean","volume":"11","author":[{"family":"Morton","given":"Veronica"},{"family":"Torgerson","given":"David J."}],"issued":{"date-parts":[["2005",2]]}}}],"schema":"https://github.com/citation-style-language/schema/raw/master/csl-citation.json"} </w:instrText>
      </w:r>
      <w:r w:rsidR="00C73F7F">
        <w:fldChar w:fldCharType="separate"/>
      </w:r>
      <w:r w:rsidR="006A2419" w:rsidRPr="006A2419">
        <w:rPr>
          <w:rFonts w:eastAsiaTheme="minorEastAsia" w:cs="Times New Roman"/>
          <w:szCs w:val="24"/>
          <w:vertAlign w:val="superscript"/>
        </w:rPr>
        <w:t>4,12,13</w:t>
      </w:r>
      <w:r w:rsidR="00C73F7F">
        <w:fldChar w:fldCharType="end"/>
      </w:r>
      <w:r>
        <w:t xml:space="preserve"> Primary eligibility required a mean baseline frequency of at least four seizures/month and at least three in each baseline month. These thresholds adapt the Krauss cenobamate trial, which required at least eight seizures over eight weeks, at least three in each four-week segment, and no seizure-free interval longer than 25 days. The earlier Chung trial required at least three seizures/month and no consecutive 21-day seizure-free period.</w:t>
      </w:r>
      <w:r>
        <w:fldChar w:fldCharType="begin"/>
      </w:r>
      <w:r w:rsidR="00BA7AD3">
        <w:instrText xml:space="preserve"> ADDIN ZOTERO_ITEM CSL_CITATION {"citationID":"cfpepyicn","properties":{"formattedCitation":"\\super 14,15\\nosupersub{}","plainCitation":"14,15","noteIndex":0},"citationItems":[{"id":654,"uris":["http://zotero.org/users/1538114/items/BK98X8PE"],"itemData":{"id":654,"type":"article-journal","abstract":"OBJECTIVE: To evaluate the efficacy and safety of adjunctive cenobamate 200 mg/d in patients with uncontrolled focal (partial-onset) seizures despite treatment with 1 to 3 antiepileptic drugs.\nMETHODS: In this multicenter, double-blind, placebo-controlled study, adults 18 to 65 years of age with focal seizures were randomized 1:1 (cenobamate:placebo) after an 8-week baseline period. The 12-week double-blind treatment period consisted of a 6-week titration phase and a 6-week maintenance phase. The primary outcome was percent change in seizure frequency (from baseline) per 28 days during double-blind treatment.\nRESULTS: Two hundred twenty-two patients were randomized; 113 received cenobamate and 109 received placebo; and 90.3% and 90.8% of patients, respectively, completed double-blind treatment. Median baseline seizure frequency was 6.5 in 28 days (range 0-237). Compared to placebo, cenobamate conferred a greater median percent seizure reduction (55.6% vs 21.5%; p &lt; 0.0001) The responder rate (≥50% reduction in seizure frequency) was 50.4% for cenobamate and 22.2% for placebo (p &lt; 0.0001). Focal seizures with motor component, impaired awareness, and focal to bilateral tonic-clonic seizures were significantly reduced with cenobamate vs placebo. During maintenance, 28.3% of cenobamate-treated and 8.8% of placebo-treated patients were seizure-free. Treatment-emergent adverse events reported in &gt;10% in either group (cenobamate vs placebo) were somnolence (22.1% vs 11.9%), dizziness (22.1% vs 16.5%), headache (12.4% vs 12.8%), nausea (11.5% vs 4.6%), and fatigue (10.6% vs 6.4%).\nCONCLUSION: Adjunctive treatment with cenobamate 200 mg/d significantly improved seizure control in adults with uncontrolled focal seizures and was well tolerated.\nCLINICALTRIALSGOV IDENTIFIER: NCT01397968.\nCLASSIFICATION OF EVIDENCE: This study provides Class I evidence that, for patients with uncontrolled focal seizures, adjunctive cenobamate reduces seizures.","container-title":"Neurology","DOI":"10.1212/WNL.0000000000009530","ISSN":"1526-632X","issue":"22","journalAbbreviation":"Neurology","language":"eng","page":"e2311-e2322","PMID":"32409485","PMCID":"PMC7357293","source":"PubMed","title":"Randomized phase 2 study of adjunctive cenobamate in patients with uncontrolled focal seizures","volume":"94","author":[{"family":"Chung","given":"Steve S."},{"family":"French","given":"Jacqueline A."},{"family":"Kowalski","given":"Jacek"},{"family":"Krauss","given":"Gregory L."},{"family":"Lee","given":"Sang Kun"},{"family":"Maciejowski","given":"Maciej"},{"family":"Rosenfeld","given":"William E."},{"family":"Sperling","given":"Michael R."},{"family":"Mizne","given":"Sarah"},{"family":"Kamin","given":"Marc"}],"issued":{"date-parts":[["2020",6,2]]}}},{"id":656,"uris":["http://zotero.org/users/1538114/items/VCKFKX24"],"itemData":{"id":656,"type":"article-journal","abstract":"BACKGROUND: More than a third of patients with epilepsy are treatment resistant, and thus new, more effective therapies to achieve seizure freedom are needed. Cenobamate (YKP3089), an investigational antiepileptic drug, has shown broad-spectrum anticonvulsant activity in preclinical studies and seizure models. We aimed to evaluate the safety, efficacy, and tolerability of adjunctive cenobamate in patients with uncontrolled focal (partial)-onset epilepsy.\nMETHODS: We did a multicentre, double-blind, randomised, placebo-controlled, dose-response study at 107 epilepsy and neurology centres in 16 countries. Adult patients (aged 18-70 years) with focal seizures despite treatment with 1-3 antiepileptic drugs were randomly assigned (1:1:1:1) via an interactive web response system, by block sizes of 4 within each country, to adjuvant once daily oral cenobamate at dose groups of 100 mg, 200 mg, or 400 mg, or placebo following an 8-week baseline assessment. Patients, investigators, and study personnel were masked to treatment assignment. The study included a 6-week titration phase and 12-week maintenance phase. The primary efficacy outcomes were percentage change in 28-day focal seizure frequency (focal aware motor, focal impaired awareness, or focal to bilateral tonic-clonic seizures) from baseline analysed in the modified intention-to-treat population (≥1 dose and any post-baseline seizure data) and responder rates (≥50% reduction) analysed in the maintenance phase population (≥1 dose in the maintenance phase and any maintenance phase seizure data). The primary efficacy outcomes were analysed using a hierarchal step-down procedure comparing 200 mg versus placebo, 400 mg versus placebo, then 100 mg versus placebo. Safety and tolerability were compared descriptively across treatment groups for all randomised patients. This study is registered with ClinicalTrials.gov, number NCT01866111.\nFINDINGS: Between July 31, 2013, and June 22, 2015, 437 patients were randomly assigned to either placebo (n=108) or cenobamate 100 mg (n=108), 200 mg (n=110), or 400 mg (n=111). Of these patients, 434 (106 [98%] in placebo group, 108 [100%] in 100 mg group, 109 [99%] in 200 mg group, and 111 [100%] in 400 mg group) were included in the modified intention-to-treat population, and 397 (102 [94%] in placebo group, 102 [94%] in 100 mg group, 98 [89%] in 200 mg group, and 95 [86%] in 400 mg group) were included in the modified intention-to-treat maintenance phase population. Median percentage changes in seizure frequency were -24·0% (IQR -45·0 to -7·0%) for the placebo group compared with -35·5% (-62·5 to -15·0%; p=0·0071) for the 100 mg dose group, -55·0% (-73·0 to -23·0%; p&lt;0·0001) for the 200 mg dose group, and -55·0% (-85·0 to -28·0%; p&lt;0·0001) for the 400 mg dose group. Responder rates during the maintenance phase were 25% (26 of 102 patients) for the placebo group compared with 40% (41 of 102; odds ratio 1·97, 95% CI 1·08-3·56; p=0·0365) for the 100 mg dose group, 56% (55 of 98; 3·74, 2·06-6·80; p&lt;0·0001) for the 200 mg dose group, and 64% (61 of 95; 5·24, 2·84-9·67; p&lt;0·0001) for the 400 mg dose group. Treatment-emergent adverse events occurred in 76 (70%) of 108 patients in the placebo group, 70 (65%) of 108 in the 100 mg group, 84 (76%) of 110 in the 200 mg group, and 100 (90%) of 111 in the 400 mg group. Treatment-emergent adverse events led to discontinuation in five (5%) patients in the placebo group, 11 (10%) in the 100 mg dose group, 15 (14%) in the 200 mg dose group, and 22 (20%) in the 400 mg dose group. One serious case of drug reaction with eosinophilia and systemic symptoms occurred in the 200 mg cenobamate group. No deaths were reported.\nINTERPRETATION: Adjunctive cenobamate reduced focal (partial)-onset seizure frequency, in a dose-related fashion. Treatment-emergent adverse events were most frequent in the highest dose group. Cenobamate appears to be an effective treatment option in patients with uncontrolled focal seizures.\nFUNDING: SK Life Science.","container-title":"The Lancet. Neurology","DOI":"10.1016/S1474-4422(19)30399-0","ISSN":"1474-4465","issue":"1","journalAbbreviation":"Lancet Neurol","language":"eng","page":"38-48","PMID":"31734103","source":"PubMed","title":"Safety and efficacy of adjunctive cenobamate (YKP3089) in patients with uncontrolled focal seizures: a multicentre, double-blind, randomised, placebo-controlled, dose-response trial","title-short":"Safety and efficacy of adjunctive cenobamate (YKP3089) in patients with uncontrolled focal seizures","volume":"19","author":[{"family":"Krauss","given":"Gregory L."},{"family":"Klein","given":"Pavel"},{"family":"Brandt","given":"Christian"},{"family":"Lee","given":"Sang Kun"},{"family":"Milanov","given":"Ivan"},{"family":"Milovanovic","given":"Maja"},{"family":"Steinhoff","given":"Bernhard J."},{"family":"Kamin","given":"Marc"}],"issued":{"date-parts":[["2020",1]]}}}],"schema":"https://github.com/citation-style-language/schema/raw/master/csl-citation.json"} </w:instrText>
      </w:r>
      <w:r>
        <w:fldChar w:fldCharType="separate"/>
      </w:r>
      <w:r w:rsidR="006A2419" w:rsidRPr="006A2419">
        <w:rPr>
          <w:rFonts w:eastAsiaTheme="minorEastAsia" w:cs="Times New Roman"/>
          <w:szCs w:val="24"/>
          <w:vertAlign w:val="superscript"/>
        </w:rPr>
        <w:t>14,15</w:t>
      </w:r>
      <w:r>
        <w:fldChar w:fldCharType="end"/>
      </w:r>
      <w:r>
        <w:t xml:space="preserve"> We used 30-day simulated months rather than four-week segments and omitted the interval criterion from the main analysis. The Appendix evaluates the 25-day rule separately.</w:t>
      </w:r>
    </w:p>
    <w:p w14:paraId="18F21367" w14:textId="3C2A7956" w:rsidR="00B716A0" w:rsidRDefault="00C769AC" w:rsidP="00C73F7F">
      <w:pPr>
        <w:jc w:val="both"/>
      </w:pPr>
      <w:r>
        <w:t xml:space="preserve">Each latent seizure had the specified probability of detection. Independent Poisson false alarms were added to daily counts. For FAR conditions, the known expected number of false alarms was </w:t>
      </w:r>
      <w:r>
        <w:lastRenderedPageBreak/>
        <w:t>subtracted from each 30-day count, and negative corrected counts were set to zero.</w:t>
      </w:r>
      <w:r w:rsidR="00C73F7F">
        <w:fldChar w:fldCharType="begin"/>
      </w:r>
      <w:r w:rsidR="00C73F7F">
        <w:instrText xml:space="preserve"> ADDIN ZOTERO_ITEM CSL_CITATION {"citationID":"eeBOwF0x","properties":{"unsorted":false,"formattedCitation":"\\super 3\\nosupersub{}","plainCitation":"3","noteIndex":0},"citationItems":[{"id":667,"uris":["http://zotero.org/users/1538114/items/7HDRQVE2"],"itemData":{"id":667,"type":"article-journal","abstract":"OBJECTIVE: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rsidR="00C73F7F">
        <w:fldChar w:fldCharType="separate"/>
      </w:r>
      <w:r w:rsidR="006A2419" w:rsidRPr="006A2419">
        <w:rPr>
          <w:rFonts w:eastAsiaTheme="minorEastAsia" w:cs="Times New Roman"/>
          <w:szCs w:val="24"/>
          <w:vertAlign w:val="superscript"/>
        </w:rPr>
        <w:t>3</w:t>
      </w:r>
      <w:r w:rsidR="00C73F7F">
        <w:fldChar w:fldCharType="end"/>
      </w:r>
      <w:r>
        <w:t xml:space="preserve"> This aggregate correction does not identify individual false alarms or guarantee unbiased counts after flooring. Equations and alternative rules are in the Appendix.</w:t>
      </w:r>
    </w:p>
    <w:p w14:paraId="19DF2060" w14:textId="77777777" w:rsidR="00B716A0" w:rsidRDefault="00C769AC" w:rsidP="00C73F7F">
      <w:pPr>
        <w:jc w:val="both"/>
      </w:pPr>
      <w:r>
        <w:t>Two sweeps varied sensitivity from 10% to 100% in 10% increments at zero FAR, and FAR from zero to one alarm/day in 0.1-alarm/day increments at full sensitivity. A common cohort of 100,000 latent participants was reused with nested detector realizations. Seeds were 20260813 for latent histories, 20260814 for detection, and 20260815 for false alarms. Each participant's trial and separate 36-month reference diary shared the sampled rate, cluster status, and cycle parameters but had separate random count realizations. The effective long-term frequency was the mean monthly count in that reference diary, not the sampled rate parameter. It incorporates realized variability and was scaled by sensitivity for corrected-count comparisons. Observed RTM required baseline above this reference and test-period frequency strictly closer to it. Exact integer-scaled comparisons excluded equal-distance ties. This indicator describes trajectories, not causal RTM subtypes. Apparent placebo response was median percentage change (MPC) from baseline to test, with positive values indicating seizure-frequency reduction. Binomial-order-statistic 95% confidence intervals describe uncertainty in the median, not variation among individuals. No hypothesis tests were performed.</w:t>
      </w:r>
    </w:p>
    <w:p w14:paraId="1FE9CC92" w14:textId="77777777" w:rsidR="00B716A0" w:rsidRDefault="00C769AC" w:rsidP="00C73F7F">
      <w:pPr>
        <w:jc w:val="both"/>
      </w:pPr>
      <w:r>
        <w:t xml:space="preserve">A sensitivity analysis held membership fixed to participants eligible under perfect detection and compared them with cohorts reselected at each condition using the same latent histories and detector counts. Observed RTM used the full selected denominator; MPC excluded undefined percentage changes at zero measured baseline, with those counts reported separately. Another analysis applied additive expected-alarm thresholds to raw baseline counts while retaining </w:t>
      </w:r>
      <w:r>
        <w:lastRenderedPageBreak/>
        <w:t>corrected outcomes. Full methods, equations, all conditions, and selection diagnostics are in the Appendix.</w:t>
      </w:r>
    </w:p>
    <w:p w14:paraId="6759B605" w14:textId="77777777" w:rsidR="00B716A0" w:rsidRDefault="00C769AC" w:rsidP="00C73F7F">
      <w:pPr>
        <w:jc w:val="both"/>
      </w:pPr>
      <w:r>
        <w:t>No human participants, identifiable private information, or animals were used. The canonical script, fixed seeds, executed Appendix, aggregate outputs, run metadata, and validation checks are available in the open-source GitHub repository.</w:t>
      </w:r>
    </w:p>
    <w:p w14:paraId="77A8D01E" w14:textId="77777777" w:rsidR="00B716A0" w:rsidRDefault="00C769AC" w:rsidP="00C73F7F">
      <w:pPr>
        <w:pStyle w:val="Heading1"/>
        <w:jc w:val="both"/>
      </w:pPr>
      <w:r>
        <w:t>Results</w:t>
      </w:r>
    </w:p>
    <w:p w14:paraId="2244FF85" w14:textId="77777777" w:rsidR="00B716A0" w:rsidRDefault="00C769AC" w:rsidP="00C73F7F">
      <w:pPr>
        <w:jc w:val="both"/>
      </w:pPr>
      <w:r>
        <w:t>At zero FAR, lower sensitivity increased observed RTM and placebo MPC (Figure 1A,C). With perfect detection, 35,393 of 100,000 participants were eligible, observed RTM was 37.2%, and MPC was 14.3% (95% CI 13.3% to 14.8%). At 50% sensitivity, 17,865 were eligible, observed RTM was 44.5%, and MPC was 25.0% (95% CI 24.6% to 25.9%). At 10% sensitivity, 2,180 were eligible, observed RTM was 64.4%, and MPC was 48.1% (95% CI 45.8% to 50.0%).</w:t>
      </w:r>
    </w:p>
    <w:p w14:paraId="4C0B4517" w14:textId="77777777" w:rsidR="00B716A0" w:rsidRDefault="00C769AC" w:rsidP="00C73F7F">
      <w:pPr>
        <w:jc w:val="both"/>
      </w:pPr>
      <w:r>
        <w:t>At full sensitivity, increasing FAR increased observed RTM and placebo MPC after expected-monthly-alarm correction (Figure 1B,D). At FAR 0.1/day, 35,453 participants were eligible, observed RTM was 40.8%, and MPC was 17.9% (95% CI 17.1% to 18.5%). At FAR 0.5/day, 35,508 participants were eligible, observed RTM was 49.4%, and MPC was 27.3% (95% CI 26.7% to 27.8%). At FAR 1/day, 35,134 participants were eligible, observed RTM was 53.6%, and MPC was 31.2% (95% CI 30.4% to 33.3%).</w:t>
      </w:r>
    </w:p>
    <w:p w14:paraId="676670E6" w14:textId="77777777" w:rsidR="00B716A0" w:rsidRDefault="00C769AC" w:rsidP="00C73F7F">
      <w:pPr>
        <w:jc w:val="both"/>
      </w:pPr>
      <w:r>
        <w:t>Retaining the original 25-day rule preserved the overall trends. Across 21 conditions, the maximum absolute differences were 2.28 percentage points for eligibility, 2.49 for observed RTM, and 2.29 for MPC. Additive expected-alarm thresholds selected identical participants and produced identical outcomes at every FAR. Full results are in the Appendix.</w:t>
      </w:r>
    </w:p>
    <w:p w14:paraId="600616D2" w14:textId="77777777" w:rsidR="00B716A0" w:rsidRDefault="00C769AC" w:rsidP="00C73F7F">
      <w:pPr>
        <w:jc w:val="both"/>
      </w:pPr>
      <w:r>
        <w:t xml:space="preserve">Holding the 35,393-participant perfect-detector cohort fixed changed the pattern. Observed RTM fell from 37.2% to 29.3% at 10% sensitivity and 34.7% at FAR one/day. Fixed-cohort MPC was </w:t>
      </w:r>
      <w:r>
        <w:lastRenderedPageBreak/>
        <w:t>33.3% and 10.4%, respectively, but was undefined for 6,182 and 538 participants with zero measured baseline. The Appendix reports the changing MPC denominators.</w:t>
      </w:r>
    </w:p>
    <w:p w14:paraId="64A66C60" w14:textId="77777777" w:rsidR="00B716A0" w:rsidRDefault="00C769AC" w:rsidP="00C73F7F">
      <w:pPr>
        <w:pStyle w:val="Heading1"/>
        <w:jc w:val="both"/>
      </w:pPr>
      <w:r>
        <w:t>Discussion</w:t>
      </w:r>
    </w:p>
    <w:p w14:paraId="5F9882E7" w14:textId="0C0FCB44" w:rsidR="00B716A0" w:rsidRDefault="00C769AC" w:rsidP="00C73F7F">
      <w:pPr>
        <w:jc w:val="both"/>
      </w:pPr>
      <w:r>
        <w:t>Device performance should be treated as a trial-design parameter. Measured baseline counts determine eligibility and form the denominator of percentage-change outcomes.</w:t>
      </w:r>
      <w:r w:rsidR="00C73F7F">
        <w:fldChar w:fldCharType="begin"/>
      </w:r>
      <w:r w:rsidR="00C73F7F">
        <w:instrText xml:space="preserve"> ADDIN ZOTERO_ITEM CSL_CITATION {"citationID":"KRSQs8Iv","properties":{"unsorted":false,"formattedCitation":"\\super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rsidR="00C73F7F">
        <w:fldChar w:fldCharType="separate"/>
      </w:r>
      <w:r w:rsidR="006A2419" w:rsidRPr="006A2419">
        <w:rPr>
          <w:rFonts w:eastAsiaTheme="minorEastAsia" w:cs="Times New Roman"/>
          <w:szCs w:val="24"/>
          <w:vertAlign w:val="superscript"/>
        </w:rPr>
        <w:t>4</w:t>
      </w:r>
      <w:r w:rsidR="00C73F7F">
        <w:fldChar w:fldCharType="end"/>
      </w:r>
      <w:r>
        <w:t xml:space="preserve"> Detector errors change both pathways, as illustrated in Figure 2. The rising primary observed-RTM pattern reversed when the perfect-detector cohort was held fixed. Thus that increase depended on reselection in these sweeps and was not a universal consequence of adding measurement error within an unchanged cohort. This comparison does not partition RTM into additive causal components. Fixed-cohort MPC also needs caution because zero-baseline participants have undefined percentage change, particularly at low sensitivity.</w:t>
      </w:r>
    </w:p>
    <w:p w14:paraId="78E2C490" w14:textId="552E5584" w:rsidR="00B716A0" w:rsidRDefault="00C769AC" w:rsidP="00C73F7F">
      <w:pPr>
        <w:jc w:val="both"/>
      </w:pPr>
      <w:r>
        <w:t>Earlier epilepsy RTM simulations showed that eligibility criteria can change observed RTM and placebo response.</w:t>
      </w:r>
      <w:r>
        <w:fldChar w:fldCharType="begin"/>
      </w:r>
      <w:r w:rsidR="00C73F7F">
        <w:instrText xml:space="preserve"> ADDIN ZOTERO_ITEM CSL_CITATION {"citationID":"cjy86KVeh","properties":{"formattedCitation":"\\super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6A2419" w:rsidRPr="006A2419">
        <w:rPr>
          <w:rFonts w:eastAsiaTheme="minorEastAsia" w:cs="Times New Roman"/>
          <w:szCs w:val="24"/>
          <w:vertAlign w:val="superscript"/>
        </w:rPr>
        <w:t>4</w:t>
      </w:r>
      <w:r>
        <w:fldChar w:fldCharType="end"/>
      </w:r>
      <w:r>
        <w:t xml:space="preserve"> The present analysis examines how detector errors interact with that selection. Trials with the same biological treatment effect and nominal count thresholds may show different apparent placebo responses when detector performance or correction rules differ. Moving expected alarms from counts to additive eligibility thresholds is algebraically equivalent under our positive monthly thresholds. It simplifies expression of the rule but cannot reduce residual false-alarm noise.</w:t>
      </w:r>
    </w:p>
    <w:p w14:paraId="2E9BB0B0" w14:textId="79B768B5" w:rsidR="009646DD" w:rsidRDefault="009646DD" w:rsidP="00C73F7F">
      <w:pPr>
        <w:jc w:val="both"/>
      </w:pPr>
      <w:r>
        <w:t>A historical framework described RTM type 1 as return after a temporary unusual circumstance and RTM type 2 as return associated with ordinary natural variability.</w:t>
      </w:r>
      <w:r>
        <w:fldChar w:fldCharType="begin"/>
      </w:r>
      <w:r w:rsidR="0022433C">
        <w:instrText xml:space="preserve"> ADDIN ZOTERO_ITEM CSL_CITATION {"citationID":"FwKzLYax","properties":{"unsorted":false,"formattedCitation":"\\super 8\\nosupersub{}","plainCitation":"8","noteIndex":0},"citationItems":[{"id":671,"uris":["http://zotero.org/users/1538114/items/UAL9HNIK"],"itemData":{"id":671,"type":"article-journal","abstract":"Epilepsy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M."}],"issued":{"date-parts":[["2026",2]]}}}],"schema":"https://github.com/citation-style-language/schema/raw/master/csl-citation.json"} </w:instrText>
      </w:r>
      <w:r>
        <w:fldChar w:fldCharType="separate"/>
      </w:r>
      <w:r w:rsidR="006A2419" w:rsidRPr="006A2419">
        <w:rPr>
          <w:rFonts w:eastAsiaTheme="minorEastAsia" w:cs="Times New Roman"/>
          <w:szCs w:val="24"/>
          <w:vertAlign w:val="superscript"/>
        </w:rPr>
        <w:t>8</w:t>
      </w:r>
      <w:r>
        <w:fldChar w:fldCharType="end"/>
      </w:r>
      <w:r>
        <w:t xml:space="preserve"> Measurement error can be considered a third contributor, but this simulation does not identify an isolated participant-level "RTM Type 3" category. Detector error changes cohort selection and the frequency of the overall observed-RTM indicator. We interpret the results as a measurement-related contribution to </w:t>
      </w:r>
      <w:r>
        <w:lastRenderedPageBreak/>
        <w:t>observed RTM and apparent placebo response, not evidence that RTM Type 3 alone was directly observed.</w:t>
      </w:r>
    </w:p>
    <w:p w14:paraId="25D62AD4" w14:textId="2255DA26" w:rsidR="00B716A0" w:rsidRDefault="00C769AC" w:rsidP="00C73F7F">
      <w:pPr>
        <w:jc w:val="both"/>
      </w:pPr>
      <w:r>
        <w:t>Objective seizure detection could reduce under-reporting and may improve statistical power when more complete seizure counts are available.</w:t>
      </w:r>
      <w:r>
        <w:fldChar w:fldCharType="begin"/>
      </w:r>
      <w:r w:rsidR="00BA7AD3">
        <w:instrText xml:space="preserve"> ADDIN ZOTERO_ITEM CSL_CITATION {"citationID":"61lJIYbb","properties":{"unsorted":false,"formattedCitation":"\\super 3,16\\nosupersub{}","plainCitation":"3,16","noteIndex":0},"citationItems":[{"id":667,"uris":["http://zotero.org/users/1538114/items/7HDRQVE2"],"itemData":{"id":667,"type":"article-journal","abstract":"OBJECTIVE: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Brandon"}],"issued":{"date-parts":[["2024",4]]}}},{"id":658,"uris":["http://zotero.org/users/1538114/items/QQJQYVX2"],"itemData":{"id":658,"type":"article-journal","abstract":"OBJECTIVE: It is currently unknown if knowledge of clinically silent (electrographic) seizures improves the statistical efficiency of clinical trials.\nMETHODS: Using data obtained from 10 patients with chronically implanted subdural electrodes over an average of 1 year, a Monte Carlo bootstrapping simulation study was performed to estimate the statistical power of running a clinical trial based on A) patient reported seizures with intracranial EEG (icEEG) confirmation, B) all patient reported events, or C) all icEEG confirmed seizures. A \"drug\" was modeled as having 10%, 20%, 30%, 40% and 50% efficacy in 1000 simulated trials each. Outcomes were represented as percentage of trials that achieved p&lt;0.05 using Fisher Exact test for 50%-responder rates (RR50), and Wilcoxon Rank Sum test for median percentage change (MPC).\nRESULTS: At each simulated drug strength, the MPC method showed higher power than RR50. As drug strength increased, statistical power increased. For all cases except RR50 with drug of 10% efficacy, using patient reported events (with or without icEEG confirmation) was not as statistically powerful as using all available intracranially confirmed seizures (p&lt;0.001).\nSIGNIFICANCE: This study demonstrated using simulation that additional accuracy in seizure detection using chronically implanted icEEG improves statistical power of clinical trials. Newer invasive and noninvasive seizure detection devices may have the potential to provide greater statistical efficiency, accelerate drug discovery and lower trial costs.","container-title":"Epilepsia Open","DOI":"10.1002/epi4.12038","ISSN":"2470-9239","issue":"2","journalAbbreviation":"Epilepsia Open","language":"eng","page":"156-161","PMID":"28758158","PMCID":"PMC5526639","source":"PubMed","title":"Simulating Clinical Trials With and Without Intracranial EEG Data","volume":"2","author":[{"family":"Goldenholz","given":"Daniel M."},{"family":"Tharayil","given":"Joseph J."},{"family":"Kuzniecky","given":"Rubin"},{"family":"Karoly","given":"Philippa"},{"family":"Theodore","given":"William H."},{"family":"Cook","given":"Mark J."}],"issued":{"date-parts":[["2017",6]]}}}],"schema":"https://github.com/citation-style-language/schema/raw/master/csl-citation.json"} </w:instrText>
      </w:r>
      <w:r>
        <w:fldChar w:fldCharType="separate"/>
      </w:r>
      <w:r w:rsidR="006A2419" w:rsidRPr="006A2419">
        <w:rPr>
          <w:rFonts w:eastAsiaTheme="minorEastAsia" w:cs="Times New Roman"/>
          <w:szCs w:val="24"/>
          <w:vertAlign w:val="superscript"/>
        </w:rPr>
        <w:t>3,16</w:t>
      </w:r>
      <w:r>
        <w:fldChar w:fldCharType="end"/>
      </w:r>
      <w:r>
        <w:t xml:space="preserve"> Device operating characteristics should be incorporated into trial simulations before randomized controlled trial designs are finalized. Before trial initiation, investigators should specify how sensitivity, FAR, correction, device non-wear, and missing data enter eligibility, baseline counts, and outcome counts. Device validation should also report performance in seizure types and settings that match the planned trial population.</w:t>
      </w:r>
      <w:r>
        <w:fldChar w:fldCharType="begin"/>
      </w:r>
      <w:r w:rsidR="00EF2082">
        <w:instrText xml:space="preserve"> ADDIN ZOTERO_ITEM CSL_CITATION {"citationID":"cPDQp8a1v","properties":{"formattedCitation":"\\super 1,2\\nosupersub{}","plainCitation":"1,2","noteIndex":0},"citationItems":[{"id":638,"uris":["http://zotero.org/users/1538114/items/2E3DNX5V"],"itemData":{"id":638,"type":"article-journal","abstract":"The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J."},{"family":"Kwan","given":"Patrick"}],"issued":{"date-parts":[["2022",8]]}}}],"schema":"https://github.com/citation-style-language/schema/raw/master/csl-citation.json"} </w:instrText>
      </w:r>
      <w:r>
        <w:fldChar w:fldCharType="separate"/>
      </w:r>
      <w:r w:rsidR="006A2419" w:rsidRPr="006A2419">
        <w:rPr>
          <w:rFonts w:eastAsiaTheme="minorEastAsia" w:cs="Times New Roman"/>
          <w:szCs w:val="24"/>
          <w:vertAlign w:val="superscript"/>
        </w:rPr>
        <w:t>1,2</w:t>
      </w:r>
      <w:r>
        <w:fldChar w:fldCharType="end"/>
      </w:r>
    </w:p>
    <w:p w14:paraId="2435C728" w14:textId="1ED21452" w:rsidR="00B716A0" w:rsidRDefault="00C769AC" w:rsidP="00C73F7F">
      <w:pPr>
        <w:jc w:val="both"/>
      </w:pPr>
      <w:r>
        <w:t>Published studies provide context for the examined performance ranges. A multimodal wrist detector reported 94.6% sensitivity with 0.20 false alarms/day. An Apple Watch algorithm reported 100% sensitivity with 0.05/day in epilepsy monitoring units and 0.13/day in ambulatory monitoring. A connected shirt reported 84.8% sensitivity with a median FAR of 0.55/day.</w:t>
      </w:r>
      <w:r w:rsidR="002C1495">
        <w:fldChar w:fldCharType="begin"/>
      </w:r>
      <w:r w:rsidR="002C1495">
        <w:instrText xml:space="preserve"> ADDIN ZOTERO_ITEM CSL_CITATION {"citationID":"VtZ9WNN4","properties":{"unsorted":false,"formattedCitation":"\\super 17\\uc0\\u8211{}19\\nosupersub{}","plainCitation":"17–19","noteIndex":0},"citationItems":[{"id":944,"uris":["http://zotero.org/users/1538114/items/RNRVBY7D"],"itemData":{"id":944,"type":"article-journal","abstract":"OBJECTIVE: New devices are needed for monitoring seizures, especially those associated with sudden unexpected death in epilepsy (SUDEP). They must be unobtrusive and automated, and provide false alarm rates (FARs) bearable in everyday life. This study quantifies the performance of new multimodal wrist-worn convulsive seizure detectors.\nMETHODS: Hand-annotated video-electroencephalographic seizure events were collected from 69 patients at six clinical sites. Three different wristbands were used to record electrodermal activity (EDA) and accelerometer (ACM) signals, obtaining 5,928 h of data, including 55 convulsive epileptic seizures (six focal tonic-clonic seizures and 49 focal to bilateral tonic-clonic seizures) from 22 patients. Recordings were analyzed offline to train and test two new machine learning classifiers and a published classifier based on EDA and ACM. Moreover, wristband data were analyzed to estimate seizure-motion duration and autonomic responses.\nRESULTS: The two novel classifiers consistently outperformed the previous detector. The most efficient (Classifier III) yielded sensitivity of 94.55%, and an FAR of 0.2 events/day. No nocturnal seizures were missed. Most patients had &lt;1 false alarm every 4 days, with an FAR below their seizure frequency. When increasing the sensitivity to 100% (no missed seizures), the FAR is up to 13 times lower than with the previous detector. Furthermore, all detections occurred before the seizure ended, providing reasonable latency (median = 29.3 s, range = 14.8-151 s). Automatically estimated seizure durations were correlated with true durations, enabling reliable annotations. Finally, EDA measurements confirmed the presence of postictal autonomic dysfunction, exhibiting a significant rise in 73% of the convulsive seizures.\nSIGNIFICANCE: The proposed multimodal wrist-worn convulsive seizure detectors provide seizure counts that are more accurate than previous automated detectors and typical patient self-reports, while maintaining a tolerable FAR for ambulatory monitoring. Furthermore, the multimodal system provides an objective description of motor behavior and autonomic dysfunction, aimed at enriching seizure characterization, with potential utility for SUDEP warning.","container-title":"Epilepsia","DOI":"10.1111/epi.13899","ISSN":"1528-1167","issue":"11","journalAbbreviation":"Epilepsia","language":"eng","page":"1870-1879","PMID":"28980315","source":"PubMed","title":"Multicenter clinical assessment of improved wearable multimodal convulsive seizure detectors","volume":"58","author":[{"family":"Onorati","given":"Francesco"},{"family":"Regalia","given":"Giulia"},{"family":"Caborni","given":"Chiara"},{"family":"Migliorini","given":"Matteo"},{"family":"Bender","given":"Daniel"},{"family":"Poh","given":"Ming-Zher"},{"family":"Frazier","given":"Cherise"},{"family":"Kovitch Thropp","given":"Eliana"},{"family":"Mynatt","given":"Elizabeth D."},{"family":"Bidwell","given":"Jonathan"},{"family":"Mai","given":"Roberto"},{"family":"LaFrance","given":"W. Curt"},{"family":"Blum","given":"Andrew S."},{"family":"Friedman","given":"Daniel"},{"family":"Loddenkemper","given":"Tobias"},{"family":"Mohammadpour-Touserkani","given":"Fatemeh"},{"family":"Reinsberger","given":"Claus"},{"family":"Tognetti","given":"Simone"},{"family":"Picard","given":"Rosalind W."}],"issued":{"date-parts":[["2017",11]]}}},{"id":946,"uris":["http://zotero.org/users/1538114/items/F6DL5MMJ"],"itemData":{"id":946,"type":"article-journal","abstract":"OBJECTIVE: Evaluate the performance of a custom application developed for tonic-clonic seizure (TCS) monitoring on a consumer-wearable (Apple Watch) device.\nMETHODS: Participants with a history of convulsive epileptic seizures were recruited for either Epilepsy Monitoring Unit (EMU) or ambulatory (AMB) monitoring; participants without epilepsy (normal controls [NC]) were also enrolled in the AMB group. Both EMU and AMB participants wore an Apple Watch with a research app that continuously recorded accelerometer and photoplethysmography (PPG) signals, and ran a fixed-and-frozen tonic-clonic seizure detection algorithm during the testing period. This algorithm had been previously developed and validated using a separate training dataset. All EMU convulsive events were validated by video-electroencephalography (video-EEG); AMB events were validated by caregiver reporting and follow-ups. Device performance was characterized and compared to prior monitoring devices through sensitivity, false alarm rate (FAR; false-alarms per 24 h), precision, and detection delay (latency).\nRESULTS: The EMU group had 85 participants (4,279 h, 19 TCS from 15 participants) enrolled across four EMUs; the AMB group had 21 participants (13 outpatient, 8 NC, 6,735 h, 10 TCS from 3 participants). All but one AMB participant completed the study. Device performance in the EMU group included a sensitivity of 100 % [95 % confidence interval (CI) 79-100 %]; an FAR of 0.05 [0.02, 0.08] per 24 h; a precision of 68 % [48 %, 83 %]; and a latency of 32.07 s [standard deviation (std) 10.22 s]. The AMB group had a sensitivity of 100 % [66-100 %]; an FAR of 0.13 [0.08, 0.24] per 24 h; a precision of 22 % [11 %, 37 %]; and a latency of 37.38 s [13.24 s]. Notably, a single AMB participant was responsible for 8 of 31 false alarms. The AMB FAR excluding this participant was 0.10 [0.07, 0.14] per 24 h.\nDISCUSSION: This study demonstrates the practicability of TCS monitoring on a popular consumer wearable (Apple Watch) in daily use for people with epilepsy. The monitoring app had a high sensitivity and a substantially lower FAR than previously reported in both EMU and AMB environments.","container-title":"Epilepsy &amp; Behavior: E&amp;B","DOI":"10.1016/j.yebeh.2024.109908","ISSN":"1525-5069","journalAbbreviation":"Epilepsy Behav","language":"eng","page":"109908","PMID":"38964183","source":"PubMed","title":"Prospective multicenter study of continuous tonic-clonic seizure monitoring on Apple Watch in epilepsy monitoring units and ambulatory environments","volume":"158","author":[{"family":"Shah","given":"Samyak"},{"family":"Gonzalez Gutierrez","given":"Erie"},{"family":"Hopp","given":"Jennifer L."},{"family":"Wheless","given":"James"},{"family":"Gil-Nagel","given":"Antonio"},{"family":"Krauss","given":"Gregory L."},{"family":"Crone","given":"Nathan E."}],"issued":{"date-parts":[["2024",9]]}}},{"id":948,"uris":["http://zotero.org/users/1538114/items/HAGY9KWT"],"itemData":{"id":948,"type":"article-journal","abstract":"OBJECTIVE: This study was undertaken to develop and evaluate a machine learning-based algorithm for the detection of focal to bilateral tonic-clonic seizures (FBTCS) using a novel multimodal connected shirt.\nMETHODS: We prospectively recruited patients with epilepsy admitted to our epilepsy monitoring unit and asked them to wear the connected shirt while under simultaneous video-electroencephalographic monitoring. Electrocardiographic (ECG) and accelerometric (ACC) signals recorded with the connected shirt were used for the development of the seizure detection algorithm. First, we used a sliding window to extract linear and nonlinear features from both ECG and ACC signals. Then, we trained an extreme gradient boosting algorithm (XGBoost) to detect FBTCS according to seizure onset and offset annotated by three board-certified epileptologists. Finally, we applied a postprocessing step to regularize the classification output. A patientwise nested cross-validation was implemented to evaluate the performances in terms of sensitivity, false alarm rate (FAR), time in false warning (TiW), detection latency, and receiver operating characteristic area under the curve (ROC-AUC).\nRESULTS: We recorded 66 FBTCS from 42 patients who wore the connected shirt for a total of 8067 continuous hours. The XGBoost algorithm reached a sensitivity of 84.8% (56/66 seizures), with a median FAR of .55/24 h and a median TiW of 10 s/alarm. ROC-AUC was .90 (95% confidence interval = .88-.91). Median detection latency from the time of progression to the bilateral tonic-clonic phase was 25.5 s.\nSIGNIFICANCE: The novel connected shirt allowed accurate detection of FBTCS with a low false alarm rate in a hospital setting. Prospective studies in a residential setting with a real-time and online seizure detection algorithm are required to validate the performance and usability of this device.","container-title":"Epilepsia","DOI":"10.1111/epi.18021","ISSN":"1528-1167","issue":"8","journalAbbreviation":"Epilepsia","language":"eng","page":"2280-2294","PMID":"38780375","source":"PubMed","title":"Detection of focal to bilateral tonic-clonic seizures using a connected shirt","volume":"65","author":[{"family":"Gharbi","given":"Oumayma"},{"family":"Lamrani","given":"Yassine"},{"family":"St-Jean","given":"Jérôme"},{"family":"Jahani","given":"Amirhossein"},{"family":"Toffa","given":"Dènahin Hinnoutondji"},{"family":"Tran","given":"Thi Phuoc Yen"},{"family":"Robert","given":"Manon"},{"family":"Nguyen","given":"Dang Khoa"},{"family":"Bou Assi","given":"Elie"}],"issued":{"date-parts":[["2024",8]]}}}],"schema":"https://github.com/citation-style-language/schema/raw/master/csl-citation.json"} </w:instrText>
      </w:r>
      <w:r w:rsidR="002C1495">
        <w:fldChar w:fldCharType="separate"/>
      </w:r>
      <w:r w:rsidR="006A2419" w:rsidRPr="006A2419">
        <w:rPr>
          <w:rFonts w:eastAsiaTheme="minorEastAsia" w:cs="Times New Roman"/>
          <w:szCs w:val="24"/>
          <w:vertAlign w:val="superscript"/>
        </w:rPr>
        <w:t>17–19</w:t>
      </w:r>
      <w:r w:rsidR="002C1495">
        <w:fldChar w:fldCharType="end"/>
      </w:r>
      <w:r>
        <w:t xml:space="preserve"> These estimates concern convulsive seizures and differ in setting, sample size, and FAR summary. The shirt study used cross-validation, and Apple Watch sensitivity estimates came from small seizure samples. Our separate sweeps do not predict outcomes for these devices at their paired sensitivity/FAR operating characteristics.</w:t>
      </w:r>
    </w:p>
    <w:p w14:paraId="3E260F97" w14:textId="6304DA26" w:rsidR="00B716A0" w:rsidRDefault="00656952" w:rsidP="00C73F7F">
      <w:pPr>
        <w:jc w:val="both"/>
      </w:pPr>
      <w:r>
        <w:t>CHOCOLATES simplifies real-world seizure occurrence, and its empirical calibration diaries can contain reporting errors.</w:t>
      </w:r>
      <w:r>
        <w:fldChar w:fldCharType="begin"/>
      </w:r>
      <w:r w:rsidR="00BA7AD3">
        <w:instrText xml:space="preserve"> ADDIN ZOTERO_ITEM CSL_CITATION {"citationID":"c1jhvZZ5s","properties":{"formattedCitation":"\\super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6A2419" w:rsidRPr="006A2419">
        <w:rPr>
          <w:rFonts w:eastAsiaTheme="minorEastAsia" w:cs="Times New Roman"/>
          <w:szCs w:val="24"/>
          <w:vertAlign w:val="superscript"/>
        </w:rPr>
        <w:t>12</w:t>
      </w:r>
      <w:r>
        <w:fldChar w:fldCharType="end"/>
      </w:r>
      <w:r>
        <w:t xml:space="preserve"> Treating generated events as biological truth is therefore an idealization. Daily sampling omits 12-hour and 24-hour within-day cycles, so the study cannot assess their interaction with time-dependent detector performance. Sensitivity and FAR were constant across participants and time; real detectors can have seizure-type dependence, correlated errors, non-wear, and signal loss. Expected-alarm subtraction is not event-level correction. The Appendix compares correction and interval strategies, but does not isolate the effect of zero-flooring alone. </w:t>
      </w:r>
      <w:r>
        <w:lastRenderedPageBreak/>
        <w:t>Oracle removal eliminates the FAR effect by construction and is unavailable without alarm identities. The effective long-term reference is a finite 36-month realization. Confidence intervals quantify Monte Carlo precision under the assumed model, not uncertainty in clinical generalizability.</w:t>
      </w:r>
    </w:p>
    <w:p w14:paraId="5530E753" w14:textId="77777777" w:rsidR="00B716A0" w:rsidRDefault="00C769AC" w:rsidP="00C73F7F">
      <w:pPr>
        <w:jc w:val="both"/>
      </w:pPr>
      <w:r>
        <w:t>Seizure detection devices may make epilepsy trials more objective, but they also make trial statistics depend nonlinearly on detector performance, correction, and eligibility. Observed RTM and apparent placebo response should therefore be evaluated jointly with sensitivity and FAR whenever device-derived counts are used for epilepsy trial eligibility or endpoints.</w:t>
      </w:r>
    </w:p>
    <w:p w14:paraId="50274254" w14:textId="77777777" w:rsidR="00B716A0" w:rsidRDefault="00C769AC" w:rsidP="00C73F7F">
      <w:pPr>
        <w:pStyle w:val="Heading1"/>
        <w:jc w:val="both"/>
        <w:pBdr>
          <w:top w:val="single" w:sz="4" w:space="6" w:color="808080"/>
          <w:left w:val="single" w:sz="4" w:space="6" w:color="808080"/>
          <w:bottom w:val="single" w:sz="4" w:space="6" w:color="808080"/>
          <w:right w:val="single" w:sz="4" w:space="6" w:color="808080"/>
        </w:pBdr>
        <w:shd w:val="clear" w:fill="F2F2F2"/>
      </w:pPr>
      <w:r>
        <w:t>Key points</w:t>
      </w:r>
    </w:p>
    <w:p w14:paraId="0D286EEE" w14:textId="77777777" w:rsidR="00B716A0" w:rsidRDefault="00C769AC" w:rsidP="00C73F7F">
      <w:pPr>
        <w:jc w:val="both"/>
        <w:pBdr>
          <w:top w:val="single" w:sz="4" w:space="6" w:color="808080"/>
          <w:left w:val="single" w:sz="4" w:space="6" w:color="808080"/>
          <w:bottom w:val="single" w:sz="4" w:space="6" w:color="808080"/>
          <w:right w:val="single" w:sz="4" w:space="6" w:color="808080"/>
        </w:pBdr>
        <w:shd w:val="clear" w:fill="F2F2F2"/>
      </w:pPr>
      <w:r>
        <w:t>• In these simulations, detector errors changed trial eligibility and apparent placebo response.</w:t>
      </w:r>
    </w:p>
    <w:p w14:paraId="63344ED7" w14:textId="77777777" w:rsidR="00B716A0" w:rsidRDefault="00C769AC" w:rsidP="00C73F7F">
      <w:pPr>
        <w:jc w:val="both"/>
        <w:pBdr>
          <w:top w:val="single" w:sz="4" w:space="6" w:color="808080"/>
          <w:left w:val="single" w:sz="4" w:space="6" w:color="808080"/>
          <w:bottom w:val="single" w:sz="4" w:space="6" w:color="808080"/>
          <w:right w:val="single" w:sz="4" w:space="6" w:color="808080"/>
        </w:pBdr>
        <w:shd w:val="clear" w:fill="F2F2F2"/>
      </w:pPr>
      <w:r>
        <w:t>• The rising observed-RTM pattern depended on reselecting the cohort as detector performance changed.</w:t>
      </w:r>
    </w:p>
    <w:p w14:paraId="68C178A7" w14:textId="77777777" w:rsidR="00B716A0" w:rsidRDefault="00C769AC" w:rsidP="00C73F7F">
      <w:pPr>
        <w:jc w:val="both"/>
        <w:pBdr>
          <w:top w:val="single" w:sz="4" w:space="6" w:color="808080"/>
          <w:left w:val="single" w:sz="4" w:space="6" w:color="808080"/>
          <w:bottom w:val="single" w:sz="4" w:space="6" w:color="808080"/>
          <w:right w:val="single" w:sz="4" w:space="6" w:color="808080"/>
        </w:pBdr>
        <w:shd w:val="clear" w:fill="F2F2F2"/>
      </w:pPr>
      <w:r>
        <w:t>• Subtracting expected false alarms left random count error that affected trial outcomes.</w:t>
      </w:r>
    </w:p>
    <w:p w14:paraId="613E83BF" w14:textId="77777777" w:rsidR="00B716A0" w:rsidRDefault="00C769AC" w:rsidP="00C73F7F">
      <w:pPr>
        <w:jc w:val="both"/>
        <w:pBdr>
          <w:top w:val="single" w:sz="4" w:space="6" w:color="808080"/>
          <w:left w:val="single" w:sz="4" w:space="6" w:color="808080"/>
          <w:bottom w:val="single" w:sz="4" w:space="6" w:color="808080"/>
          <w:right w:val="single" w:sz="4" w:space="6" w:color="808080"/>
        </w:pBdr>
        <w:shd w:val="clear" w:fill="F2F2F2"/>
      </w:pPr>
      <w:r>
        <w:t>• The observed-RTM indicator describes trajectories without separating causal mechanisms.</w:t>
      </w:r>
    </w:p>
    <w:p w14:paraId="36511180" w14:textId="77777777" w:rsidR="00B716A0" w:rsidRDefault="00C769AC" w:rsidP="00C73F7F">
      <w:pPr>
        <w:pStyle w:val="Heading1"/>
        <w:jc w:val="both"/>
      </w:pPr>
      <w:r>
        <w:t>Acknowledgments and funding</w:t>
      </w:r>
    </w:p>
    <w:p w14:paraId="5F19308B" w14:textId="77777777" w:rsidR="00B716A0" w:rsidRDefault="00C769AC" w:rsidP="00C73F7F">
      <w:pPr>
        <w:jc w:val="both"/>
      </w:pPr>
      <w:r>
        <w:t>Daniel M. Goldenholz (DMG) was funded by the National Institutes of Health (NIH) K23NS124656, 1R21NS142800 and the American Board of Psychiatry and Neurology (ABPN). Shira R. Goldenholz and Ted J. Kaptchuk report no funding. Rohan Bhansali reports funding from NIH K23NS124656. OpenAI Codex was used to assist with coding and portions of manuscript preparation. The authors take full responsibility for the entire project including code, images, and manuscript.</w:t>
      </w:r>
    </w:p>
    <w:p w14:paraId="6468248D" w14:textId="77777777" w:rsidR="00B716A0" w:rsidRDefault="00C769AC" w:rsidP="00C73F7F">
      <w:pPr>
        <w:pStyle w:val="Heading1"/>
        <w:jc w:val="both"/>
      </w:pPr>
      <w:r>
        <w:lastRenderedPageBreak/>
        <w:t>Disclosure of conflicts of interest</w:t>
      </w:r>
    </w:p>
    <w:p w14:paraId="0A4F302F" w14:textId="77777777" w:rsidR="00B716A0" w:rsidRDefault="00C769AC" w:rsidP="00C73F7F">
      <w:pPr>
        <w:jc w:val="both"/>
      </w:pPr>
      <w:r>
        <w:t>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LivaNova, Health Advances, Duke University, Bloom Insights, and Wiley. He has received grants from NIH, ABPN, Beth Israel Deaconess Medical Center, and the Lions Club. Shira R. Goldenholz, Rohan Bhansali, Ted J. Kaptchuk, and Brandon Westover have no relevant conflicts of interest to disclose.</w:t>
      </w:r>
    </w:p>
    <w:p w14:paraId="1AF83153" w14:textId="77777777" w:rsidR="00B716A0" w:rsidRDefault="00C769AC" w:rsidP="00C73F7F">
      <w:pPr>
        <w:pStyle w:val="Heading1"/>
        <w:jc w:val="both"/>
      </w:pPr>
      <w:r>
        <w:t>Ethical publication statement</w:t>
      </w:r>
    </w:p>
    <w:p w14:paraId="3E89041C" w14:textId="77777777" w:rsidR="00B716A0" w:rsidRDefault="00C769AC" w:rsidP="00C73F7F">
      <w:pPr>
        <w:jc w:val="both"/>
      </w:pPr>
      <w:r>
        <w:t>We confirm that we have read the Journal's position on issues involved in ethical publication and affirm that this report is consistent with those guidelines.</w:t>
      </w:r>
    </w:p>
    <w:p w14:paraId="296F8089" w14:textId="77777777" w:rsidR="00B716A0" w:rsidRDefault="00C769AC" w:rsidP="00C73F7F">
      <w:pPr>
        <w:pStyle w:val="Heading1"/>
        <w:jc w:val="both"/>
      </w:pPr>
      <w:r>
        <w:t>Data and code availability</w:t>
      </w:r>
    </w:p>
    <w:p w14:paraId="35A2E3DB" w14:textId="77777777" w:rsidR="00B716A0" w:rsidRDefault="00FE788B" w:rsidP="00C73F7F">
      <w:pPr>
        <w:jc w:val="both"/>
      </w:pPr>
      <w:r>
        <w:t>The canonical script, unchanged simulator source, fixed seeds, executed main-paper and Appendix notebooks, aggregate results, tests, and validation metadata are available at https://github.com/GoldenholzLab/RTM3. The notebooks generate the manuscript figures through shared functions.</w:t>
      </w:r>
    </w:p>
    <w:p w14:paraId="450C2B77" w14:textId="77777777" w:rsidR="00B716A0" w:rsidRDefault="00C769AC" w:rsidP="00C73F7F">
      <w:pPr>
        <w:pStyle w:val="Heading1"/>
        <w:jc w:val="both"/>
      </w:pPr>
      <w:r>
        <w:t>Author contributions</w:t>
      </w:r>
    </w:p>
    <w:p w14:paraId="7EEC4513" w14:textId="77777777" w:rsidR="00B716A0" w:rsidRDefault="00C769AC" w:rsidP="00C73F7F">
      <w:pPr>
        <w:jc w:val="both"/>
      </w:pPr>
      <w:r>
        <w:t>Daniel M. Goldenholz conceived the analysis, wrote and revised the code, interpreted results, and drafted the manuscript. Rohan Bhansali, Shira R. Goldenholz, Ted J. Kaptchuk, and Brandon Westover contributed to interpretation and manuscript revision.</w:t>
      </w:r>
    </w:p>
    <w:p w14:paraId="4922E9BB" w14:textId="77777777" w:rsidR="00B716A0" w:rsidRDefault="00C769AC" w:rsidP="00C73F7F">
      <w:pPr>
        <w:jc w:val="both"/>
      </w:pPr>
      <w:r>
        <w:br w:type="page"/>
      </w:r>
    </w:p>
    <w:p w14:paraId="5B6D8020" w14:textId="77777777" w:rsidR="00B716A0" w:rsidRDefault="00C769AC" w:rsidP="00C73F7F">
      <w:pPr>
        <w:pStyle w:val="Heading1"/>
        <w:jc w:val="both"/>
      </w:pPr>
      <w:r>
        <w:lastRenderedPageBreak/>
        <w:t>References</w:t>
      </w:r>
    </w:p>
    <w:p w14:paraId="5F227F56" w14:textId="77777777" w:rsidR="00B835DC" w:rsidRPr="00B835DC" w:rsidRDefault="00C769AC" w:rsidP="00B835DC">
      <w:pPr>
        <w:pStyle w:val="Bibliography"/>
        <w:rPr>
          <w:rFonts w:eastAsiaTheme="minorEastAsia" w:cs="Times New Roman"/>
        </w:rPr>
      </w:pPr>
      <w:r>
        <w:fldChar w:fldCharType="begin"/>
      </w:r>
      <w:r w:rsidR="00B835DC">
        <w:instrText xml:space="preserve"> ADDIN ZOTERO_BIBL {"uncited":[],"omitted":[],"custom":[]} CSL_BIBLIOGRAPHY </w:instrText>
      </w:r>
      <w:r>
        <w:fldChar w:fldCharType="separate"/>
      </w:r>
      <w:r w:rsidR="00B835DC" w:rsidRPr="00B835DC">
        <w:rPr>
          <w:rFonts w:eastAsiaTheme="minorEastAsia" w:cs="Times New Roman"/>
        </w:rPr>
        <w:t xml:space="preserve">1. </w:t>
      </w:r>
      <w:r w:rsidR="00B835DC" w:rsidRPr="00B835DC">
        <w:rPr>
          <w:rFonts w:eastAsiaTheme="minorEastAsia" w:cs="Times New Roman"/>
        </w:rPr>
        <w:tab/>
        <w:t xml:space="preserve">Beniczky S, Wiebe S, Jeppesen J, Tatum WO, </w:t>
      </w:r>
      <w:proofErr w:type="spellStart"/>
      <w:r w:rsidR="00B835DC" w:rsidRPr="00B835DC">
        <w:rPr>
          <w:rFonts w:eastAsiaTheme="minorEastAsia" w:cs="Times New Roman"/>
        </w:rPr>
        <w:t>Brazdil</w:t>
      </w:r>
      <w:proofErr w:type="spellEnd"/>
      <w:r w:rsidR="00B835DC" w:rsidRPr="00B835DC">
        <w:rPr>
          <w:rFonts w:eastAsiaTheme="minorEastAsia" w:cs="Times New Roman"/>
        </w:rPr>
        <w:t xml:space="preserve"> M, Wang Y, et al. Automated seizure detection using wearable devices: A clinical practice guideline of the International League Against Epilepsy and the International Federation of Clinical Neurophysiology. Clin </w:t>
      </w:r>
      <w:proofErr w:type="spellStart"/>
      <w:r w:rsidR="00B835DC" w:rsidRPr="00B835DC">
        <w:rPr>
          <w:rFonts w:eastAsiaTheme="minorEastAsia" w:cs="Times New Roman"/>
        </w:rPr>
        <w:t>Neurophysiol</w:t>
      </w:r>
      <w:proofErr w:type="spellEnd"/>
      <w:r w:rsidR="00B835DC" w:rsidRPr="00B835DC">
        <w:rPr>
          <w:rFonts w:eastAsiaTheme="minorEastAsia" w:cs="Times New Roman"/>
        </w:rPr>
        <w:t xml:space="preserve">. 2021; 132(5):1173–84. </w:t>
      </w:r>
    </w:p>
    <w:p w14:paraId="497C01CC"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2. </w:t>
      </w:r>
      <w:r w:rsidRPr="00B835DC">
        <w:rPr>
          <w:rFonts w:eastAsiaTheme="minorEastAsia" w:cs="Times New Roman"/>
        </w:rPr>
        <w:tab/>
      </w:r>
      <w:proofErr w:type="spellStart"/>
      <w:r w:rsidRPr="00B835DC">
        <w:rPr>
          <w:rFonts w:eastAsiaTheme="minorEastAsia" w:cs="Times New Roman"/>
        </w:rPr>
        <w:t>Naganur</w:t>
      </w:r>
      <w:proofErr w:type="spellEnd"/>
      <w:r w:rsidRPr="00B835DC">
        <w:rPr>
          <w:rFonts w:eastAsiaTheme="minorEastAsia" w:cs="Times New Roman"/>
        </w:rPr>
        <w:t xml:space="preserve"> V, </w:t>
      </w:r>
      <w:proofErr w:type="spellStart"/>
      <w:r w:rsidRPr="00B835DC">
        <w:rPr>
          <w:rFonts w:eastAsiaTheme="minorEastAsia" w:cs="Times New Roman"/>
        </w:rPr>
        <w:t>Sivathamboo</w:t>
      </w:r>
      <w:proofErr w:type="spellEnd"/>
      <w:r w:rsidRPr="00B835DC">
        <w:rPr>
          <w:rFonts w:eastAsiaTheme="minorEastAsia" w:cs="Times New Roman"/>
        </w:rPr>
        <w:t xml:space="preserve"> S, Chen Z, </w:t>
      </w:r>
      <w:proofErr w:type="spellStart"/>
      <w:r w:rsidRPr="00B835DC">
        <w:rPr>
          <w:rFonts w:eastAsiaTheme="minorEastAsia" w:cs="Times New Roman"/>
        </w:rPr>
        <w:t>Kusmakar</w:t>
      </w:r>
      <w:proofErr w:type="spellEnd"/>
      <w:r w:rsidRPr="00B835DC">
        <w:rPr>
          <w:rFonts w:eastAsiaTheme="minorEastAsia" w:cs="Times New Roman"/>
        </w:rPr>
        <w:t xml:space="preserve"> S, Antonic-Baker A, O’Brien TJ, et al. Automated seizure detection with noninvasive wearable devices: A systematic review and meta-analysis. Epilepsia. 2022; 63(8):1930–41. </w:t>
      </w:r>
    </w:p>
    <w:p w14:paraId="355DDD1B"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3. </w:t>
      </w:r>
      <w:r w:rsidRPr="00B835DC">
        <w:rPr>
          <w:rFonts w:eastAsiaTheme="minorEastAsia" w:cs="Times New Roman"/>
        </w:rPr>
        <w:tab/>
        <w:t xml:space="preserve">Goldenholz DM, Karoly PJ, Viana PF, Nurse E, </w:t>
      </w:r>
      <w:proofErr w:type="spellStart"/>
      <w:r w:rsidRPr="00B835DC">
        <w:rPr>
          <w:rFonts w:eastAsiaTheme="minorEastAsia" w:cs="Times New Roman"/>
        </w:rPr>
        <w:t>Loddenkemper</w:t>
      </w:r>
      <w:proofErr w:type="spellEnd"/>
      <w:r w:rsidRPr="00B835DC">
        <w:rPr>
          <w:rFonts w:eastAsiaTheme="minorEastAsia" w:cs="Times New Roman"/>
        </w:rPr>
        <w:t xml:space="preserve"> T, Schulze-</w:t>
      </w:r>
      <w:proofErr w:type="spellStart"/>
      <w:r w:rsidRPr="00B835DC">
        <w:rPr>
          <w:rFonts w:eastAsiaTheme="minorEastAsia" w:cs="Times New Roman"/>
        </w:rPr>
        <w:t>Bonhage</w:t>
      </w:r>
      <w:proofErr w:type="spellEnd"/>
      <w:r w:rsidRPr="00B835DC">
        <w:rPr>
          <w:rFonts w:eastAsiaTheme="minorEastAsia" w:cs="Times New Roman"/>
        </w:rPr>
        <w:t xml:space="preserve"> A, et al. Minimum clinical utility standards for wearable seizure detectors: A simulation study. Epilepsia. 2024; 65(4):1017–28. </w:t>
      </w:r>
    </w:p>
    <w:p w14:paraId="6CF82128"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4. </w:t>
      </w:r>
      <w:r w:rsidRPr="00B835DC">
        <w:rPr>
          <w:rFonts w:eastAsiaTheme="minorEastAsia" w:cs="Times New Roman"/>
        </w:rPr>
        <w:tab/>
        <w:t xml:space="preserve">Goldenholz DM, Goldenholz EB, </w:t>
      </w:r>
      <w:proofErr w:type="spellStart"/>
      <w:r w:rsidRPr="00B835DC">
        <w:rPr>
          <w:rFonts w:eastAsiaTheme="minorEastAsia" w:cs="Times New Roman"/>
        </w:rPr>
        <w:t>Kaptchuk</w:t>
      </w:r>
      <w:proofErr w:type="spellEnd"/>
      <w:r w:rsidRPr="00B835DC">
        <w:rPr>
          <w:rFonts w:eastAsiaTheme="minorEastAsia" w:cs="Times New Roman"/>
        </w:rPr>
        <w:t xml:space="preserve"> TJ. Quantifying and controlling the impact of regression to the mean on randomized controlled trials in epilepsy. Epilepsia. 2023; 64(10):2635–43. </w:t>
      </w:r>
    </w:p>
    <w:p w14:paraId="061CFF42"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5. </w:t>
      </w:r>
      <w:r w:rsidRPr="00B835DC">
        <w:rPr>
          <w:rFonts w:eastAsiaTheme="minorEastAsia" w:cs="Times New Roman"/>
        </w:rPr>
        <w:tab/>
        <w:t xml:space="preserve">Goldenholz DM, Moss R, Scott J, Auh S, Theodore WH. Confusing placebo effect with natural history in epilepsy: A big data approach. Ann Neurol. 2015; 78(3):329–36. </w:t>
      </w:r>
    </w:p>
    <w:p w14:paraId="217946E5"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6. </w:t>
      </w:r>
      <w:r w:rsidRPr="00B835DC">
        <w:rPr>
          <w:rFonts w:eastAsiaTheme="minorEastAsia" w:cs="Times New Roman"/>
        </w:rPr>
        <w:tab/>
        <w:t xml:space="preserve">Goldenholz DM, </w:t>
      </w:r>
      <w:proofErr w:type="spellStart"/>
      <w:r w:rsidRPr="00B835DC">
        <w:rPr>
          <w:rFonts w:eastAsiaTheme="minorEastAsia" w:cs="Times New Roman"/>
        </w:rPr>
        <w:t>Strashny</w:t>
      </w:r>
      <w:proofErr w:type="spellEnd"/>
      <w:r w:rsidRPr="00B835DC">
        <w:rPr>
          <w:rFonts w:eastAsiaTheme="minorEastAsia" w:cs="Times New Roman"/>
        </w:rPr>
        <w:t xml:space="preserve"> A, Cook M, Moss R, Theodore WH. A multi-dataset time-reversal approach to clinical trial placebo response and the relationship to natural variability in epilepsy. Seizure. 2017; 53:31–6. </w:t>
      </w:r>
    </w:p>
    <w:p w14:paraId="44A17058"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7. </w:t>
      </w:r>
      <w:r w:rsidRPr="00B835DC">
        <w:rPr>
          <w:rFonts w:eastAsiaTheme="minorEastAsia" w:cs="Times New Roman"/>
        </w:rPr>
        <w:tab/>
        <w:t xml:space="preserve">Romero J, Larimer P, Chang B, Goldenholz SR, Goldenholz DM. Natural variability in seizure frequency: Implications for trials and placebo. Epilepsy Res. 2020; 162:106306. </w:t>
      </w:r>
    </w:p>
    <w:p w14:paraId="005FBFCE"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8. </w:t>
      </w:r>
      <w:r w:rsidRPr="00B835DC">
        <w:rPr>
          <w:rFonts w:eastAsiaTheme="minorEastAsia" w:cs="Times New Roman"/>
        </w:rPr>
        <w:tab/>
        <w:t xml:space="preserve">Klodowski DA, Goldenholz SR, Goldenholz DM. Epilepsy and Placebo: A Literature Review. Neurol Clin. 2026; 44(1):77–89. </w:t>
      </w:r>
    </w:p>
    <w:p w14:paraId="744E0186"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9. </w:t>
      </w:r>
      <w:r w:rsidRPr="00B835DC">
        <w:rPr>
          <w:rFonts w:eastAsiaTheme="minorEastAsia" w:cs="Times New Roman"/>
        </w:rPr>
        <w:tab/>
      </w:r>
      <w:proofErr w:type="spellStart"/>
      <w:r w:rsidRPr="00B835DC">
        <w:rPr>
          <w:rFonts w:eastAsiaTheme="minorEastAsia" w:cs="Times New Roman"/>
        </w:rPr>
        <w:t>Zaccara</w:t>
      </w:r>
      <w:proofErr w:type="spellEnd"/>
      <w:r w:rsidRPr="00B835DC">
        <w:rPr>
          <w:rFonts w:eastAsiaTheme="minorEastAsia" w:cs="Times New Roman"/>
        </w:rPr>
        <w:t xml:space="preserve"> G, Giovannelli F, Schmidt D. Placebo and nocebo responses in drug trials of epilepsy. Epilepsy Behav. 2015; 43:128–34. </w:t>
      </w:r>
    </w:p>
    <w:p w14:paraId="6F9D5AA7"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10. </w:t>
      </w:r>
      <w:r w:rsidRPr="00B835DC">
        <w:rPr>
          <w:rFonts w:eastAsiaTheme="minorEastAsia" w:cs="Times New Roman"/>
        </w:rPr>
        <w:tab/>
        <w:t xml:space="preserve">Rheims S, Perucca E, </w:t>
      </w:r>
      <w:proofErr w:type="spellStart"/>
      <w:r w:rsidRPr="00B835DC">
        <w:rPr>
          <w:rFonts w:eastAsiaTheme="minorEastAsia" w:cs="Times New Roman"/>
        </w:rPr>
        <w:t>Cucherat</w:t>
      </w:r>
      <w:proofErr w:type="spellEnd"/>
      <w:r w:rsidRPr="00B835DC">
        <w:rPr>
          <w:rFonts w:eastAsiaTheme="minorEastAsia" w:cs="Times New Roman"/>
        </w:rPr>
        <w:t xml:space="preserve"> M, </w:t>
      </w:r>
      <w:proofErr w:type="spellStart"/>
      <w:r w:rsidRPr="00B835DC">
        <w:rPr>
          <w:rFonts w:eastAsiaTheme="minorEastAsia" w:cs="Times New Roman"/>
        </w:rPr>
        <w:t>Ryvlin</w:t>
      </w:r>
      <w:proofErr w:type="spellEnd"/>
      <w:r w:rsidRPr="00B835DC">
        <w:rPr>
          <w:rFonts w:eastAsiaTheme="minorEastAsia" w:cs="Times New Roman"/>
        </w:rPr>
        <w:t xml:space="preserve"> P. Factors determining response to antiepileptic drugs in randomized controlled trials. A systematic review and meta-analysis. Epilepsia. 2011; 52(2):219–33. </w:t>
      </w:r>
    </w:p>
    <w:p w14:paraId="02ABB32E"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11. </w:t>
      </w:r>
      <w:r w:rsidRPr="00B835DC">
        <w:rPr>
          <w:rFonts w:eastAsiaTheme="minorEastAsia" w:cs="Times New Roman"/>
        </w:rPr>
        <w:tab/>
        <w:t xml:space="preserve">McDonald CJ, Mazzuca SA, McCabe GP. How much of the placebo “effect” is </w:t>
      </w:r>
      <w:proofErr w:type="gramStart"/>
      <w:r w:rsidRPr="00B835DC">
        <w:rPr>
          <w:rFonts w:eastAsiaTheme="minorEastAsia" w:cs="Times New Roman"/>
        </w:rPr>
        <w:t>really statistical</w:t>
      </w:r>
      <w:proofErr w:type="gramEnd"/>
      <w:r w:rsidRPr="00B835DC">
        <w:rPr>
          <w:rFonts w:eastAsiaTheme="minorEastAsia" w:cs="Times New Roman"/>
        </w:rPr>
        <w:t xml:space="preserve"> regression? Stat Med. 1983; 2(4):417–27. </w:t>
      </w:r>
    </w:p>
    <w:p w14:paraId="10059E97"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12. </w:t>
      </w:r>
      <w:r w:rsidRPr="00B835DC">
        <w:rPr>
          <w:rFonts w:eastAsiaTheme="minorEastAsia" w:cs="Times New Roman"/>
        </w:rPr>
        <w:tab/>
        <w:t xml:space="preserve">Goldenholz DM, Westover MB. Flexible realistic simulation of seizure occurrence recapitulating statistical properties of seizure diaries. Epilepsia. 2023; 64(2):396–405. </w:t>
      </w:r>
    </w:p>
    <w:p w14:paraId="42A1C725"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13. </w:t>
      </w:r>
      <w:r w:rsidRPr="00B835DC">
        <w:rPr>
          <w:rFonts w:eastAsiaTheme="minorEastAsia" w:cs="Times New Roman"/>
        </w:rPr>
        <w:tab/>
        <w:t xml:space="preserve">Morton V, Torgerson DJ. Regression to the mean: treatment effect without the intervention. J Eval Clin </w:t>
      </w:r>
      <w:proofErr w:type="spellStart"/>
      <w:r w:rsidRPr="00B835DC">
        <w:rPr>
          <w:rFonts w:eastAsiaTheme="minorEastAsia" w:cs="Times New Roman"/>
        </w:rPr>
        <w:t>Pract</w:t>
      </w:r>
      <w:proofErr w:type="spellEnd"/>
      <w:r w:rsidRPr="00B835DC">
        <w:rPr>
          <w:rFonts w:eastAsiaTheme="minorEastAsia" w:cs="Times New Roman"/>
        </w:rPr>
        <w:t xml:space="preserve">. 2005; 11(1):59–65. </w:t>
      </w:r>
    </w:p>
    <w:p w14:paraId="5361C170" w14:textId="77777777" w:rsidR="00B835DC" w:rsidRPr="00B835DC" w:rsidRDefault="00B835DC" w:rsidP="00B835DC">
      <w:pPr>
        <w:pStyle w:val="Bibliography"/>
        <w:rPr>
          <w:rFonts w:eastAsiaTheme="minorEastAsia" w:cs="Times New Roman"/>
        </w:rPr>
      </w:pPr>
      <w:r w:rsidRPr="00B835DC">
        <w:rPr>
          <w:rFonts w:eastAsiaTheme="minorEastAsia" w:cs="Times New Roman"/>
        </w:rPr>
        <w:lastRenderedPageBreak/>
        <w:t xml:space="preserve">14. </w:t>
      </w:r>
      <w:r w:rsidRPr="00B835DC">
        <w:rPr>
          <w:rFonts w:eastAsiaTheme="minorEastAsia" w:cs="Times New Roman"/>
        </w:rPr>
        <w:tab/>
        <w:t xml:space="preserve">Chung SS, French JA, Kowalski J, Krauss GL, Lee SK, </w:t>
      </w:r>
      <w:proofErr w:type="spellStart"/>
      <w:r w:rsidRPr="00B835DC">
        <w:rPr>
          <w:rFonts w:eastAsiaTheme="minorEastAsia" w:cs="Times New Roman"/>
        </w:rPr>
        <w:t>Maciejowski</w:t>
      </w:r>
      <w:proofErr w:type="spellEnd"/>
      <w:r w:rsidRPr="00B835DC">
        <w:rPr>
          <w:rFonts w:eastAsiaTheme="minorEastAsia" w:cs="Times New Roman"/>
        </w:rPr>
        <w:t xml:space="preserve"> M, et al. Randomized phase 2 study of adjunctive </w:t>
      </w:r>
      <w:proofErr w:type="spellStart"/>
      <w:r w:rsidRPr="00B835DC">
        <w:rPr>
          <w:rFonts w:eastAsiaTheme="minorEastAsia" w:cs="Times New Roman"/>
        </w:rPr>
        <w:t>cenobamate</w:t>
      </w:r>
      <w:proofErr w:type="spellEnd"/>
      <w:r w:rsidRPr="00B835DC">
        <w:rPr>
          <w:rFonts w:eastAsiaTheme="minorEastAsia" w:cs="Times New Roman"/>
        </w:rPr>
        <w:t xml:space="preserve"> in patients with uncontrolled focal seizures. Neurology. 2020; 94(22</w:t>
      </w:r>
      <w:proofErr w:type="gramStart"/>
      <w:r w:rsidRPr="00B835DC">
        <w:rPr>
          <w:rFonts w:eastAsiaTheme="minorEastAsia" w:cs="Times New Roman"/>
        </w:rPr>
        <w:t>):e</w:t>
      </w:r>
      <w:proofErr w:type="gramEnd"/>
      <w:r w:rsidRPr="00B835DC">
        <w:rPr>
          <w:rFonts w:eastAsiaTheme="minorEastAsia" w:cs="Times New Roman"/>
        </w:rPr>
        <w:t xml:space="preserve">2311–22. </w:t>
      </w:r>
    </w:p>
    <w:p w14:paraId="6846CE36"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15. </w:t>
      </w:r>
      <w:r w:rsidRPr="00B835DC">
        <w:rPr>
          <w:rFonts w:eastAsiaTheme="minorEastAsia" w:cs="Times New Roman"/>
        </w:rPr>
        <w:tab/>
        <w:t xml:space="preserve">Krauss GL, Klein P, Brandt C, Lee SK, Milanov I, Milovanovic M, et al. Safety and efficacy of adjunctive </w:t>
      </w:r>
      <w:proofErr w:type="spellStart"/>
      <w:r w:rsidRPr="00B835DC">
        <w:rPr>
          <w:rFonts w:eastAsiaTheme="minorEastAsia" w:cs="Times New Roman"/>
        </w:rPr>
        <w:t>cenobamate</w:t>
      </w:r>
      <w:proofErr w:type="spellEnd"/>
      <w:r w:rsidRPr="00B835DC">
        <w:rPr>
          <w:rFonts w:eastAsiaTheme="minorEastAsia" w:cs="Times New Roman"/>
        </w:rPr>
        <w:t xml:space="preserve"> (YKP3089) in patients with uncontrolled focal seizures: a </w:t>
      </w:r>
      <w:proofErr w:type="spellStart"/>
      <w:r w:rsidRPr="00B835DC">
        <w:rPr>
          <w:rFonts w:eastAsiaTheme="minorEastAsia" w:cs="Times New Roman"/>
        </w:rPr>
        <w:t>multicentre</w:t>
      </w:r>
      <w:proofErr w:type="spellEnd"/>
      <w:r w:rsidRPr="00B835DC">
        <w:rPr>
          <w:rFonts w:eastAsiaTheme="minorEastAsia" w:cs="Times New Roman"/>
        </w:rPr>
        <w:t xml:space="preserve">, double-blind, </w:t>
      </w:r>
      <w:proofErr w:type="spellStart"/>
      <w:r w:rsidRPr="00B835DC">
        <w:rPr>
          <w:rFonts w:eastAsiaTheme="minorEastAsia" w:cs="Times New Roman"/>
        </w:rPr>
        <w:t>randomised</w:t>
      </w:r>
      <w:proofErr w:type="spellEnd"/>
      <w:r w:rsidRPr="00B835DC">
        <w:rPr>
          <w:rFonts w:eastAsiaTheme="minorEastAsia" w:cs="Times New Roman"/>
        </w:rPr>
        <w:t xml:space="preserve">, placebo-controlled, dose-response trial. Lancet Neurol. 2020; 19(1):38–48. </w:t>
      </w:r>
    </w:p>
    <w:p w14:paraId="7F61D65D"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16. </w:t>
      </w:r>
      <w:r w:rsidRPr="00B835DC">
        <w:rPr>
          <w:rFonts w:eastAsiaTheme="minorEastAsia" w:cs="Times New Roman"/>
        </w:rPr>
        <w:tab/>
        <w:t xml:space="preserve">Goldenholz DM, Tharayil JJ, </w:t>
      </w:r>
      <w:proofErr w:type="spellStart"/>
      <w:r w:rsidRPr="00B835DC">
        <w:rPr>
          <w:rFonts w:eastAsiaTheme="minorEastAsia" w:cs="Times New Roman"/>
        </w:rPr>
        <w:t>Kuzniecky</w:t>
      </w:r>
      <w:proofErr w:type="spellEnd"/>
      <w:r w:rsidRPr="00B835DC">
        <w:rPr>
          <w:rFonts w:eastAsiaTheme="minorEastAsia" w:cs="Times New Roman"/>
        </w:rPr>
        <w:t xml:space="preserve"> R, Karoly P, Theodore WH, Cook MJ. Simulating Clinical Trials </w:t>
      </w:r>
      <w:proofErr w:type="gramStart"/>
      <w:r w:rsidRPr="00B835DC">
        <w:rPr>
          <w:rFonts w:eastAsiaTheme="minorEastAsia" w:cs="Times New Roman"/>
        </w:rPr>
        <w:t>With</w:t>
      </w:r>
      <w:proofErr w:type="gramEnd"/>
      <w:r w:rsidRPr="00B835DC">
        <w:rPr>
          <w:rFonts w:eastAsiaTheme="minorEastAsia" w:cs="Times New Roman"/>
        </w:rPr>
        <w:t xml:space="preserve"> and Without Intracranial EEG Data. Epilepsia Open. 2017; 2(2):156–61. </w:t>
      </w:r>
    </w:p>
    <w:p w14:paraId="6769AB70"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17. </w:t>
      </w:r>
      <w:r w:rsidRPr="00B835DC">
        <w:rPr>
          <w:rFonts w:eastAsiaTheme="minorEastAsia" w:cs="Times New Roman"/>
        </w:rPr>
        <w:tab/>
        <w:t xml:space="preserve">Onorati F, Regalia G, </w:t>
      </w:r>
      <w:proofErr w:type="spellStart"/>
      <w:r w:rsidRPr="00B835DC">
        <w:rPr>
          <w:rFonts w:eastAsiaTheme="minorEastAsia" w:cs="Times New Roman"/>
        </w:rPr>
        <w:t>Caborni</w:t>
      </w:r>
      <w:proofErr w:type="spellEnd"/>
      <w:r w:rsidRPr="00B835DC">
        <w:rPr>
          <w:rFonts w:eastAsiaTheme="minorEastAsia" w:cs="Times New Roman"/>
        </w:rPr>
        <w:t xml:space="preserve"> C, Migliorini M, Bender D, Poh M-Z, et al. Multicenter clinical assessment of improved wearable multimodal convulsive seizure detectors. Epilepsia. 2017; 58(11):1870–9. </w:t>
      </w:r>
    </w:p>
    <w:p w14:paraId="5BE2D90D"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18. </w:t>
      </w:r>
      <w:r w:rsidRPr="00B835DC">
        <w:rPr>
          <w:rFonts w:eastAsiaTheme="minorEastAsia" w:cs="Times New Roman"/>
        </w:rPr>
        <w:tab/>
        <w:t>Shah S, Gonzalez Gutierrez E, Hopp JL, Wheless J, Gil-Nagel A, Krauss GL, et al. Prospective multicenter study of continuous tonic-</w:t>
      </w:r>
      <w:proofErr w:type="spellStart"/>
      <w:r w:rsidRPr="00B835DC">
        <w:rPr>
          <w:rFonts w:eastAsiaTheme="minorEastAsia" w:cs="Times New Roman"/>
        </w:rPr>
        <w:t>clonic</w:t>
      </w:r>
      <w:proofErr w:type="spellEnd"/>
      <w:r w:rsidRPr="00B835DC">
        <w:rPr>
          <w:rFonts w:eastAsiaTheme="minorEastAsia" w:cs="Times New Roman"/>
        </w:rPr>
        <w:t xml:space="preserve"> seizure monitoring on Apple Watch in epilepsy monitoring units and ambulatory environments. Epilepsy Behav. 2024; 158:109908. </w:t>
      </w:r>
    </w:p>
    <w:p w14:paraId="28ADC11C" w14:textId="77777777" w:rsidR="00B835DC" w:rsidRPr="00B835DC" w:rsidRDefault="00B835DC" w:rsidP="00B835DC">
      <w:pPr>
        <w:pStyle w:val="Bibliography"/>
        <w:rPr>
          <w:rFonts w:eastAsiaTheme="minorEastAsia" w:cs="Times New Roman"/>
        </w:rPr>
      </w:pPr>
      <w:r w:rsidRPr="00B835DC">
        <w:rPr>
          <w:rFonts w:eastAsiaTheme="minorEastAsia" w:cs="Times New Roman"/>
        </w:rPr>
        <w:t xml:space="preserve">19. </w:t>
      </w:r>
      <w:r w:rsidRPr="00B835DC">
        <w:rPr>
          <w:rFonts w:eastAsiaTheme="minorEastAsia" w:cs="Times New Roman"/>
        </w:rPr>
        <w:tab/>
        <w:t xml:space="preserve">Gharbi O, Lamrani Y, St-Jean J, Jahani A, </w:t>
      </w:r>
      <w:proofErr w:type="spellStart"/>
      <w:r w:rsidRPr="00B835DC">
        <w:rPr>
          <w:rFonts w:eastAsiaTheme="minorEastAsia" w:cs="Times New Roman"/>
        </w:rPr>
        <w:t>Toffa</w:t>
      </w:r>
      <w:proofErr w:type="spellEnd"/>
      <w:r w:rsidRPr="00B835DC">
        <w:rPr>
          <w:rFonts w:eastAsiaTheme="minorEastAsia" w:cs="Times New Roman"/>
        </w:rPr>
        <w:t xml:space="preserve"> DH, Tran TPY, et al. Detection of focal to bilateral tonic-</w:t>
      </w:r>
      <w:proofErr w:type="spellStart"/>
      <w:r w:rsidRPr="00B835DC">
        <w:rPr>
          <w:rFonts w:eastAsiaTheme="minorEastAsia" w:cs="Times New Roman"/>
        </w:rPr>
        <w:t>clonic</w:t>
      </w:r>
      <w:proofErr w:type="spellEnd"/>
      <w:r w:rsidRPr="00B835DC">
        <w:rPr>
          <w:rFonts w:eastAsiaTheme="minorEastAsia" w:cs="Times New Roman"/>
        </w:rPr>
        <w:t xml:space="preserve"> seizures using a connected shirt. Epilepsia. 2024; 65(8):2280–94. </w:t>
      </w:r>
    </w:p>
    <w:p w14:paraId="420503DE" w14:textId="2CD60C8A" w:rsidR="004661FD" w:rsidRDefault="00C769AC" w:rsidP="00B835DC">
      <w:pPr>
        <w:pStyle w:val="Bibliography"/>
      </w:pPr>
      <w:r>
        <w:fldChar w:fldCharType="end"/>
      </w:r>
    </w:p>
    <w:p w14:paraId="55722A3F" w14:textId="77777777" w:rsidR="004661FD" w:rsidRDefault="004661FD">
      <w:pPr>
        <w:spacing w:after="200" w:line="276" w:lineRule="auto"/>
      </w:pPr>
      <w:r>
        <w:br w:type="page"/>
      </w:r>
    </w:p>
    <w:p w14:paraId="17CBA17C" w14:textId="77777777" w:rsidR="00D22A82" w:rsidRDefault="00D22A82" w:rsidP="00BA7AD3">
      <w:pPr>
        <w:pStyle w:val="Bibliography"/>
      </w:pPr>
    </w:p>
    <w:p w14:paraId="79FEC96A" w14:textId="77777777" w:rsidR="00132B14" w:rsidRDefault="00132B14" w:rsidP="00C73F7F">
      <w:pPr>
        <w:jc w:val="both"/>
        <w:rPr>
          <w:b/>
        </w:rPr>
      </w:pPr>
    </w:p>
    <w:p w14:paraId="3E81F0A1" w14:textId="77777777" w:rsidR="00B3145F" w:rsidRDefault="00132B14" w:rsidP="00C73F7F">
      <w:pPr>
        <w:jc w:val="both"/>
      </w:pPr>
      <w:r>
        <w:rPr>
          <w:b/>
          <w:noProof/>
        </w:rPr>
        <w:drawing>
          <wp:inline distT="0" distB="0" distL="0" distR="0" wp14:anchorId="63E32979" wp14:editId="4F68DFB1">
            <wp:extent cx="5943600" cy="4245429"/>
            <wp:effectExtent l="0" t="0" r="0" b="0"/>
            <wp:docPr id="13476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5228" name="Picture 1347645228"/>
                    <pic:cNvPicPr/>
                  </pic:nvPicPr>
                  <pic:blipFill>
                    <a:blip r:embed="rId8"/>
                    <a:stretch>
                      <a:fillRect/>
                    </a:stretch>
                  </pic:blipFill>
                  <pic:spPr>
                    <a:xfrm>
                      <a:off x="0" y="0"/>
                      <a:ext cx="5943600" cy="4245429"/>
                    </a:xfrm>
                    <a:prstGeom prst="rect">
                      <a:avLst/>
                    </a:prstGeom>
                  </pic:spPr>
                </pic:pic>
              </a:graphicData>
            </a:graphic>
          </wp:inline>
        </w:drawing>
      </w:r>
      <w:r>
        <w:rPr>
          <w:b w:val="1"/>
        </w:rPr>
        <w:t>Figure 1.</w:t>
      </w:r>
      <w:r>
        <w:rPr>
          <w:b w:val="0"/>
        </w:rPr>
        <w:t xml:space="preserve"> Detector performance, observed regression to the mean, and apparent placebo response. A,C: sensitivity sweep at zero false alarm rate. B,D: false-alarm-rate sweep at full sensitivity. Eligibility is re-evaluated using corrected monthly count criteria, without the 25-day rule. MPC is median percentage change, positive for seizure-frequency reduction; bars are nonparametric 95% confidence intervals for the median. Dashed lines show perfect-detector MPC. Observed RTM is the study-specific trajectory indicator, not an isolated causal subtype.</w:t>
      </w:r>
    </w:p>
    <w:p w14:paraId="19F91367" w14:textId="77777777" w:rsidR="00B3145F" w:rsidRDefault="00B3145F" w:rsidP="00C73F7F">
      <w:pPr>
        <w:spacing w:after="200" w:line="276" w:lineRule="auto"/>
        <w:jc w:val="both"/>
      </w:pPr>
      <w:r>
        <w:br w:type="page"/>
      </w:r>
    </w:p>
    <w:p w14:paraId="036A11C4" w14:textId="77777777" w:rsidR="00B716A0" w:rsidRDefault="004661FD" w:rsidP="00C73F7F">
      <w:pPr>
        <w:jc w:val="both"/>
      </w:pPr>
      <w:r w:rsidRPr="004661FD">
        <w:rPr>
          <w:noProof/>
        </w:rPr>
        <w:lastRenderedPageBreak/>
        <w:drawing>
          <wp:inline distT="0" distB="0" distL="0" distR="0" wp14:anchorId="50B377E6" wp14:editId="32344FD6">
            <wp:extent cx="5943600" cy="3566160"/>
            <wp:effectExtent l="0" t="0" r="0" b="0"/>
            <wp:docPr id="4260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5965" name=""/>
                    <pic:cNvPicPr/>
                  </pic:nvPicPr>
                  <pic:blipFill>
                    <a:blip r:embed="rId9"/>
                    <a:stretch>
                      <a:fillRect/>
                    </a:stretch>
                  </pic:blipFill>
                  <pic:spPr>
                    <a:xfrm>
                      <a:off x="0" y="0"/>
                      <a:ext cx="5943600" cy="3566160"/>
                    </a:xfrm>
                    <a:prstGeom prst="rect">
                      <a:avLst/>
                    </a:prstGeom>
                  </pic:spPr>
                </pic:pic>
              </a:graphicData>
            </a:graphic>
          </wp:inline>
        </w:drawing>
      </w:r>
    </w:p>
    <w:p w14:paraId="17383A49" w14:textId="77777777" w:rsidR="00B716A0" w:rsidRDefault="00C769AC" w:rsidP="00C73F7F">
      <w:pPr>
        <w:jc w:val="both"/>
      </w:pPr>
      <w:r>
        <w:rPr>
          <w:b w:val="1"/>
        </w:rPr>
        <w:t>Figure 2.</w:t>
      </w:r>
      <w:r>
        <w:rPr>
          <w:b w:val="0"/>
        </w:rPr>
        <w:t xml:space="preserve"> Conceptual pathways linking detector error to trial outcomes. Errors can change cohort membership through baseline eligibility and change measured baseline/test trajectories. Both affect observed RTM and percentage-change outcomes. The diagram does not quantify causal components; the Appendix compares fixed and reselected cohorts using shared latent histories and detector realizations.</w:t>
      </w:r>
    </w:p>
    <w:p w14:paraId="6320D131" w14:textId="77777777" w:rsidR="00B716A0" w:rsidRDefault="00C769AC" w:rsidP="00C73F7F">
      <w:pPr>
        <w:pStyle w:val="Heading1"/>
        <w:jc w:val="both"/>
        <w:pageBreakBefore w:val="1"/>
        <w:spacing w:line="240" w:lineRule="auto" w:after="120"/>
        <w:keepLines w:val="1"/>
        <w:keepNext w:val="1"/>
      </w:pPr>
      <w:r>
        <w:t>Test Yourself</w:t>
      </w:r>
    </w:p>
    <w:p w14:paraId="7D063A5C" w14:textId="77777777" w:rsidR="00B716A0" w:rsidRDefault="00C769AC" w:rsidP="00C73F7F">
      <w:pPr>
        <w:jc w:val="both"/>
        <w:spacing w:line="240" w:lineRule="auto" w:after="120"/>
        <w:keepLines w:val="1"/>
        <w:keepNext w:val="1"/>
      </w:pPr>
      <w:r>
        <w:t>Choose the single correct answer for each question.</w:t>
      </w:r>
    </w:p>
    <w:p w14:paraId="72F9DB66" w14:textId="77777777" w:rsidR="00B716A0" w:rsidRDefault="00C769AC" w:rsidP="00C73F7F">
      <w:pPr>
        <w:jc w:val="both"/>
        <w:spacing w:line="240" w:lineRule="auto" w:after="120"/>
        <w:keepLines w:val="1"/>
        <w:keepNext w:val="1"/>
      </w:pPr>
      <w:r>
        <w:t>1. How can lower detector sensitivity affect enrollment when eligibility uses fixed measured seizure-count thresholds?</w:t>
      </w:r>
    </w:p>
    <w:p w14:paraId="7662BB2F" w14:textId="77777777" w:rsidR="00B716A0" w:rsidRDefault="00C769AC" w:rsidP="00C73F7F">
      <w:pPr>
        <w:jc w:val="both"/>
        <w:spacing w:line="240" w:lineRule="auto" w:after="120"/>
        <w:keepLines w:val="1"/>
        <w:keepNext w:val="1"/>
      </w:pPr>
      <w:r>
        <w:t>A. It preserves the same eligible participants at every sensitivity.</w:t>
      </w:r>
    </w:p>
    <w:p w14:paraId="44B3DFE7" w14:textId="77777777" w:rsidR="00B716A0" w:rsidRDefault="00C769AC" w:rsidP="00C73F7F">
      <w:pPr>
        <w:jc w:val="both"/>
        <w:spacing w:line="240" w:lineRule="auto" w:after="120"/>
        <w:keepLines w:val="1"/>
        <w:keepNext w:val="1"/>
      </w:pPr>
      <w:r>
        <w:t>B. It removes the same fraction of eligible participants at every underlying seizure rate.</w:t>
      </w:r>
    </w:p>
    <w:p w14:paraId="43A17510" w14:textId="77777777" w:rsidR="00B716A0" w:rsidRDefault="00C769AC" w:rsidP="00C73F7F">
      <w:pPr>
        <w:jc w:val="both"/>
        <w:spacing w:line="240" w:lineRule="auto" w:after="120"/>
        <w:keepLines w:val="1"/>
        <w:keepNext w:val="1"/>
      </w:pPr>
      <w:r>
        <w:t>C. It can favor higher underlying rates or unusually high measured baseline counts.</w:t>
      </w:r>
    </w:p>
    <w:p w14:paraId="2414BFFB" w14:textId="77777777" w:rsidR="00B716A0" w:rsidRDefault="00C769AC" w:rsidP="00C73F7F">
      <w:pPr>
        <w:jc w:val="both"/>
        <w:spacing w:line="240" w:lineRule="auto" w:after="120"/>
        <w:keepLines w:val="1"/>
        <w:keepNext w:val="1"/>
      </w:pPr>
      <w:r>
        <w:lastRenderedPageBreak/>
        <w:t>D. It makes eligibility depend on the test-period seizure count.</w:t>
      </w:r>
    </w:p>
    <w:p w14:paraId="4B15B981" w14:textId="77777777" w:rsidR="00B716A0" w:rsidRDefault="00C769AC" w:rsidP="00C73F7F">
      <w:pPr>
        <w:jc w:val="both"/>
        <w:spacing w:line="240" w:lineRule="auto" w:after="120"/>
        <w:keepLines w:val="1"/>
        <w:keepNext w:val="1"/>
      </w:pPr>
      <w:r>
        <w:t>E. It lowers the numerical seizure-count thresholds automatically.</w:t>
      </w:r>
    </w:p>
    <w:p w14:paraId="1B7A61FB" w14:textId="77777777" w:rsidR="00B716A0" w:rsidRDefault="00C769AC" w:rsidP="00C73F7F">
      <w:pPr>
        <w:jc w:val="both"/>
        <w:spacing w:line="240" w:lineRule="auto" w:after="120"/>
        <w:keepLines w:val="1"/>
        <w:keepNext w:val="0"/>
      </w:pPr>
      <w:r>
        <w:t>Answer: C. With fewer detected seizures, crossing a fixed threshold can favor higher underlying rates or unusually high measured baselines. A and B overlook this selection. D is incorrect because eligibility uses baseline counts. E is incorrect because the thresholds remain fixed.</w:t>
      </w:r>
    </w:p>
    <w:p w14:paraId="410DA50A" w14:textId="77777777" w:rsidR="00B716A0" w:rsidRDefault="00C769AC" w:rsidP="00C73F7F">
      <w:pPr>
        <w:jc w:val="both"/>
        <w:spacing w:line="240" w:lineRule="auto" w:after="120"/>
        <w:keepLines w:val="1"/>
        <w:keepNext w:val="1"/>
      </w:pPr>
      <w:r>
        <w:t>2. What remains after subtracting the expected number of Poisson false alarms from a monthly seizure count?</w:t>
      </w:r>
    </w:p>
    <w:p w14:paraId="438135B8" w14:textId="77777777" w:rsidR="00B716A0" w:rsidRDefault="00C769AC" w:rsidP="00C73F7F">
      <w:pPr>
        <w:jc w:val="both"/>
        <w:spacing w:line="240" w:lineRule="auto" w:after="120"/>
        <w:keepLines w:val="1"/>
        <w:keepNext w:val="1"/>
      </w:pPr>
      <w:r>
        <w:t>A. An exact count of the true seizures in that month.</w:t>
      </w:r>
    </w:p>
    <w:p w14:paraId="4EF69974" w14:textId="77777777" w:rsidR="00B716A0" w:rsidRDefault="00C769AC" w:rsidP="00C73F7F">
      <w:pPr>
        <w:jc w:val="both"/>
        <w:spacing w:line="240" w:lineRule="auto" w:after="120"/>
        <w:keepLines w:val="1"/>
        <w:keepNext w:val="1"/>
      </w:pPr>
      <w:r>
        <w:t>B. Random error from the difference between realized and expected false alarms.</w:t>
      </w:r>
    </w:p>
    <w:p w14:paraId="6569C729" w14:textId="77777777" w:rsidR="00B716A0" w:rsidRDefault="00C769AC" w:rsidP="00C73F7F">
      <w:pPr>
        <w:jc w:val="both"/>
        <w:spacing w:line="240" w:lineRule="auto" w:after="120"/>
        <w:keepLines w:val="1"/>
        <w:keepNext w:val="1"/>
      </w:pPr>
      <w:r>
        <w:t>C. A detector sensitivity of 100%.</w:t>
      </w:r>
    </w:p>
    <w:p w14:paraId="260A6FCD" w14:textId="77777777" w:rsidR="00B716A0" w:rsidRDefault="00C769AC" w:rsidP="00C73F7F">
      <w:pPr>
        <w:jc w:val="both"/>
        <w:spacing w:line="240" w:lineRule="auto" w:after="120"/>
        <w:keepLines w:val="1"/>
        <w:keepNext w:val="1"/>
      </w:pPr>
      <w:r>
        <w:t>D. The identity of each false alarm in that month.</w:t>
      </w:r>
    </w:p>
    <w:p w14:paraId="796FC145" w14:textId="77777777" w:rsidR="00B716A0" w:rsidRDefault="00C769AC" w:rsidP="00C73F7F">
      <w:pPr>
        <w:jc w:val="both"/>
        <w:spacing w:line="240" w:lineRule="auto" w:after="120"/>
        <w:keepLines w:val="1"/>
        <w:keepNext w:val="1"/>
      </w:pPr>
      <w:r>
        <w:t>E. A guarantee that baseline eligibility is unaffected by false alarms.</w:t>
      </w:r>
    </w:p>
    <w:p w14:paraId="4F565DF1" w14:textId="77777777" w:rsidR="00B716A0" w:rsidRDefault="00C769AC" w:rsidP="00C73F7F">
      <w:pPr>
        <w:jc w:val="both"/>
        <w:spacing w:line="240" w:lineRule="auto" w:after="120"/>
        <w:keepLines w:val="1"/>
        <w:keepNext w:val="0"/>
      </w:pPr>
      <w:r>
        <w:t>Answer: B. Realized false alarms vary around their expectation, leaving that random difference after subtraction. A and D require knowing which events were false. The correction does not restore missed seizures, so C is incorrect. Residual error can change eligibility, making E incorrect. Setting negative corrected counts to zero can also introduce bias.</w:t>
      </w:r>
    </w:p>
    <w:p w14:paraId="3F5EB35A" w14:textId="77777777" w:rsidR="00B716A0" w:rsidRDefault="00C769AC" w:rsidP="00C73F7F">
      <w:pPr>
        <w:jc w:val="both"/>
        <w:spacing w:line="240" w:lineRule="auto" w:after="120"/>
        <w:keepLines w:val="1"/>
        <w:keepNext w:val="1"/>
      </w:pPr>
      <w:r>
        <w:t>3. Which pattern meets this study's observed regression-to-the-mean definition?</w:t>
      </w:r>
    </w:p>
    <w:p w14:paraId="2F136481" w14:textId="77777777" w:rsidR="00B716A0" w:rsidRDefault="00C769AC" w:rsidP="00C73F7F">
      <w:pPr>
        <w:jc w:val="both"/>
        <w:spacing w:line="240" w:lineRule="auto" w:after="120"/>
        <w:keepLines w:val="1"/>
        <w:keepNext w:val="1"/>
      </w:pPr>
      <w:r>
        <w:t>A. Any decrease in measured seizure frequency after baseline.</w:t>
      </w:r>
    </w:p>
    <w:p w14:paraId="1603766B" w14:textId="77777777" w:rsidR="00B716A0" w:rsidRDefault="00C769AC" w:rsidP="00C73F7F">
      <w:pPr>
        <w:jc w:val="both"/>
        <w:spacing w:line="240" w:lineRule="auto" w:after="120"/>
        <w:keepLines w:val="1"/>
        <w:keepNext w:val="1"/>
      </w:pPr>
      <w:r>
        <w:t>B. A reduction of at least 50% from baseline.</w:t>
      </w:r>
    </w:p>
    <w:p w14:paraId="1DE29A46" w14:textId="77777777" w:rsidR="00B716A0" w:rsidRDefault="00C769AC" w:rsidP="00C73F7F">
      <w:pPr>
        <w:jc w:val="both"/>
        <w:spacing w:line="240" w:lineRule="auto" w:after="120"/>
        <w:keepLines w:val="1"/>
        <w:keepNext w:val="1"/>
      </w:pPr>
      <w:r>
        <w:t>C. A difference between randomized drug and placebo groups.</w:t>
      </w:r>
    </w:p>
    <w:p w14:paraId="19453A23" w14:textId="77777777" w:rsidR="00B716A0" w:rsidRDefault="00C769AC" w:rsidP="00C73F7F">
      <w:pPr>
        <w:jc w:val="both"/>
        <w:spacing w:line="240" w:lineRule="auto" w:after="120"/>
        <w:keepLines w:val="1"/>
        <w:keepNext w:val="1"/>
      </w:pPr>
      <w:r>
        <w:t>D. An improvement caused solely by detector error.</w:t>
      </w:r>
    </w:p>
    <w:p w14:paraId="0FD407DE" w14:textId="77777777" w:rsidR="00B716A0" w:rsidRDefault="00C769AC" w:rsidP="00C73F7F">
      <w:pPr>
        <w:jc w:val="both"/>
        <w:spacing w:line="240" w:lineRule="auto" w:after="120"/>
        <w:keepLines w:val="1"/>
        <w:keepNext w:val="1"/>
      </w:pPr>
      <w:r>
        <w:t>E. Baseline exceeds the reference frequency and the test period is closer to that reference.</w:t>
      </w:r>
    </w:p>
    <w:p w14:paraId="543E7722" w14:textId="77777777" w:rsidR="00B716A0" w:rsidRDefault="00C769AC" w:rsidP="00C73F7F">
      <w:pPr>
        <w:jc w:val="both"/>
        <w:spacing w:line="240" w:lineRule="auto" w:after="120"/>
        <w:keepLines w:val="1"/>
        <w:keepNext w:val="0"/>
      </w:pPr>
      <w:r>
        <w:lastRenderedPageBreak/>
        <w:t>Answer: E. The indicator compares baseline and test frequencies with the detector-scale effective long-term reference. A and B do not require movement closer to that reference. C describes a treatment comparison. D is a causal attribution that the indicator does not establish.</w:t>
      </w:r>
    </w:p>
    <w:sectPr w:rsidR="00B716A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A3C56" w14:textId="77777777" w:rsidR="00590F6F" w:rsidRDefault="00590F6F">
      <w:pPr>
        <w:spacing w:line="240" w:lineRule="auto"/>
      </w:pPr>
      <w:r>
        <w:separator/>
      </w:r>
    </w:p>
  </w:endnote>
  <w:endnote w:type="continuationSeparator" w:id="0">
    <w:p w14:paraId="35D18349" w14:textId="77777777" w:rsidR="00590F6F" w:rsidRDefault="00590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EADB02" w14:textId="77777777" w:rsidR="00590F6F" w:rsidRDefault="00590F6F">
      <w:pPr>
        <w:spacing w:line="240" w:lineRule="auto"/>
      </w:pPr>
      <w:r>
        <w:separator/>
      </w:r>
    </w:p>
  </w:footnote>
  <w:footnote w:type="continuationSeparator" w:id="0">
    <w:p w14:paraId="1103866C" w14:textId="77777777" w:rsidR="00590F6F" w:rsidRDefault="00590F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67EE7" w14:textId="77777777" w:rsidR="00B716A0" w:rsidRDefault="00C769AC">
    <w:pPr>
      <w:pStyle w:val="Header"/>
      <w:jc w:val="right"/>
    </w:pPr>
    <w:r>
      <w:t xml:space="preserve">Goldenholz </w:t>
    </w:r>
    <w:r>
      <w:fldChar w:fldCharType="begin"/>
    </w:r>
    <w:r>
      <w:instrText>PAGE</w:instrText>
    </w:r>
    <w:r>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OTERO_PREF" w:val="&lt;data data-version=&quot;3&quot; zotero-version=&quot;7.0&quot;&gt;&lt;session id=&quot;s5Q6v7nwK&quot;/&gt;&lt;style id=&quot;http://www.zotero.org/styles/epilepsia&quot; hasBibliography=&quot;1&quot; bibliographyStyleHasBeenSet=&quot;1&quot;/&gt;&lt;prefs&gt;&lt;pref name=&quot;fieldType&quot; value=&quot;Field&quot;/&gt;&lt;pref name=&quot;noteType&quot; value=&quot;0&quot;/&gt;&lt;pref name=&quot;automaticJournalAbbreviations&quot; value=&quot;true&quot;/&gt;&lt;/prefs&gt;&lt;/data&gt;"/>
  </w:docVars>
  <w:rsids>
    <w:rsidRoot w:val="00B47730"/>
    <w:rsid w:val="00020DD8"/>
    <w:rsid w:val="000237A6"/>
    <w:rsid w:val="00034616"/>
    <w:rsid w:val="0006063C"/>
    <w:rsid w:val="0006413F"/>
    <w:rsid w:val="00094C69"/>
    <w:rsid w:val="000A446E"/>
    <w:rsid w:val="000A585A"/>
    <w:rsid w:val="000F67ED"/>
    <w:rsid w:val="000F7485"/>
    <w:rsid w:val="0012703A"/>
    <w:rsid w:val="00132B14"/>
    <w:rsid w:val="001371BD"/>
    <w:rsid w:val="0015074B"/>
    <w:rsid w:val="001C2691"/>
    <w:rsid w:val="001D2EDD"/>
    <w:rsid w:val="001E391F"/>
    <w:rsid w:val="0022433C"/>
    <w:rsid w:val="002246EA"/>
    <w:rsid w:val="002511C2"/>
    <w:rsid w:val="00281043"/>
    <w:rsid w:val="0028143C"/>
    <w:rsid w:val="0029639D"/>
    <w:rsid w:val="002C1495"/>
    <w:rsid w:val="002C67E7"/>
    <w:rsid w:val="00302798"/>
    <w:rsid w:val="0031669B"/>
    <w:rsid w:val="00326F90"/>
    <w:rsid w:val="0036419D"/>
    <w:rsid w:val="0039267F"/>
    <w:rsid w:val="003B049C"/>
    <w:rsid w:val="003B6D87"/>
    <w:rsid w:val="003C6E47"/>
    <w:rsid w:val="00410C54"/>
    <w:rsid w:val="00423B00"/>
    <w:rsid w:val="004336D8"/>
    <w:rsid w:val="00451541"/>
    <w:rsid w:val="00453510"/>
    <w:rsid w:val="004661FD"/>
    <w:rsid w:val="004A0808"/>
    <w:rsid w:val="004A4386"/>
    <w:rsid w:val="004C60D6"/>
    <w:rsid w:val="004E7B9E"/>
    <w:rsid w:val="00502E75"/>
    <w:rsid w:val="00533707"/>
    <w:rsid w:val="005906A0"/>
    <w:rsid w:val="00590F6F"/>
    <w:rsid w:val="005B2A7A"/>
    <w:rsid w:val="005C2A56"/>
    <w:rsid w:val="005E453F"/>
    <w:rsid w:val="005F7694"/>
    <w:rsid w:val="006046BD"/>
    <w:rsid w:val="006160E1"/>
    <w:rsid w:val="00650D29"/>
    <w:rsid w:val="00656952"/>
    <w:rsid w:val="00661415"/>
    <w:rsid w:val="00663183"/>
    <w:rsid w:val="00691C36"/>
    <w:rsid w:val="006A2419"/>
    <w:rsid w:val="006F416A"/>
    <w:rsid w:val="00746FE8"/>
    <w:rsid w:val="00763418"/>
    <w:rsid w:val="007B729E"/>
    <w:rsid w:val="007C4D8C"/>
    <w:rsid w:val="007F5DC9"/>
    <w:rsid w:val="00835B64"/>
    <w:rsid w:val="00870E38"/>
    <w:rsid w:val="00892BB1"/>
    <w:rsid w:val="008B673E"/>
    <w:rsid w:val="008D4600"/>
    <w:rsid w:val="008E24D4"/>
    <w:rsid w:val="009646DD"/>
    <w:rsid w:val="0096721C"/>
    <w:rsid w:val="009A15E0"/>
    <w:rsid w:val="009C6B2B"/>
    <w:rsid w:val="009D533D"/>
    <w:rsid w:val="009E75A6"/>
    <w:rsid w:val="00A129A7"/>
    <w:rsid w:val="00A22C1B"/>
    <w:rsid w:val="00A67D26"/>
    <w:rsid w:val="00A715EC"/>
    <w:rsid w:val="00A84CF2"/>
    <w:rsid w:val="00AA0E30"/>
    <w:rsid w:val="00AA1D8D"/>
    <w:rsid w:val="00AA2F74"/>
    <w:rsid w:val="00AA6000"/>
    <w:rsid w:val="00AC44B8"/>
    <w:rsid w:val="00AF6295"/>
    <w:rsid w:val="00B105D6"/>
    <w:rsid w:val="00B3145F"/>
    <w:rsid w:val="00B324C1"/>
    <w:rsid w:val="00B47730"/>
    <w:rsid w:val="00B57C8A"/>
    <w:rsid w:val="00B65514"/>
    <w:rsid w:val="00B716A0"/>
    <w:rsid w:val="00B835DC"/>
    <w:rsid w:val="00B97877"/>
    <w:rsid w:val="00BA7AD3"/>
    <w:rsid w:val="00BC0353"/>
    <w:rsid w:val="00BC0A3F"/>
    <w:rsid w:val="00BD387F"/>
    <w:rsid w:val="00C73F7F"/>
    <w:rsid w:val="00C743F1"/>
    <w:rsid w:val="00C769AC"/>
    <w:rsid w:val="00C77642"/>
    <w:rsid w:val="00CB0664"/>
    <w:rsid w:val="00CB2B7E"/>
    <w:rsid w:val="00D03B6A"/>
    <w:rsid w:val="00D17E84"/>
    <w:rsid w:val="00D22A82"/>
    <w:rsid w:val="00D22D92"/>
    <w:rsid w:val="00D46E58"/>
    <w:rsid w:val="00D50B4D"/>
    <w:rsid w:val="00DA11B8"/>
    <w:rsid w:val="00DB0A8D"/>
    <w:rsid w:val="00DB0DAB"/>
    <w:rsid w:val="00EB010A"/>
    <w:rsid w:val="00EC5FCC"/>
    <w:rsid w:val="00ED08B3"/>
    <w:rsid w:val="00ED37FA"/>
    <w:rsid w:val="00EF2082"/>
    <w:rsid w:val="00F0690A"/>
    <w:rsid w:val="00F350F1"/>
    <w:rsid w:val="00F57AC0"/>
    <w:rsid w:val="00F621FE"/>
    <w:rsid w:val="00F80D6E"/>
    <w:rsid w:val="00F84754"/>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5884A"/>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EF2082"/>
    <w:pPr>
      <w:tabs>
        <w:tab w:val="left" w:pos="500"/>
      </w:tabs>
      <w:spacing w:after="240" w:line="240" w:lineRule="auto"/>
      <w:ind w:left="504" w:hanging="504"/>
    </w:pPr>
  </w:style>
  <w:style w:type="paragraph" w:styleId="Revision">
    <w:name w:val="Revision"/>
    <w:hidden/>
    <w:uiPriority w:val="99"/>
    <w:semiHidden/>
    <w:rsid w:val="00D22D92"/>
    <w:pPr>
      <w:spacing w:after="0" w:line="240" w:lineRule="auto"/>
    </w:pPr>
    <w:rPr>
      <w:rFonts w:ascii="Times New Roman" w:eastAsia="Times New Roman" w:hAnsi="Times New Roman"/>
      <w:color w:val="000000"/>
      <w:sz w:val="24"/>
    </w:rPr>
  </w:style>
  <w:style w:type="character" w:styleId="CommentReference">
    <w:name w:val="annotation reference"/>
    <w:basedOn w:val="DefaultParagraphFont"/>
    <w:uiPriority w:val="99"/>
    <w:semiHidden/>
    <w:unhideWhenUsed/>
    <w:rsid w:val="00D22D92"/>
    <w:rPr>
      <w:sz w:val="16"/>
      <w:szCs w:val="16"/>
    </w:rPr>
  </w:style>
  <w:style w:type="paragraph" w:styleId="CommentText">
    <w:name w:val="annotation text"/>
    <w:basedOn w:val="Normal"/>
    <w:link w:val="CommentTextChar"/>
    <w:uiPriority w:val="99"/>
    <w:semiHidden/>
    <w:unhideWhenUsed/>
    <w:rsid w:val="00D22D92"/>
    <w:pPr>
      <w:spacing w:line="240" w:lineRule="auto"/>
    </w:pPr>
    <w:rPr>
      <w:sz w:val="20"/>
      <w:szCs w:val="20"/>
    </w:rPr>
  </w:style>
  <w:style w:type="character" w:customStyle="1" w:styleId="CommentTextChar">
    <w:name w:val="Comment Text Char"/>
    <w:basedOn w:val="DefaultParagraphFont"/>
    <w:link w:val="CommentText"/>
    <w:uiPriority w:val="99"/>
    <w:semiHidden/>
    <w:rsid w:val="00D22D92"/>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2D92"/>
    <w:rPr>
      <w:b/>
      <w:bCs/>
    </w:rPr>
  </w:style>
  <w:style w:type="character" w:customStyle="1" w:styleId="CommentSubjectChar">
    <w:name w:val="Comment Subject Char"/>
    <w:basedOn w:val="CommentTextChar"/>
    <w:link w:val="CommentSubject"/>
    <w:uiPriority w:val="99"/>
    <w:semiHidden/>
    <w:rsid w:val="00D22D92"/>
    <w:rPr>
      <w:rFonts w:ascii="Times New Roman" w:eastAsia="Times New Roman" w:hAnsi="Times New Roman"/>
      <w:b/>
      <w:bCs/>
      <w:color w:val="000000"/>
      <w:sz w:val="20"/>
      <w:szCs w:val="20"/>
    </w:rPr>
  </w:style>
  <w:style w:type="paragraph" w:styleId="NormalWeb">
    <w:name w:val="Normal (Web)"/>
    <w:basedOn w:val="Normal"/>
    <w:uiPriority w:val="99"/>
    <w:semiHidden/>
    <w:unhideWhenUsed/>
    <w:rsid w:val="00A22C1B"/>
    <w:pPr>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16887</Words>
  <Characters>96257</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3</cp:revision>
  <cp:lastPrinted>2026-09-15T23:01:00Z</cp:lastPrinted>
  <dcterms:created xsi:type="dcterms:W3CDTF">2026-09-15T23:01:00Z</dcterms:created>
  <dcterms:modified xsi:type="dcterms:W3CDTF">2026-09-15T23:05:00Z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zotero-version="10.0.2"&gt;&lt;session id="QFV24dXo"/&gt;&lt;style id="http://www.zotero.org/styles/epilepsia" locale="en-US" hasBibliography="1" bibliographyStyleHasBeenSet="1"/&gt;&lt;prefs&gt;&lt;pref name="fieldType" value="Field"/&gt;&lt;/prefs&gt;&lt;/data&gt;</vt:lpwstr>
  </property>
  <property fmtid="{D5CDD505-2E9C-101B-9397-08002B2CF9AE}" pid="3" name="ZOTERO_PREF_2">
    <vt:lpwstr/>
  </property>
</Properties>
</file>