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9BC9A" w14:textId="77777777" w:rsidR="00D43ABA" w:rsidRDefault="00225A7F" w:rsidP="008746D2">
      <w:pPr>
        <w:spacing w:after="0" w:line="240" w:lineRule="auto"/>
      </w:pPr>
      <w:r>
        <w:t>Dear Editors,</w:t>
      </w:r>
    </w:p>
    <w:p w14:paraId="7D49BC9B" w14:textId="77777777" w:rsidR="00D43ABA" w:rsidRDefault="00D43ABA" w:rsidP="008746D2">
      <w:pPr>
        <w:spacing w:after="0" w:line="240" w:lineRule="auto"/>
      </w:pPr>
    </w:p>
    <w:p w14:paraId="7D49BC9C" w14:textId="536D1FEC" w:rsidR="00D43ABA" w:rsidRDefault="00225A7F" w:rsidP="008746D2">
      <w:pPr>
        <w:spacing w:after="0" w:line="240" w:lineRule="auto"/>
      </w:pPr>
      <w:r>
        <w:t>Please consider our manuscript, 'Device sensitivity and false alarms can reshape regression-to-the-mean in simulated epilepsy trials', as an Original Article in Epileptic Disorders. The authors are Daniel M. Goldenholz, Shira R. Goldenholz, Rohan Bhansali, Ted J. Kaptchuk, and Brandon Westover.</w:t>
      </w:r>
    </w:p>
    <w:p w14:paraId="7D49BC9D" w14:textId="4F5C110B" w:rsidR="00D43ABA" w:rsidRDefault="00225A7F" w:rsidP="008746D2">
      <w:pPr>
        <w:spacing w:after="0" w:line="240" w:lineRule="auto"/>
      </w:pPr>
      <w:r>
        <w:t>Using simulated placebo arms, we examine how detector sensitivity and false alarms affect eligibility, observed regression to the mean, and apparent placebo response. The fixed-cohort comparison distinguishes changes in enrollment from changes in measured trajectories. The study explains why detector performance and count-correction rules matter when seizure counts determine enrollment and outcomes. The accompanying key points and educational questions address those distinctions.</w:t>
      </w:r>
    </w:p>
    <w:p w14:paraId="7D49BC9E" w14:textId="2DC50147" w:rsidR="00D43ABA" w:rsidRDefault="00225A7F" w:rsidP="008746D2">
      <w:pPr>
        <w:spacing w:after="0" w:line="240" w:lineRule="auto"/>
      </w:pPr>
      <w:r>
        <w:t>The manuscript is not under consideration by another journal. An earlier version was posted on medRxiv on August 2, 2026, DOI 10.64898/2026.07.30.26359361. The work has not been published in a peer-reviewed journal. This version contains revised simulation methods, eligibility and fixed-cohort sensitivity analyses, and reproducible figure notebooks.</w:t>
      </w:r>
    </w:p>
    <w:p w14:paraId="0E55F9A8" w14:textId="77777777" w:rsidR="00D93E32" w:rsidRDefault="00D93E32" w:rsidP="008746D2">
      <w:pPr>
        <w:spacing w:after="0" w:line="240" w:lineRule="auto"/>
      </w:pPr>
    </w:p>
    <w:p w14:paraId="7D49BCA0" w14:textId="7FC3FB9E" w:rsidR="00D43ABA" w:rsidRDefault="00225A7F" w:rsidP="008746D2">
      <w:pPr>
        <w:spacing w:after="0" w:line="240" w:lineRule="auto"/>
      </w:pPr>
      <w:r>
        <w:t>All authors have approved the submitted manuscript. We confirm that we have read the Journal's position on issues involved in ethical publication and affirm that this report is consistent with those guidelines.</w:t>
      </w:r>
    </w:p>
    <w:p w14:paraId="7D49BCA1" w14:textId="77777777" w:rsidR="00D43ABA" w:rsidRDefault="00D43ABA" w:rsidP="008746D2">
      <w:pPr>
        <w:spacing w:after="0" w:line="240" w:lineRule="auto"/>
      </w:pPr>
    </w:p>
    <w:p w14:paraId="7D49BCA3" w14:textId="5BCFA2B3" w:rsidR="00D43ABA" w:rsidRDefault="00225A7F" w:rsidP="008746D2">
      <w:pPr>
        <w:spacing w:after="0" w:line="240" w:lineRule="auto"/>
      </w:pPr>
      <w:r>
        <w:t>Sincerely,</w:t>
      </w:r>
    </w:p>
    <w:p w14:paraId="5B86D94A" w14:textId="77777777" w:rsidR="008746D2" w:rsidRDefault="008746D2" w:rsidP="008746D2">
      <w:pPr>
        <w:spacing w:after="0" w:line="240" w:lineRule="auto"/>
      </w:pPr>
    </w:p>
    <w:p w14:paraId="7D49BCA4" w14:textId="77777777" w:rsidR="00D43ABA" w:rsidRDefault="00225A7F" w:rsidP="008746D2">
      <w:pPr>
        <w:spacing w:after="0" w:line="240" w:lineRule="auto"/>
      </w:pPr>
      <w:r>
        <w:t>Daniel M. Goldenholz, MD, PhD</w:t>
      </w:r>
    </w:p>
    <w:p w14:paraId="7D49BCA5" w14:textId="77777777" w:rsidR="00D43ABA" w:rsidRDefault="00225A7F" w:rsidP="008746D2">
      <w:pPr>
        <w:spacing w:after="0" w:line="240" w:lineRule="auto"/>
      </w:pPr>
      <w:r>
        <w:t>Corresponding Author</w:t>
      </w:r>
    </w:p>
    <w:p w14:paraId="7D49BCA6" w14:textId="77777777" w:rsidR="00D43ABA" w:rsidRDefault="00225A7F" w:rsidP="008746D2">
      <w:pPr>
        <w:spacing w:after="0" w:line="240" w:lineRule="auto"/>
      </w:pPr>
      <w:r>
        <w:t>Department of Neurology, Beth Israel Deaconess Medical Center</w:t>
      </w:r>
    </w:p>
    <w:p w14:paraId="7D49BCA7" w14:textId="77777777" w:rsidR="00D43ABA" w:rsidRDefault="00225A7F" w:rsidP="008746D2">
      <w:pPr>
        <w:spacing w:after="0" w:line="240" w:lineRule="auto"/>
      </w:pPr>
      <w:r>
        <w:t>Harvard Medical School</w:t>
      </w:r>
    </w:p>
    <w:p w14:paraId="7D49BCA8" w14:textId="77777777" w:rsidR="00D43ABA" w:rsidRDefault="00225A7F" w:rsidP="008746D2">
      <w:pPr>
        <w:spacing w:after="0" w:line="240" w:lineRule="auto"/>
      </w:pPr>
      <w:r>
        <w:t>Boston, Massachusetts, USA</w:t>
      </w:r>
    </w:p>
    <w:sectPr w:rsidR="00D43AB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9"/>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43ABA"/>
    <w:rsid w:val="00225A7F"/>
    <w:rsid w:val="00231199"/>
    <w:rsid w:val="00281043"/>
    <w:rsid w:val="00553BC5"/>
    <w:rsid w:val="005B17F4"/>
    <w:rsid w:val="008746D2"/>
    <w:rsid w:val="009E75A6"/>
    <w:rsid w:val="00AC05B6"/>
    <w:rsid w:val="00B17620"/>
    <w:rsid w:val="00D11585"/>
    <w:rsid w:val="00D43ABA"/>
    <w:rsid w:val="00D93E32"/>
    <w:rsid w:val="00EC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9BC93"/>
  <w15:docId w15:val="{86B7CA14-E92B-074D-873B-F506C634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Goldenholz, Daniel M (HMFP - Neurology )</cp:lastModifiedBy>
  <cp:revision>9</cp:revision>
  <dcterms:created xsi:type="dcterms:W3CDTF">2026-06-19T23:18:00Z</dcterms:created>
  <dcterms:modified xsi:type="dcterms:W3CDTF">2026-07-14T20:12:00Z</dcterms:modified>
</cp:coreProperties>
</file>