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5B773" w14:textId="77777777" w:rsidR="001C0EE2" w:rsidRDefault="008652D7">
      <w:pPr>
        <w:spacing w:after="60"/>
        <w:jc w:val="center"/>
      </w:pPr>
      <w:r>
        <w:rPr>
          <w:b/>
          <w:sz w:val="36"/>
        </w:rPr>
        <w:t>Appendix S1</w:t>
      </w:r>
    </w:p>
    <w:p w14:paraId="544B6A1A" w14:textId="77777777" w:rsidR="001C0EE2" w:rsidRDefault="008652D7">
      <w:pPr>
        <w:spacing w:after="60"/>
        <w:jc w:val="center"/>
      </w:pPr>
      <w:r>
        <w:rPr>
          <w:b/>
          <w:sz w:val="28"/>
        </w:rPr>
        <w:t>False Positive Catamenial Epilepsy Classification: A Simulation Study</w:t>
      </w:r>
    </w:p>
    <w:p w14:paraId="6C32518B" w14:textId="77777777" w:rsidR="001C0EE2" w:rsidRDefault="008652D7">
      <w:pPr>
        <w:spacing w:after="240"/>
        <w:jc w:val="center"/>
      </w:pPr>
      <w:r>
        <w:rPr>
          <w:i/>
        </w:rPr>
        <w:t>Development and calibration of HORMONE-CYCLE and supplementary study methods</w:t>
      </w:r>
    </w:p>
    <w:p w14:paraId="616F2320"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FA37689" w14:textId="77777777" w:rsidR="00F01522" w:rsidRDefault="00F01522">
          <w:pPr>
            <w:pStyle w:val="TOCHeading"/>
          </w:pPr>
          <w:r>
            <w:t>Table of Contents</w:t>
          </w:r>
        </w:p>
        <w:p w14:paraId="3D0765E6" w14:textId="05F7A1F5"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2B0160">
              <w:rPr>
                <w:noProof/>
                <w:webHidden/>
              </w:rPr>
              <w:t>3</w:t>
            </w:r>
            <w:r w:rsidR="009344B9">
              <w:rPr>
                <w:noProof/>
                <w:webHidden/>
              </w:rPr>
              <w:fldChar w:fldCharType="end"/>
            </w:r>
          </w:hyperlink>
        </w:p>
        <w:p w14:paraId="5FDCF342" w14:textId="49AF9AA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2B0160">
              <w:rPr>
                <w:noProof/>
                <w:webHidden/>
              </w:rPr>
              <w:t>3</w:t>
            </w:r>
            <w:r>
              <w:rPr>
                <w:noProof/>
                <w:webHidden/>
              </w:rPr>
              <w:fldChar w:fldCharType="end"/>
            </w:r>
          </w:hyperlink>
        </w:p>
        <w:p w14:paraId="3A6D087D" w14:textId="44F17D8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2B0160">
              <w:rPr>
                <w:noProof/>
                <w:webHidden/>
              </w:rPr>
              <w:t>3</w:t>
            </w:r>
            <w:r>
              <w:rPr>
                <w:noProof/>
                <w:webHidden/>
              </w:rPr>
              <w:fldChar w:fldCharType="end"/>
            </w:r>
          </w:hyperlink>
        </w:p>
        <w:p w14:paraId="03EB7144" w14:textId="2C7AEB1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2B0160">
              <w:rPr>
                <w:noProof/>
                <w:webHidden/>
              </w:rPr>
              <w:t>6</w:t>
            </w:r>
            <w:r>
              <w:rPr>
                <w:noProof/>
                <w:webHidden/>
              </w:rPr>
              <w:fldChar w:fldCharType="end"/>
            </w:r>
          </w:hyperlink>
        </w:p>
        <w:p w14:paraId="7A64E69C" w14:textId="7D363D31"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2B0160">
              <w:rPr>
                <w:noProof/>
                <w:webHidden/>
              </w:rPr>
              <w:t>6</w:t>
            </w:r>
            <w:r>
              <w:rPr>
                <w:noProof/>
                <w:webHidden/>
              </w:rPr>
              <w:fldChar w:fldCharType="end"/>
            </w:r>
          </w:hyperlink>
        </w:p>
        <w:p w14:paraId="0BEFF59F" w14:textId="2CC4641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2B0160">
              <w:rPr>
                <w:noProof/>
                <w:webHidden/>
              </w:rPr>
              <w:t>6</w:t>
            </w:r>
            <w:r>
              <w:rPr>
                <w:noProof/>
                <w:webHidden/>
              </w:rPr>
              <w:fldChar w:fldCharType="end"/>
            </w:r>
          </w:hyperlink>
        </w:p>
        <w:p w14:paraId="0FAE8D7C" w14:textId="49FC1E6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2B0160">
              <w:rPr>
                <w:noProof/>
                <w:webHidden/>
              </w:rPr>
              <w:t>7</w:t>
            </w:r>
            <w:r>
              <w:rPr>
                <w:noProof/>
                <w:webHidden/>
              </w:rPr>
              <w:fldChar w:fldCharType="end"/>
            </w:r>
          </w:hyperlink>
        </w:p>
        <w:p w14:paraId="367694C8" w14:textId="7A86765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2B0160">
              <w:rPr>
                <w:noProof/>
                <w:webHidden/>
              </w:rPr>
              <w:t>8</w:t>
            </w:r>
            <w:r>
              <w:rPr>
                <w:noProof/>
                <w:webHidden/>
              </w:rPr>
              <w:fldChar w:fldCharType="end"/>
            </w:r>
          </w:hyperlink>
        </w:p>
        <w:p w14:paraId="7E36821C" w14:textId="54C21B3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2B0160">
              <w:rPr>
                <w:noProof/>
                <w:webHidden/>
              </w:rPr>
              <w:t>8</w:t>
            </w:r>
            <w:r>
              <w:rPr>
                <w:noProof/>
                <w:webHidden/>
              </w:rPr>
              <w:fldChar w:fldCharType="end"/>
            </w:r>
          </w:hyperlink>
        </w:p>
        <w:p w14:paraId="0C2A7AFD" w14:textId="4015BBBF"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2B0160">
              <w:rPr>
                <w:noProof/>
                <w:webHidden/>
              </w:rPr>
              <w:t>8</w:t>
            </w:r>
            <w:r>
              <w:rPr>
                <w:noProof/>
                <w:webHidden/>
              </w:rPr>
              <w:fldChar w:fldCharType="end"/>
            </w:r>
          </w:hyperlink>
        </w:p>
        <w:p w14:paraId="54BCF754" w14:textId="0DE74849"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2B0160">
              <w:rPr>
                <w:noProof/>
                <w:webHidden/>
              </w:rPr>
              <w:t>9</w:t>
            </w:r>
            <w:r>
              <w:rPr>
                <w:noProof/>
                <w:webHidden/>
              </w:rPr>
              <w:fldChar w:fldCharType="end"/>
            </w:r>
          </w:hyperlink>
        </w:p>
        <w:p w14:paraId="70692CED" w14:textId="7512F0AF"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2B0160">
              <w:rPr>
                <w:noProof/>
                <w:webHidden/>
              </w:rPr>
              <w:t>9</w:t>
            </w:r>
            <w:r>
              <w:rPr>
                <w:noProof/>
                <w:webHidden/>
              </w:rPr>
              <w:fldChar w:fldCharType="end"/>
            </w:r>
          </w:hyperlink>
        </w:p>
        <w:p w14:paraId="0DED7105" w14:textId="43149175"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2B0160">
              <w:rPr>
                <w:noProof/>
                <w:webHidden/>
              </w:rPr>
              <w:t>9</w:t>
            </w:r>
            <w:r>
              <w:rPr>
                <w:noProof/>
                <w:webHidden/>
              </w:rPr>
              <w:fldChar w:fldCharType="end"/>
            </w:r>
          </w:hyperlink>
        </w:p>
        <w:p w14:paraId="6915761A" w14:textId="1DAE5BCA"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2B0160">
              <w:rPr>
                <w:noProof/>
                <w:webHidden/>
              </w:rPr>
              <w:t>9</w:t>
            </w:r>
            <w:r>
              <w:rPr>
                <w:noProof/>
                <w:webHidden/>
              </w:rPr>
              <w:fldChar w:fldCharType="end"/>
            </w:r>
          </w:hyperlink>
        </w:p>
        <w:p w14:paraId="7760A081" w14:textId="3036D3EA"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2B0160">
              <w:rPr>
                <w:noProof/>
                <w:webHidden/>
              </w:rPr>
              <w:t>9</w:t>
            </w:r>
            <w:r>
              <w:rPr>
                <w:noProof/>
                <w:webHidden/>
              </w:rPr>
              <w:fldChar w:fldCharType="end"/>
            </w:r>
          </w:hyperlink>
        </w:p>
        <w:p w14:paraId="50FA65A1" w14:textId="6300171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2B0160">
              <w:rPr>
                <w:noProof/>
                <w:webHidden/>
              </w:rPr>
              <w:t>13</w:t>
            </w:r>
            <w:r>
              <w:rPr>
                <w:noProof/>
                <w:webHidden/>
              </w:rPr>
              <w:fldChar w:fldCharType="end"/>
            </w:r>
          </w:hyperlink>
        </w:p>
        <w:p w14:paraId="3119B991" w14:textId="77BFB0EF"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2B0160">
              <w:rPr>
                <w:noProof/>
                <w:webHidden/>
              </w:rPr>
              <w:t>14</w:t>
            </w:r>
            <w:r>
              <w:rPr>
                <w:noProof/>
                <w:webHidden/>
              </w:rPr>
              <w:fldChar w:fldCharType="end"/>
            </w:r>
          </w:hyperlink>
        </w:p>
        <w:p w14:paraId="42F0AE9E" w14:textId="04FE6C5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2B0160">
              <w:rPr>
                <w:noProof/>
                <w:webHidden/>
              </w:rPr>
              <w:t>14</w:t>
            </w:r>
            <w:r>
              <w:rPr>
                <w:noProof/>
                <w:webHidden/>
              </w:rPr>
              <w:fldChar w:fldCharType="end"/>
            </w:r>
          </w:hyperlink>
        </w:p>
        <w:p w14:paraId="2667AD0E" w14:textId="3E589E9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2B0160">
              <w:rPr>
                <w:noProof/>
                <w:webHidden/>
              </w:rPr>
              <w:t>14</w:t>
            </w:r>
            <w:r>
              <w:rPr>
                <w:noProof/>
                <w:webHidden/>
              </w:rPr>
              <w:fldChar w:fldCharType="end"/>
            </w:r>
          </w:hyperlink>
        </w:p>
        <w:p w14:paraId="7266BAC3" w14:textId="69D5B67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2B0160">
              <w:rPr>
                <w:noProof/>
                <w:webHidden/>
              </w:rPr>
              <w:t>17</w:t>
            </w:r>
            <w:r>
              <w:rPr>
                <w:noProof/>
                <w:webHidden/>
              </w:rPr>
              <w:fldChar w:fldCharType="end"/>
            </w:r>
          </w:hyperlink>
        </w:p>
        <w:p w14:paraId="6A17D262" w14:textId="1EA9DA1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2B0160">
              <w:rPr>
                <w:noProof/>
                <w:webHidden/>
              </w:rPr>
              <w:t>19</w:t>
            </w:r>
            <w:r>
              <w:rPr>
                <w:noProof/>
                <w:webHidden/>
              </w:rPr>
              <w:fldChar w:fldCharType="end"/>
            </w:r>
          </w:hyperlink>
        </w:p>
        <w:p w14:paraId="2EEEEA12" w14:textId="03BD6A3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2B0160">
              <w:rPr>
                <w:noProof/>
                <w:webHidden/>
              </w:rPr>
              <w:t>20</w:t>
            </w:r>
            <w:r>
              <w:rPr>
                <w:noProof/>
                <w:webHidden/>
              </w:rPr>
              <w:fldChar w:fldCharType="end"/>
            </w:r>
          </w:hyperlink>
        </w:p>
        <w:p w14:paraId="1E9680AB" w14:textId="191F71F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2B0160">
              <w:rPr>
                <w:noProof/>
                <w:webHidden/>
              </w:rPr>
              <w:t>21</w:t>
            </w:r>
            <w:r>
              <w:rPr>
                <w:noProof/>
                <w:webHidden/>
              </w:rPr>
              <w:fldChar w:fldCharType="end"/>
            </w:r>
          </w:hyperlink>
        </w:p>
        <w:p w14:paraId="0ED2E895" w14:textId="24738D4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2B0160">
              <w:rPr>
                <w:noProof/>
                <w:webHidden/>
              </w:rPr>
              <w:t>21</w:t>
            </w:r>
            <w:r>
              <w:rPr>
                <w:noProof/>
                <w:webHidden/>
              </w:rPr>
              <w:fldChar w:fldCharType="end"/>
            </w:r>
          </w:hyperlink>
        </w:p>
        <w:p w14:paraId="4C31420B" w14:textId="61E0DA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2B0160">
              <w:rPr>
                <w:noProof/>
                <w:webHidden/>
              </w:rPr>
              <w:t>23</w:t>
            </w:r>
            <w:r>
              <w:rPr>
                <w:noProof/>
                <w:webHidden/>
              </w:rPr>
              <w:fldChar w:fldCharType="end"/>
            </w:r>
          </w:hyperlink>
        </w:p>
        <w:p w14:paraId="18BF7664" w14:textId="5C1116F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2B0160">
              <w:rPr>
                <w:noProof/>
                <w:webHidden/>
              </w:rPr>
              <w:t>25</w:t>
            </w:r>
            <w:r>
              <w:rPr>
                <w:noProof/>
                <w:webHidden/>
              </w:rPr>
              <w:fldChar w:fldCharType="end"/>
            </w:r>
          </w:hyperlink>
        </w:p>
        <w:p w14:paraId="042D9E5E" w14:textId="08A3358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2B0160">
              <w:rPr>
                <w:noProof/>
                <w:webHidden/>
              </w:rPr>
              <w:t>25</w:t>
            </w:r>
            <w:r>
              <w:rPr>
                <w:noProof/>
                <w:webHidden/>
              </w:rPr>
              <w:fldChar w:fldCharType="end"/>
            </w:r>
          </w:hyperlink>
        </w:p>
        <w:p w14:paraId="65212CED" w14:textId="6E35916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2B0160">
              <w:rPr>
                <w:noProof/>
                <w:webHidden/>
              </w:rPr>
              <w:t>25</w:t>
            </w:r>
            <w:r>
              <w:rPr>
                <w:noProof/>
                <w:webHidden/>
              </w:rPr>
              <w:fldChar w:fldCharType="end"/>
            </w:r>
          </w:hyperlink>
        </w:p>
        <w:p w14:paraId="44C56374" w14:textId="5D509959"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2B0160">
              <w:rPr>
                <w:noProof/>
                <w:webHidden/>
              </w:rPr>
              <w:t>26</w:t>
            </w:r>
            <w:r>
              <w:rPr>
                <w:noProof/>
                <w:webHidden/>
              </w:rPr>
              <w:fldChar w:fldCharType="end"/>
            </w:r>
          </w:hyperlink>
        </w:p>
        <w:p w14:paraId="63852D6F" w14:textId="5532E546"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2B0160">
              <w:rPr>
                <w:noProof/>
                <w:webHidden/>
              </w:rPr>
              <w:t>26</w:t>
            </w:r>
            <w:r>
              <w:rPr>
                <w:noProof/>
                <w:webHidden/>
              </w:rPr>
              <w:fldChar w:fldCharType="end"/>
            </w:r>
          </w:hyperlink>
        </w:p>
        <w:p w14:paraId="072CE26E" w14:textId="0A829E05"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2B0160">
              <w:rPr>
                <w:noProof/>
                <w:webHidden/>
              </w:rPr>
              <w:t>27</w:t>
            </w:r>
            <w:r>
              <w:rPr>
                <w:noProof/>
                <w:webHidden/>
              </w:rPr>
              <w:fldChar w:fldCharType="end"/>
            </w:r>
          </w:hyperlink>
        </w:p>
        <w:p w14:paraId="5FF7470A" w14:textId="0E541D76"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2B0160">
              <w:rPr>
                <w:noProof/>
                <w:webHidden/>
              </w:rPr>
              <w:t>27</w:t>
            </w:r>
            <w:r>
              <w:rPr>
                <w:noProof/>
                <w:webHidden/>
              </w:rPr>
              <w:fldChar w:fldCharType="end"/>
            </w:r>
          </w:hyperlink>
        </w:p>
        <w:p w14:paraId="2C6D2380" w14:textId="19F23A3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2B0160">
              <w:rPr>
                <w:noProof/>
                <w:webHidden/>
              </w:rPr>
              <w:t>28</w:t>
            </w:r>
            <w:r>
              <w:rPr>
                <w:noProof/>
                <w:webHidden/>
              </w:rPr>
              <w:fldChar w:fldCharType="end"/>
            </w:r>
          </w:hyperlink>
        </w:p>
        <w:p w14:paraId="71F7A94F" w14:textId="72849E7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2B0160">
              <w:rPr>
                <w:noProof/>
                <w:webHidden/>
              </w:rPr>
              <w:t>29</w:t>
            </w:r>
            <w:r>
              <w:rPr>
                <w:noProof/>
                <w:webHidden/>
              </w:rPr>
              <w:fldChar w:fldCharType="end"/>
            </w:r>
          </w:hyperlink>
        </w:p>
        <w:p w14:paraId="4527244D" w14:textId="0151923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2B0160">
              <w:rPr>
                <w:noProof/>
                <w:webHidden/>
              </w:rPr>
              <w:t>30</w:t>
            </w:r>
            <w:r>
              <w:rPr>
                <w:noProof/>
                <w:webHidden/>
              </w:rPr>
              <w:fldChar w:fldCharType="end"/>
            </w:r>
          </w:hyperlink>
        </w:p>
        <w:p w14:paraId="09A86755" w14:textId="7927BFC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2B0160">
              <w:rPr>
                <w:noProof/>
                <w:webHidden/>
              </w:rPr>
              <w:t>31</w:t>
            </w:r>
            <w:r>
              <w:rPr>
                <w:noProof/>
                <w:webHidden/>
              </w:rPr>
              <w:fldChar w:fldCharType="end"/>
            </w:r>
          </w:hyperlink>
        </w:p>
        <w:p w14:paraId="1C90D4B0" w14:textId="09019DE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2B0160">
              <w:rPr>
                <w:noProof/>
                <w:webHidden/>
              </w:rPr>
              <w:t>32</w:t>
            </w:r>
            <w:r>
              <w:rPr>
                <w:noProof/>
                <w:webHidden/>
              </w:rPr>
              <w:fldChar w:fldCharType="end"/>
            </w:r>
          </w:hyperlink>
        </w:p>
        <w:p w14:paraId="7B3C2F3D" w14:textId="4D05525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2B0160">
              <w:rPr>
                <w:noProof/>
                <w:webHidden/>
              </w:rPr>
              <w:t>32</w:t>
            </w:r>
            <w:r>
              <w:rPr>
                <w:noProof/>
                <w:webHidden/>
              </w:rPr>
              <w:fldChar w:fldCharType="end"/>
            </w:r>
          </w:hyperlink>
        </w:p>
        <w:p w14:paraId="4EED260E" w14:textId="5CDA9B4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2B0160">
              <w:rPr>
                <w:noProof/>
                <w:webHidden/>
              </w:rPr>
              <w:t>38</w:t>
            </w:r>
            <w:r>
              <w:rPr>
                <w:noProof/>
                <w:webHidden/>
              </w:rPr>
              <w:fldChar w:fldCharType="end"/>
            </w:r>
          </w:hyperlink>
        </w:p>
        <w:p w14:paraId="7AD9BA54" w14:textId="2D8E4984"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2B0160">
              <w:rPr>
                <w:noProof/>
                <w:webHidden/>
              </w:rPr>
              <w:t>38</w:t>
            </w:r>
            <w:r>
              <w:rPr>
                <w:noProof/>
                <w:webHidden/>
              </w:rPr>
              <w:fldChar w:fldCharType="end"/>
            </w:r>
          </w:hyperlink>
        </w:p>
        <w:p w14:paraId="0DCE2127" w14:textId="77777777" w:rsidR="00F01522" w:rsidRDefault="00F01522">
          <w:r>
            <w:rPr>
              <w:b/>
              <w:bCs/>
              <w:noProof/>
            </w:rPr>
            <w:fldChar w:fldCharType="end"/>
          </w:r>
        </w:p>
      </w:sdtContent>
    </w:sdt>
    <w:p w14:paraId="37DA9994" w14:textId="77777777" w:rsidR="001C0EE2" w:rsidRDefault="001C0EE2"/>
    <w:p w14:paraId="58429662" w14:textId="77777777" w:rsidR="001C0EE2" w:rsidRDefault="008652D7">
      <w:r>
        <w:br w:type="page"/>
      </w:r>
    </w:p>
    <w:p w14:paraId="0D9022B8" w14:textId="77777777" w:rsidR="001C0EE2" w:rsidRDefault="008652D7">
      <w:pPr>
        <w:pStyle w:val="Heading1"/>
      </w:pPr>
      <w:bookmarkStart w:id="0" w:name="_Toc236342189"/>
      <w:r>
        <w:lastRenderedPageBreak/>
        <w:t>Chapter 1. Development of HORMONE-CYCLE</w:t>
      </w:r>
      <w:bookmarkEnd w:id="0"/>
    </w:p>
    <w:p w14:paraId="6D909CA5" w14:textId="77777777" w:rsidR="001C0EE2" w:rsidRDefault="008652D7">
      <w:pPr>
        <w:pStyle w:val="Heading2"/>
      </w:pPr>
      <w:bookmarkStart w:id="1" w:name="_Toc236342190"/>
      <w:r>
        <w:t>1.1 Purpose, scope, and intended use</w:t>
      </w:r>
      <w:bookmarkEnd w:id="1"/>
    </w:p>
    <w:p w14:paraId="5FD661CC"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E72B2B1"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513DF323" w14:textId="77777777" w:rsidR="001C0EE2" w:rsidRDefault="008652D7">
      <w:pPr>
        <w:pStyle w:val="Heading2"/>
      </w:pPr>
      <w:bookmarkStart w:id="2" w:name="_Toc236342191"/>
      <w:r>
        <w:t>1.2 Evidence review and role of each source</w:t>
      </w:r>
      <w:bookmarkEnd w:id="2"/>
    </w:p>
    <w:p w14:paraId="50A56074" w14:textId="77777777"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73721AB4"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7B77600D"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14FCE5C8" w14:textId="77777777">
        <w:trPr>
          <w:cantSplit/>
          <w:tblHeader/>
          <w:jc w:val="center"/>
        </w:trPr>
        <w:tc>
          <w:tcPr>
            <w:tcW w:w="2088" w:type="dxa"/>
            <w:shd w:val="clear" w:color="auto" w:fill="D9EAF7"/>
            <w:tcMar>
              <w:top w:w="80" w:type="dxa"/>
              <w:left w:w="100" w:type="dxa"/>
              <w:bottom w:w="80" w:type="dxa"/>
              <w:right w:w="100" w:type="dxa"/>
            </w:tcMar>
            <w:vAlign w:val="center"/>
          </w:tcPr>
          <w:p w14:paraId="2DACCBE2"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9166C00"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4C3A201B"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6CEE790F"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13A718B5"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0C6B8C95" w14:textId="77777777" w:rsidR="001C0EE2" w:rsidRDefault="008652D7">
            <w:pPr>
              <w:spacing w:after="0" w:line="240" w:lineRule="auto"/>
            </w:pPr>
            <w:r>
              <w:rPr>
                <w:b/>
                <w:sz w:val="15"/>
              </w:rPr>
              <w:t>Independence status</w:t>
            </w:r>
          </w:p>
        </w:tc>
      </w:tr>
      <w:tr w:rsidR="001C0EE2" w14:paraId="3E3244E4" w14:textId="77777777">
        <w:trPr>
          <w:cantSplit/>
          <w:jc w:val="center"/>
        </w:trPr>
        <w:tc>
          <w:tcPr>
            <w:tcW w:w="2088" w:type="dxa"/>
            <w:tcMar>
              <w:top w:w="80" w:type="dxa"/>
              <w:left w:w="100" w:type="dxa"/>
              <w:bottom w:w="80" w:type="dxa"/>
              <w:right w:w="100" w:type="dxa"/>
            </w:tcMar>
            <w:vAlign w:val="center"/>
          </w:tcPr>
          <w:p w14:paraId="4507DF3B"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A0BAF67"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0D54DB83"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0B75E2F2"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449013CA"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6653F6DC" w14:textId="77777777" w:rsidR="001C0EE2" w:rsidRDefault="008652D7">
            <w:pPr>
              <w:spacing w:after="0" w:line="240" w:lineRule="auto"/>
            </w:pPr>
            <w:r>
              <w:rPr>
                <w:sz w:val="15"/>
              </w:rPr>
              <w:t>Development source reused internally</w:t>
            </w:r>
          </w:p>
        </w:tc>
      </w:tr>
      <w:tr w:rsidR="001C0EE2" w14:paraId="3C8FC1B8" w14:textId="77777777">
        <w:trPr>
          <w:cantSplit/>
          <w:jc w:val="center"/>
        </w:trPr>
        <w:tc>
          <w:tcPr>
            <w:tcW w:w="2088" w:type="dxa"/>
            <w:tcMar>
              <w:top w:w="80" w:type="dxa"/>
              <w:left w:w="100" w:type="dxa"/>
              <w:bottom w:w="80" w:type="dxa"/>
              <w:right w:w="100" w:type="dxa"/>
            </w:tcMar>
            <w:vAlign w:val="center"/>
          </w:tcPr>
          <w:p w14:paraId="2989B90B"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238CA926"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6641DB9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791FFF5"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07151427"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4EB2CDD8" w14:textId="77777777" w:rsidR="001C0EE2" w:rsidRDefault="008652D7">
            <w:pPr>
              <w:spacing w:after="0" w:line="240" w:lineRule="auto"/>
            </w:pPr>
            <w:r>
              <w:rPr>
                <w:sz w:val="15"/>
              </w:rPr>
              <w:t>Development source reused internally</w:t>
            </w:r>
          </w:p>
        </w:tc>
      </w:tr>
      <w:tr w:rsidR="001C0EE2" w14:paraId="2E5A080C" w14:textId="77777777">
        <w:trPr>
          <w:cantSplit/>
          <w:jc w:val="center"/>
        </w:trPr>
        <w:tc>
          <w:tcPr>
            <w:tcW w:w="2088" w:type="dxa"/>
            <w:tcMar>
              <w:top w:w="80" w:type="dxa"/>
              <w:left w:w="100" w:type="dxa"/>
              <w:bottom w:w="80" w:type="dxa"/>
              <w:right w:w="100" w:type="dxa"/>
            </w:tcMar>
            <w:vAlign w:val="center"/>
          </w:tcPr>
          <w:p w14:paraId="7207790C"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23BBACF5"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71E7068C"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46F31701"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76C65BA6" w14:textId="77777777" w:rsidR="001C0EE2" w:rsidRDefault="008652D7">
            <w:pPr>
              <w:spacing w:after="0" w:line="240" w:lineRule="auto"/>
            </w:pPr>
            <w:r>
              <w:t>Fourteen anchor and four kinetic smoke checks in 16 retained diaries balanced across eight age bands</w:t>
            </w:r>
          </w:p>
        </w:tc>
        <w:tc>
          <w:tcPr>
            <w:tcW w:w="1656" w:type="dxa"/>
            <w:tcMar>
              <w:top w:w="80" w:type="dxa"/>
              <w:left w:w="100" w:type="dxa"/>
              <w:bottom w:w="80" w:type="dxa"/>
              <w:right w:w="100" w:type="dxa"/>
            </w:tcMar>
            <w:vAlign w:val="center"/>
          </w:tcPr>
          <w:p w14:paraId="32B6EACA" w14:textId="77777777" w:rsidR="001C0EE2" w:rsidRDefault="008652D7">
            <w:pPr>
              <w:spacing w:after="0" w:line="240" w:lineRule="auto"/>
            </w:pPr>
            <w:r>
              <w:rPr>
                <w:sz w:val="15"/>
              </w:rPr>
              <w:t>Development source reused in a limited internal check</w:t>
            </w:r>
          </w:p>
        </w:tc>
      </w:tr>
      <w:tr w:rsidR="001C0EE2" w14:paraId="308287FF" w14:textId="77777777">
        <w:trPr>
          <w:cantSplit/>
          <w:jc w:val="center"/>
        </w:trPr>
        <w:tc>
          <w:tcPr>
            <w:tcW w:w="2088" w:type="dxa"/>
            <w:tcMar>
              <w:top w:w="80" w:type="dxa"/>
              <w:left w:w="100" w:type="dxa"/>
              <w:bottom w:w="80" w:type="dxa"/>
              <w:right w:w="100" w:type="dxa"/>
            </w:tcMar>
            <w:vAlign w:val="center"/>
          </w:tcPr>
          <w:p w14:paraId="4EF384D5"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6F3BBC5D"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1B62595"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23CCB141"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EB8C23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0FF62EB" w14:textId="77777777" w:rsidR="001C0EE2" w:rsidRDefault="008652D7">
            <w:pPr>
              <w:spacing w:after="0" w:line="240" w:lineRule="auto"/>
            </w:pPr>
            <w:r>
              <w:rPr>
                <w:sz w:val="15"/>
              </w:rPr>
              <w:t>Context</w:t>
            </w:r>
          </w:p>
        </w:tc>
      </w:tr>
      <w:tr w:rsidR="001C0EE2" w14:paraId="07FCD2DF" w14:textId="77777777">
        <w:trPr>
          <w:cantSplit/>
          <w:jc w:val="center"/>
        </w:trPr>
        <w:tc>
          <w:tcPr>
            <w:tcW w:w="2088" w:type="dxa"/>
            <w:tcMar>
              <w:top w:w="80" w:type="dxa"/>
              <w:left w:w="100" w:type="dxa"/>
              <w:bottom w:w="80" w:type="dxa"/>
              <w:right w:w="100" w:type="dxa"/>
            </w:tcMar>
            <w:vAlign w:val="center"/>
          </w:tcPr>
          <w:p w14:paraId="1AA80513"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3AD76FA9"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5E3845A"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3459685B"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505480B"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16A9B7CC" w14:textId="77777777" w:rsidR="001C0EE2" w:rsidRDefault="008652D7">
            <w:pPr>
              <w:spacing w:after="0" w:line="240" w:lineRule="auto"/>
            </w:pPr>
            <w:r>
              <w:rPr>
                <w:sz w:val="15"/>
              </w:rPr>
              <w:t>Development sources reused internally</w:t>
            </w:r>
          </w:p>
        </w:tc>
      </w:tr>
      <w:tr w:rsidR="001C0EE2" w14:paraId="5D0B14F2" w14:textId="77777777">
        <w:trPr>
          <w:cantSplit/>
          <w:jc w:val="center"/>
        </w:trPr>
        <w:tc>
          <w:tcPr>
            <w:tcW w:w="2088" w:type="dxa"/>
            <w:tcMar>
              <w:top w:w="80" w:type="dxa"/>
              <w:left w:w="100" w:type="dxa"/>
              <w:bottom w:w="80" w:type="dxa"/>
              <w:right w:w="100" w:type="dxa"/>
            </w:tcMar>
            <w:vAlign w:val="center"/>
          </w:tcPr>
          <w:p w14:paraId="09326C9D"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6E7D6DF7"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CF0A00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16372932"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D342D0B"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5B0DC95" w14:textId="77777777" w:rsidR="001C0EE2" w:rsidRDefault="008652D7">
            <w:pPr>
              <w:spacing w:after="0" w:line="240" w:lineRule="auto"/>
            </w:pPr>
            <w:r>
              <w:rPr>
                <w:sz w:val="15"/>
              </w:rPr>
              <w:t>Later corroboration</w:t>
            </w:r>
          </w:p>
        </w:tc>
      </w:tr>
      <w:tr w:rsidR="001C0EE2" w14:paraId="69554EFE" w14:textId="77777777">
        <w:trPr>
          <w:cantSplit/>
          <w:jc w:val="center"/>
        </w:trPr>
        <w:tc>
          <w:tcPr>
            <w:tcW w:w="2088" w:type="dxa"/>
            <w:tcMar>
              <w:top w:w="80" w:type="dxa"/>
              <w:left w:w="100" w:type="dxa"/>
              <w:bottom w:w="80" w:type="dxa"/>
              <w:right w:w="100" w:type="dxa"/>
            </w:tcMar>
            <w:vAlign w:val="center"/>
          </w:tcPr>
          <w:p w14:paraId="0D2F796F"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15251EA"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7E1D7FDB"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4CBEEC85"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53847CD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1CB510E1" w14:textId="77777777" w:rsidR="001C0EE2" w:rsidRDefault="008652D7">
            <w:pPr>
              <w:spacing w:after="0" w:line="240" w:lineRule="auto"/>
            </w:pPr>
            <w:r>
              <w:rPr>
                <w:sz w:val="15"/>
              </w:rPr>
              <w:t>Development source reused internally</w:t>
            </w:r>
          </w:p>
        </w:tc>
      </w:tr>
      <w:tr w:rsidR="001C0EE2" w14:paraId="1DDE559F" w14:textId="77777777">
        <w:trPr>
          <w:cantSplit/>
          <w:jc w:val="center"/>
        </w:trPr>
        <w:tc>
          <w:tcPr>
            <w:tcW w:w="2088" w:type="dxa"/>
            <w:tcMar>
              <w:top w:w="80" w:type="dxa"/>
              <w:left w:w="100" w:type="dxa"/>
              <w:bottom w:w="80" w:type="dxa"/>
              <w:right w:w="100" w:type="dxa"/>
            </w:tcMar>
            <w:vAlign w:val="center"/>
          </w:tcPr>
          <w:p w14:paraId="08C45C84"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701DD931"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4221134"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69FAE10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8972A39"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A3BA965" w14:textId="77777777" w:rsidR="001C0EE2" w:rsidRDefault="008652D7">
            <w:pPr>
              <w:spacing w:after="0" w:line="240" w:lineRule="auto"/>
            </w:pPr>
            <w:r>
              <w:rPr>
                <w:sz w:val="15"/>
              </w:rPr>
              <w:t>Later corroboration</w:t>
            </w:r>
          </w:p>
        </w:tc>
      </w:tr>
      <w:tr w:rsidR="001C0EE2" w14:paraId="5A8ABECA" w14:textId="77777777">
        <w:trPr>
          <w:cantSplit/>
          <w:jc w:val="center"/>
        </w:trPr>
        <w:tc>
          <w:tcPr>
            <w:tcW w:w="2088" w:type="dxa"/>
            <w:tcMar>
              <w:top w:w="80" w:type="dxa"/>
              <w:left w:w="100" w:type="dxa"/>
              <w:bottom w:w="80" w:type="dxa"/>
              <w:right w:w="100" w:type="dxa"/>
            </w:tcMar>
            <w:vAlign w:val="center"/>
          </w:tcPr>
          <w:p w14:paraId="758764A3"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662CC40A"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5E699304"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339E310"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2EC891CA"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5F8DB5F7" w14:textId="77777777" w:rsidR="001C0EE2" w:rsidRDefault="008652D7">
            <w:pPr>
              <w:spacing w:after="0" w:line="240" w:lineRule="auto"/>
            </w:pPr>
            <w:r>
              <w:rPr>
                <w:sz w:val="15"/>
              </w:rPr>
              <w:t>Development source reused internally</w:t>
            </w:r>
          </w:p>
        </w:tc>
      </w:tr>
      <w:tr w:rsidR="001C0EE2" w14:paraId="3BD91C35" w14:textId="77777777">
        <w:trPr>
          <w:cantSplit/>
          <w:jc w:val="center"/>
        </w:trPr>
        <w:tc>
          <w:tcPr>
            <w:tcW w:w="2088" w:type="dxa"/>
            <w:tcMar>
              <w:top w:w="80" w:type="dxa"/>
              <w:left w:w="100" w:type="dxa"/>
              <w:bottom w:w="80" w:type="dxa"/>
              <w:right w:w="100" w:type="dxa"/>
            </w:tcMar>
            <w:vAlign w:val="center"/>
          </w:tcPr>
          <w:p w14:paraId="17C6211B"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26F0B47E"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B491BA3"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3EB64290"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71245C0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AEAC6CB" w14:textId="77777777" w:rsidR="001C0EE2" w:rsidRDefault="008652D7">
            <w:pPr>
              <w:spacing w:after="0" w:line="240" w:lineRule="auto"/>
            </w:pPr>
            <w:r>
              <w:rPr>
                <w:sz w:val="15"/>
              </w:rPr>
              <w:t>Development source reused internally</w:t>
            </w:r>
          </w:p>
        </w:tc>
      </w:tr>
      <w:tr w:rsidR="001C0EE2" w14:paraId="1F91F2B4" w14:textId="77777777">
        <w:trPr>
          <w:cantSplit/>
          <w:jc w:val="center"/>
        </w:trPr>
        <w:tc>
          <w:tcPr>
            <w:tcW w:w="2088" w:type="dxa"/>
            <w:tcMar>
              <w:top w:w="80" w:type="dxa"/>
              <w:left w:w="100" w:type="dxa"/>
              <w:bottom w:w="80" w:type="dxa"/>
              <w:right w:w="100" w:type="dxa"/>
            </w:tcMar>
            <w:vAlign w:val="center"/>
          </w:tcPr>
          <w:p w14:paraId="131BFB84"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338CBDC3"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958AE4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1A224B0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30A55410"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5196C1B4" w14:textId="77777777" w:rsidR="001C0EE2" w:rsidRDefault="008652D7">
            <w:pPr>
              <w:spacing w:after="0" w:line="240" w:lineRule="auto"/>
            </w:pPr>
            <w:r>
              <w:rPr>
                <w:sz w:val="15"/>
              </w:rPr>
              <w:t>Development sources reused internally</w:t>
            </w:r>
          </w:p>
        </w:tc>
      </w:tr>
      <w:tr w:rsidR="001C0EE2" w14:paraId="3ADCB1E9" w14:textId="77777777">
        <w:trPr>
          <w:cantSplit/>
          <w:jc w:val="center"/>
        </w:trPr>
        <w:tc>
          <w:tcPr>
            <w:tcW w:w="2088" w:type="dxa"/>
            <w:tcMar>
              <w:top w:w="80" w:type="dxa"/>
              <w:left w:w="100" w:type="dxa"/>
              <w:bottom w:w="80" w:type="dxa"/>
              <w:right w:w="100" w:type="dxa"/>
            </w:tcMar>
            <w:vAlign w:val="center"/>
          </w:tcPr>
          <w:p w14:paraId="3D18B4D7"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77DE6096"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292C5B72"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25BCEF1F"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5C2E2F68"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2DD9CFE" w14:textId="77777777" w:rsidR="001C0EE2" w:rsidRDefault="008652D7">
            <w:pPr>
              <w:spacing w:after="0" w:line="240" w:lineRule="auto"/>
            </w:pPr>
            <w:r>
              <w:rPr>
                <w:sz w:val="15"/>
              </w:rPr>
              <w:t>Development context</w:t>
            </w:r>
          </w:p>
        </w:tc>
      </w:tr>
      <w:tr w:rsidR="001C0EE2" w14:paraId="3B930B42" w14:textId="77777777">
        <w:trPr>
          <w:cantSplit/>
          <w:jc w:val="center"/>
        </w:trPr>
        <w:tc>
          <w:tcPr>
            <w:tcW w:w="2088" w:type="dxa"/>
            <w:tcMar>
              <w:top w:w="80" w:type="dxa"/>
              <w:left w:w="100" w:type="dxa"/>
              <w:bottom w:w="80" w:type="dxa"/>
              <w:right w:w="100" w:type="dxa"/>
            </w:tcMar>
            <w:vAlign w:val="center"/>
          </w:tcPr>
          <w:p w14:paraId="3FA218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4888481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F420D65"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1408A546"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AB93025"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1D78BA62" w14:textId="77777777" w:rsidR="001C0EE2" w:rsidRDefault="008652D7">
            <w:pPr>
              <w:spacing w:after="0" w:line="240" w:lineRule="auto"/>
            </w:pPr>
            <w:r>
              <w:rPr>
                <w:sz w:val="15"/>
              </w:rPr>
              <w:t>Later corroboration</w:t>
            </w:r>
          </w:p>
        </w:tc>
      </w:tr>
      <w:tr w:rsidR="001C0EE2" w14:paraId="1EBF654A" w14:textId="77777777">
        <w:trPr>
          <w:cantSplit/>
          <w:jc w:val="center"/>
        </w:trPr>
        <w:tc>
          <w:tcPr>
            <w:tcW w:w="2088" w:type="dxa"/>
            <w:tcMar>
              <w:top w:w="80" w:type="dxa"/>
              <w:left w:w="100" w:type="dxa"/>
              <w:bottom w:w="80" w:type="dxa"/>
              <w:right w:w="100" w:type="dxa"/>
            </w:tcMar>
            <w:vAlign w:val="center"/>
          </w:tcPr>
          <w:p w14:paraId="1323ABA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5A7D2D3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0F3C6103"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1A627540"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4E38E4D4"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77AF64EA" w14:textId="77777777" w:rsidR="001C0EE2" w:rsidRDefault="008652D7">
            <w:pPr>
              <w:spacing w:after="0" w:line="240" w:lineRule="auto"/>
            </w:pPr>
            <w:r>
              <w:rPr>
                <w:sz w:val="15"/>
              </w:rPr>
              <w:t>Development source reused internally</w:t>
            </w:r>
          </w:p>
        </w:tc>
      </w:tr>
    </w:tbl>
    <w:p w14:paraId="2F9D7A29" w14:textId="77777777" w:rsidR="001C0EE2" w:rsidRDefault="001C0EE2">
      <w:pPr>
        <w:spacing w:after="0"/>
      </w:pPr>
    </w:p>
    <w:p w14:paraId="47644C2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DCAB5DB" w14:textId="77777777" w:rsidR="001C0EE2" w:rsidRDefault="008652D7">
      <w:pPr>
        <w:pStyle w:val="Heading2"/>
      </w:pPr>
      <w:bookmarkStart w:id="3" w:name="_Toc236342192"/>
      <w:r>
        <w:lastRenderedPageBreak/>
        <w:t>1.3 Workflow and data hierarchy</w:t>
      </w:r>
      <w:bookmarkEnd w:id="3"/>
    </w:p>
    <w:p w14:paraId="14AF8128"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2BFA92E8"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46E28AAC" w14:textId="77777777" w:rsidR="001C0EE2" w:rsidRDefault="008652D7">
      <w:pPr>
        <w:pStyle w:val="Heading3"/>
      </w:pPr>
      <w:bookmarkStart w:id="4" w:name="_Toc236342193"/>
      <w:r>
        <w:t>1.3.1 Inputs and outputs</w:t>
      </w:r>
      <w:bookmarkEnd w:id="4"/>
    </w:p>
    <w:p w14:paraId="7BEED1C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13F1E130" w14:textId="77777777" w:rsidR="001C0EE2" w:rsidRDefault="008652D7">
      <w:pPr>
        <w:pStyle w:val="Heading2"/>
      </w:pPr>
      <w:bookmarkStart w:id="5" w:name="_Toc236342194"/>
      <w:r>
        <w:t>1.4 Age-specific patient-level parameters</w:t>
      </w:r>
      <w:bookmarkEnd w:id="5"/>
    </w:p>
    <w:p w14:paraId="41589C85" w14:textId="77777777"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7F7968FD" w14:textId="77777777" w:rsidR="001C0EE2" w:rsidRDefault="008652D7">
      <w:pPr>
        <w:keepNext/>
        <w:keepLines/>
        <w:tabs>
          <w:tab w:val="center" w:pos="4680"/>
          <w:tab w:val="right" w:pos="9360"/>
        </w:tabs>
        <w:spacing w:before="100" w:after="140"/>
      </w:pPr>
      <w:r>
        <w:t>[[EQUATION:cycle_irregularity]]</w:t>
      </w:r>
    </w:p>
    <w:p w14:paraId="6FBDA778" w14:textId="77777777" w:rsidR="001C0EE2" w:rsidRDefault="008652D7">
      <w:r>
        <w:t>The latent within-person standard deviation is solved numerically by bisection under the Gaussian cycle-length model. A person-specific mean is sampled around the age-band target, and a person-specific within-person standard deviation is sampled around the value obtained from </w:t>
      </w:r>
      <w:r>
        <w:t xml:space="preserve">Equation </w:t>
      </w:r>
      <w:r>
        <w:fldChar w:fldCharType="begin"/>
      </w:r>
      <w:r>
        <w:instrText xml:space="preserve"> REF Eq_cycle_irregularity \h </w:instrText>
      </w:r>
      <w:r>
        <w:fldChar w:fldCharType="separate"/>
      </w:r>
      <w:r>
        <w:t>(1)</w:t>
      </w:r>
      <w:r>
        <w:fldChar w:fldCharType="end"/>
      </w:r>
      <w:r>
        <w:t>.</w:t>
      </w:r>
    </w:p>
    <w:p w14:paraId="59CEA6A5"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14:paraId="67DBF21D" w14:textId="77777777" w:rsidR="001C0EE2" w:rsidRDefault="008652D7">
      <w:pPr>
        <w:keepNext/>
        <w:keepLines/>
        <w:tabs>
          <w:tab w:val="center" w:pos="4680"/>
          <w:tab w:val="right" w:pos="9360"/>
        </w:tabs>
        <w:spacing w:before="100" w:after="140"/>
      </w:pPr>
      <w:r>
        <w:t>[[EQUATION:lognormal_sigma]]</w:t>
      </w:r>
    </w:p>
    <w:p w14:paraId="7BE42B22" w14:textId="77777777" w:rsidR="001C0EE2" w:rsidRDefault="008652D7">
      <w:pPr>
        <w:keepNext/>
        <w:keepLines/>
        <w:tabs>
          <w:tab w:val="center" w:pos="4680"/>
          <w:tab w:val="right" w:pos="9360"/>
        </w:tabs>
        <w:spacing w:before="100" w:after="140"/>
      </w:pPr>
      <w:r>
        <w:t>[[EQUATION:lognormal_mu]]</w:t>
      </w:r>
    </w:p>
    <w:p w14:paraId="7B57A711" w14:textId="77777777" w:rsidR="001C0EE2" w:rsidRDefault="008652D7">
      <w:r>
        <w:t>These parameter choices give the lognormal multiplier an arithmetic mean of one.</w:t>
      </w:r>
    </w:p>
    <w:p w14:paraId="6CB130C8"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DCB9D9D" w14:textId="77777777">
        <w:trPr>
          <w:cantSplit/>
          <w:tblHeader/>
          <w:jc w:val="center"/>
        </w:trPr>
        <w:tc>
          <w:tcPr>
            <w:tcW w:w="1728" w:type="dxa"/>
            <w:shd w:val="clear" w:color="auto" w:fill="D9EAF7"/>
            <w:tcMar>
              <w:top w:w="80" w:type="dxa"/>
              <w:left w:w="100" w:type="dxa"/>
              <w:bottom w:w="80" w:type="dxa"/>
              <w:right w:w="100" w:type="dxa"/>
            </w:tcMar>
            <w:vAlign w:val="center"/>
          </w:tcPr>
          <w:p w14:paraId="64A9615D"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1091E9A"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5E7D069"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09333D84" w14:textId="77777777" w:rsidR="001C0EE2" w:rsidRDefault="008652D7">
            <w:pPr>
              <w:spacing w:after="0" w:line="240" w:lineRule="auto"/>
              <w:jc w:val="center"/>
            </w:pPr>
            <w:r>
              <w:rPr>
                <w:b/>
                <w:sz w:val="17"/>
              </w:rPr>
              <w:t>Baseline ovulation probability</w:t>
            </w:r>
          </w:p>
        </w:tc>
      </w:tr>
      <w:tr w:rsidR="001C0EE2" w14:paraId="240E2E5B" w14:textId="77777777">
        <w:trPr>
          <w:cantSplit/>
          <w:jc w:val="center"/>
        </w:trPr>
        <w:tc>
          <w:tcPr>
            <w:tcW w:w="1728" w:type="dxa"/>
            <w:tcMar>
              <w:top w:w="80" w:type="dxa"/>
              <w:left w:w="100" w:type="dxa"/>
              <w:bottom w:w="80" w:type="dxa"/>
              <w:right w:w="100" w:type="dxa"/>
            </w:tcMar>
            <w:vAlign w:val="center"/>
          </w:tcPr>
          <w:p w14:paraId="576A4D66"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24283931"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3626DF4C"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0C513FED" w14:textId="77777777" w:rsidR="001C0EE2" w:rsidRDefault="008652D7">
            <w:pPr>
              <w:spacing w:after="0" w:line="240" w:lineRule="auto"/>
              <w:jc w:val="center"/>
            </w:pPr>
            <w:r>
              <w:rPr>
                <w:sz w:val="17"/>
              </w:rPr>
              <w:t>0.62</w:t>
            </w:r>
          </w:p>
        </w:tc>
      </w:tr>
      <w:tr w:rsidR="001C0EE2" w14:paraId="264D8266" w14:textId="77777777">
        <w:trPr>
          <w:cantSplit/>
          <w:jc w:val="center"/>
        </w:trPr>
        <w:tc>
          <w:tcPr>
            <w:tcW w:w="1728" w:type="dxa"/>
            <w:tcMar>
              <w:top w:w="80" w:type="dxa"/>
              <w:left w:w="100" w:type="dxa"/>
              <w:bottom w:w="80" w:type="dxa"/>
              <w:right w:w="100" w:type="dxa"/>
            </w:tcMar>
            <w:vAlign w:val="center"/>
          </w:tcPr>
          <w:p w14:paraId="4F1528EE"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79D0246C"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41124E00"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76473F1F" w14:textId="77777777" w:rsidR="001C0EE2" w:rsidRDefault="008652D7">
            <w:pPr>
              <w:spacing w:after="0" w:line="240" w:lineRule="auto"/>
              <w:jc w:val="center"/>
            </w:pPr>
            <w:r>
              <w:rPr>
                <w:sz w:val="17"/>
              </w:rPr>
              <w:t>0.90</w:t>
            </w:r>
          </w:p>
        </w:tc>
      </w:tr>
      <w:tr w:rsidR="001C0EE2" w14:paraId="52E183C0" w14:textId="77777777">
        <w:trPr>
          <w:cantSplit/>
          <w:jc w:val="center"/>
        </w:trPr>
        <w:tc>
          <w:tcPr>
            <w:tcW w:w="1728" w:type="dxa"/>
            <w:tcMar>
              <w:top w:w="80" w:type="dxa"/>
              <w:left w:w="100" w:type="dxa"/>
              <w:bottom w:w="80" w:type="dxa"/>
              <w:right w:w="100" w:type="dxa"/>
            </w:tcMar>
            <w:vAlign w:val="center"/>
          </w:tcPr>
          <w:p w14:paraId="06903962"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65F60C29"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2B3D7D80"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710473F5" w14:textId="77777777" w:rsidR="001C0EE2" w:rsidRDefault="008652D7">
            <w:pPr>
              <w:spacing w:after="0" w:line="240" w:lineRule="auto"/>
              <w:jc w:val="center"/>
            </w:pPr>
            <w:r>
              <w:rPr>
                <w:sz w:val="17"/>
              </w:rPr>
              <w:t>0.97</w:t>
            </w:r>
          </w:p>
        </w:tc>
      </w:tr>
      <w:tr w:rsidR="001C0EE2" w14:paraId="6205C663" w14:textId="77777777">
        <w:trPr>
          <w:cantSplit/>
          <w:jc w:val="center"/>
        </w:trPr>
        <w:tc>
          <w:tcPr>
            <w:tcW w:w="1728" w:type="dxa"/>
            <w:tcMar>
              <w:top w:w="80" w:type="dxa"/>
              <w:left w:w="100" w:type="dxa"/>
              <w:bottom w:w="80" w:type="dxa"/>
              <w:right w:w="100" w:type="dxa"/>
            </w:tcMar>
            <w:vAlign w:val="center"/>
          </w:tcPr>
          <w:p w14:paraId="30883F6F"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75F64144"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0332B389"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4B1E3C8D" w14:textId="77777777" w:rsidR="001C0EE2" w:rsidRDefault="008652D7">
            <w:pPr>
              <w:spacing w:after="0" w:line="240" w:lineRule="auto"/>
              <w:jc w:val="center"/>
            </w:pPr>
            <w:r>
              <w:rPr>
                <w:sz w:val="17"/>
              </w:rPr>
              <w:t>0.97</w:t>
            </w:r>
          </w:p>
        </w:tc>
      </w:tr>
      <w:tr w:rsidR="001C0EE2" w14:paraId="1F0EEAF1" w14:textId="77777777">
        <w:trPr>
          <w:cantSplit/>
          <w:jc w:val="center"/>
        </w:trPr>
        <w:tc>
          <w:tcPr>
            <w:tcW w:w="1728" w:type="dxa"/>
            <w:tcMar>
              <w:top w:w="80" w:type="dxa"/>
              <w:left w:w="100" w:type="dxa"/>
              <w:bottom w:w="80" w:type="dxa"/>
              <w:right w:w="100" w:type="dxa"/>
            </w:tcMar>
            <w:vAlign w:val="center"/>
          </w:tcPr>
          <w:p w14:paraId="1298BAA8"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083D67B9"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36C0C986"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1CFFDEB1" w14:textId="77777777" w:rsidR="001C0EE2" w:rsidRDefault="008652D7">
            <w:pPr>
              <w:spacing w:after="0" w:line="240" w:lineRule="auto"/>
              <w:jc w:val="center"/>
            </w:pPr>
            <w:r>
              <w:rPr>
                <w:sz w:val="17"/>
              </w:rPr>
              <w:t>0.97</w:t>
            </w:r>
          </w:p>
        </w:tc>
      </w:tr>
      <w:tr w:rsidR="001C0EE2" w14:paraId="4E3E354B" w14:textId="77777777">
        <w:trPr>
          <w:cantSplit/>
          <w:jc w:val="center"/>
        </w:trPr>
        <w:tc>
          <w:tcPr>
            <w:tcW w:w="1728" w:type="dxa"/>
            <w:tcMar>
              <w:top w:w="80" w:type="dxa"/>
              <w:left w:w="100" w:type="dxa"/>
              <w:bottom w:w="80" w:type="dxa"/>
              <w:right w:w="100" w:type="dxa"/>
            </w:tcMar>
            <w:vAlign w:val="center"/>
          </w:tcPr>
          <w:p w14:paraId="1A57F3B3"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3B2CCCD4"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40BAC0B3"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577F6B24" w14:textId="77777777" w:rsidR="001C0EE2" w:rsidRDefault="008652D7">
            <w:pPr>
              <w:spacing w:after="0" w:line="240" w:lineRule="auto"/>
              <w:jc w:val="center"/>
            </w:pPr>
            <w:r>
              <w:rPr>
                <w:sz w:val="17"/>
              </w:rPr>
              <w:t>0.97</w:t>
            </w:r>
          </w:p>
        </w:tc>
      </w:tr>
      <w:tr w:rsidR="001C0EE2" w14:paraId="2831C660" w14:textId="77777777">
        <w:trPr>
          <w:cantSplit/>
          <w:jc w:val="center"/>
        </w:trPr>
        <w:tc>
          <w:tcPr>
            <w:tcW w:w="1728" w:type="dxa"/>
            <w:tcMar>
              <w:top w:w="80" w:type="dxa"/>
              <w:left w:w="100" w:type="dxa"/>
              <w:bottom w:w="80" w:type="dxa"/>
              <w:right w:w="100" w:type="dxa"/>
            </w:tcMar>
            <w:vAlign w:val="center"/>
          </w:tcPr>
          <w:p w14:paraId="438F69B2"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6FD69745"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16762875"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4DFAC3AE" w14:textId="77777777" w:rsidR="001C0EE2" w:rsidRDefault="008652D7">
            <w:pPr>
              <w:spacing w:after="0" w:line="240" w:lineRule="auto"/>
              <w:jc w:val="center"/>
            </w:pPr>
            <w:r>
              <w:rPr>
                <w:sz w:val="17"/>
              </w:rPr>
              <w:t>0.95</w:t>
            </w:r>
          </w:p>
        </w:tc>
      </w:tr>
      <w:tr w:rsidR="001C0EE2" w14:paraId="71A01B23" w14:textId="77777777">
        <w:trPr>
          <w:cantSplit/>
          <w:jc w:val="center"/>
        </w:trPr>
        <w:tc>
          <w:tcPr>
            <w:tcW w:w="1728" w:type="dxa"/>
            <w:tcMar>
              <w:top w:w="80" w:type="dxa"/>
              <w:left w:w="100" w:type="dxa"/>
              <w:bottom w:w="80" w:type="dxa"/>
              <w:right w:w="100" w:type="dxa"/>
            </w:tcMar>
            <w:vAlign w:val="center"/>
          </w:tcPr>
          <w:p w14:paraId="18941463"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03DEE6B2"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1944EE24"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0470ACC1" w14:textId="77777777" w:rsidR="001C0EE2" w:rsidRDefault="008652D7">
            <w:pPr>
              <w:spacing w:after="0" w:line="240" w:lineRule="auto"/>
              <w:jc w:val="center"/>
            </w:pPr>
            <w:r>
              <w:rPr>
                <w:sz w:val="17"/>
              </w:rPr>
              <w:t>0.88</w:t>
            </w:r>
          </w:p>
        </w:tc>
      </w:tr>
      <w:tr w:rsidR="001C0EE2" w14:paraId="0814D25D" w14:textId="77777777">
        <w:trPr>
          <w:cantSplit/>
          <w:jc w:val="center"/>
        </w:trPr>
        <w:tc>
          <w:tcPr>
            <w:tcW w:w="1728" w:type="dxa"/>
            <w:tcMar>
              <w:top w:w="80" w:type="dxa"/>
              <w:left w:w="100" w:type="dxa"/>
              <w:bottom w:w="80" w:type="dxa"/>
              <w:right w:w="100" w:type="dxa"/>
            </w:tcMar>
            <w:vAlign w:val="center"/>
          </w:tcPr>
          <w:p w14:paraId="263E024E"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33EB3617"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6186DC55"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0DBF89C4" w14:textId="77777777" w:rsidR="001C0EE2" w:rsidRDefault="008652D7">
            <w:pPr>
              <w:spacing w:after="0" w:line="240" w:lineRule="auto"/>
              <w:jc w:val="center"/>
            </w:pPr>
            <w:r>
              <w:rPr>
                <w:sz w:val="17"/>
              </w:rPr>
              <w:t>0.70</w:t>
            </w:r>
          </w:p>
        </w:tc>
      </w:tr>
    </w:tbl>
    <w:p w14:paraId="21D6E911" w14:textId="77777777" w:rsidR="001C0EE2" w:rsidRDefault="001C0EE2">
      <w:pPr>
        <w:spacing w:after="0"/>
      </w:pPr>
    </w:p>
    <w:p w14:paraId="4CB7FC41" w14:textId="77777777" w:rsidR="001C0EE2" w:rsidRDefault="008652D7">
      <w:pPr>
        <w:pStyle w:val="Heading2"/>
      </w:pPr>
      <w:bookmarkStart w:id="6" w:name="_Toc236342195"/>
      <w:r>
        <w:t>1.5 Cycle length, phase timing, and bleeding</w:t>
      </w:r>
      <w:bookmarkEnd w:id="6"/>
    </w:p>
    <w:p w14:paraId="4955239A" w14:textId="77777777"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6243AA8D"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58F2DABB" w14:textId="77777777" w:rsidR="001C0EE2" w:rsidRDefault="008652D7">
      <w:pPr>
        <w:pStyle w:val="Heading2"/>
      </w:pPr>
      <w:bookmarkStart w:id="7" w:name="_Toc236342196"/>
      <w:r>
        <w:lastRenderedPageBreak/>
        <w:t>1.6 Daily hormone trajectories</w:t>
      </w:r>
      <w:bookmarkEnd w:id="7"/>
    </w:p>
    <w:p w14:paraId="77BE2D45"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w:t>
      </w:r>
      <w:proofErr w:type="spellStart"/>
      <w:r>
        <w:t>shape-preserving PCHIP</w:t>
      </w:r>
      <w:proofErr w:type="spellEnd"/>
      <w:r>
        <w:t xml:space="preserve"> basis in </w:t>
      </w:r>
      <w:r>
        <w:t xml:space="preserve">Equation </w:t>
      </w:r>
      <w:r>
        <w:fldChar w:fldCharType="begin"/>
      </w:r>
      <w:r>
        <w:instrText xml:space="preserve"> REF Eq_pchip_basis \h </w:instrText>
      </w:r>
      <w:r>
        <w:fldChar w:fldCharType="separate"/>
      </w:r>
      <w:r>
        <w:t>(4)</w:t>
      </w:r>
      <w:r>
        <w:fldChar w:fldCharType="end"/>
      </w:r>
      <w:r>
        <w:t xml:space="preserve"> and the piecewise interpolation in </w:t>
      </w:r>
      <w:r>
        <w:t xml:space="preserve">Equation </w:t>
      </w:r>
      <w:r>
        <w:fldChar w:fldCharType="begin"/>
      </w:r>
      <w:r>
        <w:instrText xml:space="preserve"> REF Eq_pchip_interpolation \h </w:instrText>
      </w:r>
      <w:r>
        <w:fldChar w:fldCharType="separate"/>
      </w:r>
      <w:r>
        <w:t>(5)</w:t>
      </w:r>
      <w:r>
        <w:fldChar w:fldCharType="end"/>
      </w:r>
      <w:r>
        <w:t>. The preovulatory anchor is centered two days before ovulation, and the final four cycle days withdraw toward the early-follicular baseline before the next bleeding onset.</w:t>
      </w:r>
    </w:p>
    <w:p w14:paraId="55DB9B23" w14:textId="77777777" w:rsidR="001C0EE2" w:rsidRDefault="008652D7">
      <w:pPr>
        <w:keepNext/>
        <w:keepLines/>
        <w:tabs>
          <w:tab w:val="center" w:pos="4680"/>
          <w:tab w:val="right" w:pos="9360"/>
        </w:tabs>
        <w:spacing w:before="100" w:after="140"/>
      </w:pPr>
      <w:r>
        <w:t>[[EQUATION:pchip_basis]]</w:t>
      </w:r>
    </w:p>
    <w:p w14:paraId="64DB7D48" w14:textId="77777777" w:rsidR="001C0EE2" w:rsidRDefault="008652D7">
      <w:pPr>
        <w:keepNext/>
        <w:keepLines/>
        <w:tabs>
          <w:tab w:val="center" w:pos="4680"/>
          <w:tab w:val="right" w:pos="9360"/>
        </w:tabs>
        <w:spacing w:before="100" w:after="140"/>
      </w:pPr>
      <w:r>
        <w:t>[[EQUATION:pchip_interpolation]]</w:t>
      </w:r>
    </w:p>
    <w:p w14:paraId="7642A5A8"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BAE11C7" w14:textId="77777777">
        <w:trPr>
          <w:cantSplit/>
          <w:tblHeader/>
          <w:jc w:val="center"/>
        </w:trPr>
        <w:tc>
          <w:tcPr>
            <w:tcW w:w="3168" w:type="dxa"/>
            <w:shd w:val="clear" w:color="auto" w:fill="D9EAF7"/>
            <w:tcMar>
              <w:top w:w="80" w:type="dxa"/>
              <w:left w:w="100" w:type="dxa"/>
              <w:bottom w:w="80" w:type="dxa"/>
              <w:right w:w="100" w:type="dxa"/>
            </w:tcMar>
            <w:vAlign w:val="center"/>
          </w:tcPr>
          <w:p w14:paraId="75DA0C2C"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4911F4A3"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50E2E668" w14:textId="77777777" w:rsidR="001C0EE2" w:rsidRDefault="008652D7">
            <w:pPr>
              <w:spacing w:after="0" w:line="240" w:lineRule="auto"/>
              <w:jc w:val="center"/>
            </w:pPr>
            <w:r>
              <w:rPr>
                <w:b/>
                <w:sz w:val="18"/>
              </w:rPr>
              <w:t>Progesterone target</w:t>
            </w:r>
          </w:p>
        </w:tc>
      </w:tr>
      <w:tr w:rsidR="001C0EE2" w14:paraId="2CCDA4C5" w14:textId="77777777">
        <w:trPr>
          <w:cantSplit/>
          <w:jc w:val="center"/>
        </w:trPr>
        <w:tc>
          <w:tcPr>
            <w:tcW w:w="3168" w:type="dxa"/>
            <w:tcMar>
              <w:top w:w="80" w:type="dxa"/>
              <w:left w:w="100" w:type="dxa"/>
              <w:bottom w:w="80" w:type="dxa"/>
              <w:right w:w="100" w:type="dxa"/>
            </w:tcMar>
            <w:vAlign w:val="center"/>
          </w:tcPr>
          <w:p w14:paraId="4FECCBA5"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4A4D564D"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13F4AE41" w14:textId="77777777" w:rsidR="001C0EE2" w:rsidRDefault="008652D7">
            <w:pPr>
              <w:spacing w:after="0" w:line="240" w:lineRule="auto"/>
              <w:jc w:val="center"/>
            </w:pPr>
            <w:r>
              <w:rPr>
                <w:sz w:val="18"/>
              </w:rPr>
              <w:t>0.44</w:t>
            </w:r>
          </w:p>
        </w:tc>
      </w:tr>
      <w:tr w:rsidR="001C0EE2" w14:paraId="3B59E509" w14:textId="77777777">
        <w:trPr>
          <w:cantSplit/>
          <w:jc w:val="center"/>
        </w:trPr>
        <w:tc>
          <w:tcPr>
            <w:tcW w:w="3168" w:type="dxa"/>
            <w:tcMar>
              <w:top w:w="80" w:type="dxa"/>
              <w:left w:w="100" w:type="dxa"/>
              <w:bottom w:w="80" w:type="dxa"/>
              <w:right w:w="100" w:type="dxa"/>
            </w:tcMar>
            <w:vAlign w:val="center"/>
          </w:tcPr>
          <w:p w14:paraId="6836D309"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1A4AE653"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4672C0C3" w14:textId="77777777" w:rsidR="001C0EE2" w:rsidRDefault="008652D7">
            <w:pPr>
              <w:spacing w:after="0" w:line="240" w:lineRule="auto"/>
              <w:jc w:val="center"/>
            </w:pPr>
            <w:r>
              <w:rPr>
                <w:sz w:val="18"/>
              </w:rPr>
              <w:t>0.56</w:t>
            </w:r>
          </w:p>
        </w:tc>
      </w:tr>
      <w:tr w:rsidR="001C0EE2" w14:paraId="0D1B852A" w14:textId="77777777">
        <w:trPr>
          <w:cantSplit/>
          <w:jc w:val="center"/>
        </w:trPr>
        <w:tc>
          <w:tcPr>
            <w:tcW w:w="3168" w:type="dxa"/>
            <w:tcMar>
              <w:top w:w="80" w:type="dxa"/>
              <w:left w:w="100" w:type="dxa"/>
              <w:bottom w:w="80" w:type="dxa"/>
              <w:right w:w="100" w:type="dxa"/>
            </w:tcMar>
            <w:vAlign w:val="center"/>
          </w:tcPr>
          <w:p w14:paraId="02B46F34"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5F1AC4B4"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20F90AAE" w14:textId="77777777" w:rsidR="001C0EE2" w:rsidRDefault="008652D7">
            <w:pPr>
              <w:spacing w:after="0" w:line="240" w:lineRule="auto"/>
              <w:jc w:val="center"/>
            </w:pPr>
            <w:r>
              <w:rPr>
                <w:sz w:val="18"/>
              </w:rPr>
              <w:t>1.31</w:t>
            </w:r>
          </w:p>
        </w:tc>
      </w:tr>
      <w:tr w:rsidR="001C0EE2" w14:paraId="1F96267A" w14:textId="77777777">
        <w:trPr>
          <w:cantSplit/>
          <w:jc w:val="center"/>
        </w:trPr>
        <w:tc>
          <w:tcPr>
            <w:tcW w:w="3168" w:type="dxa"/>
            <w:tcMar>
              <w:top w:w="80" w:type="dxa"/>
              <w:left w:w="100" w:type="dxa"/>
              <w:bottom w:w="80" w:type="dxa"/>
              <w:right w:w="100" w:type="dxa"/>
            </w:tcMar>
            <w:vAlign w:val="center"/>
          </w:tcPr>
          <w:p w14:paraId="73D04876"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1878DD84"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6FD6D429" w14:textId="77777777" w:rsidR="001C0EE2" w:rsidRDefault="008652D7">
            <w:pPr>
              <w:spacing w:after="0" w:line="240" w:lineRule="auto"/>
              <w:jc w:val="center"/>
            </w:pPr>
            <w:r>
              <w:rPr>
                <w:sz w:val="18"/>
              </w:rPr>
              <w:t>1.43</w:t>
            </w:r>
          </w:p>
        </w:tc>
      </w:tr>
      <w:tr w:rsidR="001C0EE2" w14:paraId="74177931" w14:textId="77777777">
        <w:trPr>
          <w:cantSplit/>
          <w:jc w:val="center"/>
        </w:trPr>
        <w:tc>
          <w:tcPr>
            <w:tcW w:w="3168" w:type="dxa"/>
            <w:tcMar>
              <w:top w:w="80" w:type="dxa"/>
              <w:left w:w="100" w:type="dxa"/>
              <w:bottom w:w="80" w:type="dxa"/>
              <w:right w:w="100" w:type="dxa"/>
            </w:tcMar>
            <w:vAlign w:val="center"/>
          </w:tcPr>
          <w:p w14:paraId="5E4EDA47"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1218CC55"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5C6399FD" w14:textId="77777777" w:rsidR="001C0EE2" w:rsidRDefault="008652D7">
            <w:pPr>
              <w:spacing w:after="0" w:line="240" w:lineRule="auto"/>
              <w:jc w:val="center"/>
            </w:pPr>
            <w:r>
              <w:rPr>
                <w:sz w:val="18"/>
              </w:rPr>
              <w:t>3.95</w:t>
            </w:r>
          </w:p>
        </w:tc>
      </w:tr>
      <w:tr w:rsidR="001C0EE2" w14:paraId="686BB41D" w14:textId="77777777">
        <w:trPr>
          <w:cantSplit/>
          <w:jc w:val="center"/>
        </w:trPr>
        <w:tc>
          <w:tcPr>
            <w:tcW w:w="3168" w:type="dxa"/>
            <w:tcMar>
              <w:top w:w="80" w:type="dxa"/>
              <w:left w:w="100" w:type="dxa"/>
              <w:bottom w:w="80" w:type="dxa"/>
              <w:right w:w="100" w:type="dxa"/>
            </w:tcMar>
            <w:vAlign w:val="center"/>
          </w:tcPr>
          <w:p w14:paraId="4391376D"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3508165B"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124E7F06" w14:textId="77777777" w:rsidR="001C0EE2" w:rsidRDefault="008652D7">
            <w:pPr>
              <w:spacing w:after="0" w:line="240" w:lineRule="auto"/>
              <w:jc w:val="center"/>
            </w:pPr>
            <w:r>
              <w:rPr>
                <w:sz w:val="18"/>
              </w:rPr>
              <w:t>11.02</w:t>
            </w:r>
          </w:p>
        </w:tc>
      </w:tr>
      <w:tr w:rsidR="001C0EE2" w14:paraId="6E9103C9" w14:textId="77777777">
        <w:trPr>
          <w:cantSplit/>
          <w:jc w:val="center"/>
        </w:trPr>
        <w:tc>
          <w:tcPr>
            <w:tcW w:w="3168" w:type="dxa"/>
            <w:tcMar>
              <w:top w:w="80" w:type="dxa"/>
              <w:left w:w="100" w:type="dxa"/>
              <w:bottom w:w="80" w:type="dxa"/>
              <w:right w:w="100" w:type="dxa"/>
            </w:tcMar>
            <w:vAlign w:val="center"/>
          </w:tcPr>
          <w:p w14:paraId="06E99973"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4AB08D3F"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22773C3" w14:textId="77777777" w:rsidR="001C0EE2" w:rsidRDefault="008652D7">
            <w:pPr>
              <w:spacing w:after="0" w:line="240" w:lineRule="auto"/>
              <w:jc w:val="center"/>
            </w:pPr>
            <w:r>
              <w:rPr>
                <w:sz w:val="18"/>
              </w:rPr>
              <w:t>6.75</w:t>
            </w:r>
          </w:p>
        </w:tc>
      </w:tr>
    </w:tbl>
    <w:p w14:paraId="4C4B3147" w14:textId="77777777" w:rsidR="001C0EE2" w:rsidRDefault="001C0EE2">
      <w:pPr>
        <w:spacing w:after="0"/>
      </w:pPr>
    </w:p>
    <w:p w14:paraId="7BAE42FC"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p w14:paraId="674CC7B6" w14:textId="77777777" w:rsidR="001C0EE2" w:rsidRDefault="008652D7">
      <w:pPr>
        <w:keepNext/>
        <w:keepLines/>
        <w:tabs>
          <w:tab w:val="center" w:pos="4680"/>
          <w:tab w:val="right" w:pos="9360"/>
        </w:tabs>
        <w:spacing w:before="100" w:after="140"/>
      </w:pPr>
      <w:r>
        <w:t>[[EQUATION:bridged_hormone_noise]]</w:t>
      </w:r>
    </w:p>
    <w:p w14:paraId="07968F3A" w14:textId="77777777" w:rsidR="001C0EE2" w:rsidRDefault="008652D7">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36014C15" w14:textId="77777777" w:rsidR="001C0EE2" w:rsidRDefault="008652D7">
      <w:pPr>
        <w:pStyle w:val="Heading2"/>
      </w:pPr>
      <w:bookmarkStart w:id="8" w:name="_Toc236342197"/>
      <w:r>
        <w:t>1.7 Reproductive-stage and medical modifiers</w:t>
      </w:r>
      <w:bookmarkEnd w:id="8"/>
    </w:p>
    <w:p w14:paraId="6AD09B51" w14:textId="77777777" w:rsidR="001C0EE2" w:rsidRDefault="008652D7">
      <w:pPr>
        <w:pStyle w:val="Heading3"/>
      </w:pPr>
      <w:bookmarkStart w:id="9" w:name="_Toc236342198"/>
      <w:r>
        <w:t>1.7.1 Polycystic ovary syndrome</w:t>
      </w:r>
      <w:bookmarkEnd w:id="9"/>
    </w:p>
    <w:p w14:paraId="5FE35C8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30616250" w14:textId="77777777" w:rsidR="001C0EE2" w:rsidRDefault="008652D7">
      <w:pPr>
        <w:pStyle w:val="Heading3"/>
      </w:pPr>
      <w:bookmarkStart w:id="10" w:name="_Toc236342199"/>
      <w:r>
        <w:lastRenderedPageBreak/>
        <w:t xml:space="preserve">1.7.2 Early </w:t>
      </w:r>
      <w:proofErr w:type="spellStart"/>
      <w:r>
        <w:t>postmenarche</w:t>
      </w:r>
      <w:bookmarkEnd w:id="10"/>
      <w:proofErr w:type="spellEnd"/>
    </w:p>
    <w:p w14:paraId="2305648A"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20EED4EE" w14:textId="77777777" w:rsidR="001C0EE2" w:rsidRDefault="008652D7">
      <w:pPr>
        <w:pStyle w:val="Heading3"/>
      </w:pPr>
      <w:bookmarkStart w:id="11" w:name="_Toc236342200"/>
      <w:r>
        <w:t>1.7.3 Perimenopause</w:t>
      </w:r>
      <w:bookmarkEnd w:id="11"/>
    </w:p>
    <w:p w14:paraId="056B7D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07B236A9" w14:textId="77777777" w:rsidR="001C0EE2" w:rsidRDefault="008652D7">
      <w:pPr>
        <w:pStyle w:val="Heading3"/>
      </w:pPr>
      <w:bookmarkStart w:id="12" w:name="_Toc236342201"/>
      <w:r>
        <w:t>1.7.4 Combined oral contraceptives</w:t>
      </w:r>
      <w:bookmarkEnd w:id="12"/>
    </w:p>
    <w:p w14:paraId="5AE79C6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0267FF4D" w14:textId="77777777" w:rsidR="001C0EE2" w:rsidRDefault="008652D7">
      <w:pPr>
        <w:pStyle w:val="Heading3"/>
      </w:pPr>
      <w:bookmarkStart w:id="13" w:name="_Toc236342202"/>
      <w:r>
        <w:t>1.7.5 Intrauterine devices</w:t>
      </w:r>
      <w:bookmarkEnd w:id="13"/>
    </w:p>
    <w:p w14:paraId="6AB9E551"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789F450B" w14:textId="77777777" w:rsidR="001C0EE2" w:rsidRDefault="008652D7">
      <w:pPr>
        <w:pStyle w:val="Heading3"/>
      </w:pPr>
      <w:bookmarkStart w:id="14" w:name="_Toc236342203"/>
      <w:r>
        <w:t>1.7.6 Primary dysmenorrhea</w:t>
      </w:r>
      <w:bookmarkEnd w:id="14"/>
    </w:p>
    <w:p w14:paraId="1128A811"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5FC44B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88D5CE1"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02B65D44" w14:textId="77777777">
        <w:trPr>
          <w:cantSplit/>
          <w:tblHeader/>
          <w:jc w:val="center"/>
        </w:trPr>
        <w:tc>
          <w:tcPr>
            <w:tcW w:w="1944" w:type="dxa"/>
            <w:shd w:val="clear" w:color="auto" w:fill="D9EAF7"/>
            <w:tcMar>
              <w:top w:w="80" w:type="dxa"/>
              <w:left w:w="100" w:type="dxa"/>
              <w:bottom w:w="80" w:type="dxa"/>
              <w:right w:w="100" w:type="dxa"/>
            </w:tcMar>
            <w:vAlign w:val="center"/>
          </w:tcPr>
          <w:p w14:paraId="3230C887"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1489C401"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04310F7E"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92BFFEE"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8063F47" w14:textId="77777777" w:rsidR="001C0EE2" w:rsidRDefault="008652D7">
            <w:pPr>
              <w:spacing w:after="0" w:line="240" w:lineRule="auto"/>
            </w:pPr>
            <w:r>
              <w:rPr>
                <w:b/>
                <w:sz w:val="14"/>
              </w:rPr>
              <w:t>Evidence classification</w:t>
            </w:r>
          </w:p>
        </w:tc>
      </w:tr>
      <w:tr w:rsidR="001C0EE2" w14:paraId="3C2E7F5D" w14:textId="77777777">
        <w:trPr>
          <w:cantSplit/>
          <w:jc w:val="center"/>
        </w:trPr>
        <w:tc>
          <w:tcPr>
            <w:tcW w:w="1944" w:type="dxa"/>
            <w:tcMar>
              <w:top w:w="80" w:type="dxa"/>
              <w:left w:w="100" w:type="dxa"/>
              <w:bottom w:w="80" w:type="dxa"/>
              <w:right w:w="100" w:type="dxa"/>
            </w:tcMar>
            <w:vAlign w:val="center"/>
          </w:tcPr>
          <w:p w14:paraId="29249E58"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CDB68FD"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57ACA5"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686FDA6"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23BD9CA1" w14:textId="77777777" w:rsidR="001C0EE2" w:rsidRDefault="008652D7">
            <w:pPr>
              <w:spacing w:after="0" w:line="240" w:lineRule="auto"/>
            </w:pPr>
            <w:r>
              <w:rPr>
                <w:sz w:val="14"/>
              </w:rPr>
              <w:t>Open-source implementation</w:t>
            </w:r>
          </w:p>
        </w:tc>
      </w:tr>
      <w:tr w:rsidR="001C0EE2" w14:paraId="4B033621" w14:textId="77777777">
        <w:trPr>
          <w:cantSplit/>
          <w:jc w:val="center"/>
        </w:trPr>
        <w:tc>
          <w:tcPr>
            <w:tcW w:w="1944" w:type="dxa"/>
            <w:tcMar>
              <w:top w:w="80" w:type="dxa"/>
              <w:left w:w="100" w:type="dxa"/>
              <w:bottom w:w="80" w:type="dxa"/>
              <w:right w:w="100" w:type="dxa"/>
            </w:tcMar>
            <w:vAlign w:val="center"/>
          </w:tcPr>
          <w:p w14:paraId="5ED8F96F"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44E611AF"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494131CD" w14:textId="77777777" w:rsidR="001C0EE2" w:rsidRDefault="008652D7">
            <w:pPr>
              <w:spacing w:after="0" w:line="240" w:lineRule="auto"/>
            </w:pPr>
            <w:r>
              <w:rPr>
                <w:sz w:val="14"/>
              </w:rPr>
              <w:t xml:space="preserve">Python </w:t>
            </w:r>
            <w:proofErr w:type="spellStart"/>
            <w:proofErr w:type="gramStart"/>
            <w:r>
              <w:rPr>
                <w:sz w:val="14"/>
              </w:rPr>
              <w:t>random.Random</w:t>
            </w:r>
            <w:proofErr w:type="spellEnd"/>
            <w:proofErr w:type="gramEnd"/>
            <w:r>
              <w:rPr>
                <w:sz w:val="14"/>
              </w:rPr>
              <w:t>; participant profile and cycle renderer each initialize a deterministic stream from the same seed</w:t>
            </w:r>
          </w:p>
        </w:tc>
        <w:tc>
          <w:tcPr>
            <w:tcW w:w="3096" w:type="dxa"/>
            <w:tcMar>
              <w:top w:w="80" w:type="dxa"/>
              <w:left w:w="100" w:type="dxa"/>
              <w:bottom w:w="80" w:type="dxa"/>
              <w:right w:w="100" w:type="dxa"/>
            </w:tcMar>
            <w:vAlign w:val="center"/>
          </w:tcPr>
          <w:p w14:paraId="65206D65"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811B96C" w14:textId="77777777" w:rsidR="001C0EE2" w:rsidRDefault="008652D7">
            <w:pPr>
              <w:spacing w:after="0" w:line="240" w:lineRule="auto"/>
            </w:pPr>
            <w:r>
              <w:rPr>
                <w:sz w:val="14"/>
              </w:rPr>
              <w:t>Implementation choice; sequence reuse is disclosed as a limitation</w:t>
            </w:r>
          </w:p>
        </w:tc>
      </w:tr>
      <w:tr w:rsidR="001C0EE2" w14:paraId="0EDAF7BC" w14:textId="77777777">
        <w:trPr>
          <w:cantSplit/>
          <w:jc w:val="center"/>
        </w:trPr>
        <w:tc>
          <w:tcPr>
            <w:tcW w:w="1944" w:type="dxa"/>
            <w:tcMar>
              <w:top w:w="80" w:type="dxa"/>
              <w:left w:w="100" w:type="dxa"/>
              <w:bottom w:w="80" w:type="dxa"/>
              <w:right w:w="100" w:type="dxa"/>
            </w:tcMar>
            <w:vAlign w:val="center"/>
          </w:tcPr>
          <w:p w14:paraId="55407E48"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26397862"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5CC147B"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013A741A"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3A84AC83" w14:textId="77777777" w:rsidR="001C0EE2" w:rsidRDefault="008652D7">
            <w:pPr>
              <w:spacing w:after="0" w:line="240" w:lineRule="auto"/>
            </w:pPr>
            <w:r>
              <w:rPr>
                <w:sz w:val="14"/>
              </w:rPr>
              <w:t>Study design and Li et al.</w:t>
            </w:r>
          </w:p>
        </w:tc>
      </w:tr>
      <w:tr w:rsidR="001C0EE2" w14:paraId="0D0F7D72" w14:textId="77777777">
        <w:trPr>
          <w:cantSplit/>
          <w:jc w:val="center"/>
        </w:trPr>
        <w:tc>
          <w:tcPr>
            <w:tcW w:w="1944" w:type="dxa"/>
            <w:tcMar>
              <w:top w:w="80" w:type="dxa"/>
              <w:left w:w="100" w:type="dxa"/>
              <w:bottom w:w="80" w:type="dxa"/>
              <w:right w:w="100" w:type="dxa"/>
            </w:tcMar>
            <w:vAlign w:val="center"/>
          </w:tcPr>
          <w:p w14:paraId="015E9395"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24507C0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EB28AD5"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284E980"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1FFECD1C" w14:textId="77777777" w:rsidR="001C0EE2" w:rsidRDefault="008652D7">
            <w:pPr>
              <w:spacing w:after="0" w:line="240" w:lineRule="auto"/>
            </w:pPr>
            <w:r>
              <w:rPr>
                <w:sz w:val="14"/>
              </w:rPr>
              <w:t>Derived and calibrated from Li et al.</w:t>
            </w:r>
          </w:p>
        </w:tc>
      </w:tr>
      <w:tr w:rsidR="001C0EE2" w14:paraId="7DC8A5EF" w14:textId="77777777">
        <w:trPr>
          <w:cantSplit/>
          <w:jc w:val="center"/>
        </w:trPr>
        <w:tc>
          <w:tcPr>
            <w:tcW w:w="1944" w:type="dxa"/>
            <w:tcMar>
              <w:top w:w="80" w:type="dxa"/>
              <w:left w:w="100" w:type="dxa"/>
              <w:bottom w:w="80" w:type="dxa"/>
              <w:right w:w="100" w:type="dxa"/>
            </w:tcMar>
            <w:vAlign w:val="center"/>
          </w:tcPr>
          <w:p w14:paraId="264C42D3"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6AC6C4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2FC2882E"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54EF22E1" w14:textId="77777777" w:rsidR="001C0EE2" w:rsidRDefault="008652D7">
            <w:pPr>
              <w:spacing w:after="0" w:line="240" w:lineRule="auto"/>
            </w:pPr>
            <w:r>
              <w:rPr>
                <w:sz w:val="14"/>
              </w:rPr>
              <w:t xml:space="preserve">Sampling standard deviation </w:t>
            </w:r>
            <w:proofErr w:type="gramStart"/>
            <w:r>
              <w:rPr>
                <w:sz w:val="14"/>
              </w:rPr>
              <w:t>max(</w:t>
            </w:r>
            <w:proofErr w:type="gramEnd"/>
            <w:r>
              <w:rPr>
                <w:sz w:val="14"/>
              </w:rPr>
              <w:t>0.3, 0.14 × derived value); range 1.2–20 days</w:t>
            </w:r>
          </w:p>
        </w:tc>
        <w:tc>
          <w:tcPr>
            <w:tcW w:w="2160" w:type="dxa"/>
            <w:tcMar>
              <w:top w:w="80" w:type="dxa"/>
              <w:left w:w="100" w:type="dxa"/>
              <w:bottom w:w="80" w:type="dxa"/>
              <w:right w:w="100" w:type="dxa"/>
            </w:tcMar>
            <w:vAlign w:val="center"/>
          </w:tcPr>
          <w:p w14:paraId="7519E73B" w14:textId="77777777" w:rsidR="001C0EE2" w:rsidRDefault="008652D7">
            <w:pPr>
              <w:spacing w:after="0" w:line="240" w:lineRule="auto"/>
            </w:pPr>
            <w:r>
              <w:rPr>
                <w:sz w:val="14"/>
              </w:rPr>
              <w:t>Derived and calibrated from Li et al.</w:t>
            </w:r>
          </w:p>
        </w:tc>
      </w:tr>
      <w:tr w:rsidR="001C0EE2" w14:paraId="77D6D65F" w14:textId="77777777">
        <w:trPr>
          <w:cantSplit/>
          <w:jc w:val="center"/>
        </w:trPr>
        <w:tc>
          <w:tcPr>
            <w:tcW w:w="1944" w:type="dxa"/>
            <w:tcMar>
              <w:top w:w="80" w:type="dxa"/>
              <w:left w:w="100" w:type="dxa"/>
              <w:bottom w:w="80" w:type="dxa"/>
              <w:right w:w="100" w:type="dxa"/>
            </w:tcMar>
            <w:vAlign w:val="center"/>
          </w:tcPr>
          <w:p w14:paraId="1592CA6C"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3B6C49C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45842FF"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090EFE57"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1F4010F2" w14:textId="77777777" w:rsidR="001C0EE2" w:rsidRDefault="008652D7">
            <w:pPr>
              <w:spacing w:after="0" w:line="240" w:lineRule="auto"/>
            </w:pPr>
            <w:r>
              <w:rPr>
                <w:sz w:val="14"/>
              </w:rPr>
              <w:t>Bull et al. plus physiologic calibration bounds</w:t>
            </w:r>
          </w:p>
        </w:tc>
      </w:tr>
      <w:tr w:rsidR="001C0EE2" w14:paraId="50F7DFE7" w14:textId="77777777">
        <w:trPr>
          <w:cantSplit/>
          <w:jc w:val="center"/>
        </w:trPr>
        <w:tc>
          <w:tcPr>
            <w:tcW w:w="1944" w:type="dxa"/>
            <w:tcMar>
              <w:top w:w="80" w:type="dxa"/>
              <w:left w:w="100" w:type="dxa"/>
              <w:bottom w:w="80" w:type="dxa"/>
              <w:right w:w="100" w:type="dxa"/>
            </w:tcMar>
            <w:vAlign w:val="center"/>
          </w:tcPr>
          <w:p w14:paraId="07EAFF23"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5D4AA88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42FE91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0D0E9524"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37C41E0" w14:textId="77777777" w:rsidR="001C0EE2" w:rsidRDefault="008652D7">
            <w:pPr>
              <w:spacing w:after="0" w:line="240" w:lineRule="auto"/>
            </w:pPr>
            <w:r>
              <w:rPr>
                <w:sz w:val="14"/>
              </w:rPr>
              <w:t>Investigator calibration constrained by age/stage evidence</w:t>
            </w:r>
          </w:p>
        </w:tc>
      </w:tr>
      <w:tr w:rsidR="001C0EE2" w14:paraId="09AFB286" w14:textId="77777777">
        <w:trPr>
          <w:cantSplit/>
          <w:jc w:val="center"/>
        </w:trPr>
        <w:tc>
          <w:tcPr>
            <w:tcW w:w="1944" w:type="dxa"/>
            <w:tcMar>
              <w:top w:w="80" w:type="dxa"/>
              <w:left w:w="100" w:type="dxa"/>
              <w:bottom w:w="80" w:type="dxa"/>
              <w:right w:w="100" w:type="dxa"/>
            </w:tcMar>
            <w:vAlign w:val="center"/>
          </w:tcPr>
          <w:p w14:paraId="50557D3B"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7AB211E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4CF97"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27C8814"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E7D5842" w14:textId="77777777" w:rsidR="001C0EE2" w:rsidRDefault="008652D7">
            <w:pPr>
              <w:spacing w:after="0" w:line="240" w:lineRule="auto"/>
            </w:pPr>
            <w:r>
              <w:rPr>
                <w:sz w:val="14"/>
              </w:rPr>
              <w:t>Investigator calibration constants</w:t>
            </w:r>
          </w:p>
        </w:tc>
      </w:tr>
      <w:tr w:rsidR="001C0EE2" w14:paraId="3BB992DC" w14:textId="77777777">
        <w:trPr>
          <w:cantSplit/>
          <w:jc w:val="center"/>
        </w:trPr>
        <w:tc>
          <w:tcPr>
            <w:tcW w:w="1944" w:type="dxa"/>
            <w:tcMar>
              <w:top w:w="80" w:type="dxa"/>
              <w:left w:w="100" w:type="dxa"/>
              <w:bottom w:w="80" w:type="dxa"/>
              <w:right w:w="100" w:type="dxa"/>
            </w:tcMar>
            <w:vAlign w:val="center"/>
          </w:tcPr>
          <w:p w14:paraId="34606A4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71DA67C8"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2CC47C2"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51E9D117"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1207439D" w14:textId="77777777" w:rsidR="001C0EE2" w:rsidRDefault="008652D7">
            <w:pPr>
              <w:spacing w:after="0" w:line="240" w:lineRule="auto"/>
            </w:pPr>
            <w:r>
              <w:rPr>
                <w:sz w:val="14"/>
              </w:rPr>
              <w:t>Bull et al. plus calibration bounds</w:t>
            </w:r>
          </w:p>
        </w:tc>
      </w:tr>
      <w:tr w:rsidR="001C0EE2" w14:paraId="6BB130D1" w14:textId="77777777">
        <w:trPr>
          <w:cantSplit/>
          <w:jc w:val="center"/>
        </w:trPr>
        <w:tc>
          <w:tcPr>
            <w:tcW w:w="1944" w:type="dxa"/>
            <w:tcMar>
              <w:top w:w="80" w:type="dxa"/>
              <w:left w:w="100" w:type="dxa"/>
              <w:bottom w:w="80" w:type="dxa"/>
              <w:right w:w="100" w:type="dxa"/>
            </w:tcMar>
            <w:vAlign w:val="center"/>
          </w:tcPr>
          <w:p w14:paraId="5943DDEF"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1BA5F5C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8D20ECF"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D8EF44A"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303E9399" w14:textId="77777777" w:rsidR="001C0EE2" w:rsidRDefault="008652D7">
            <w:pPr>
              <w:spacing w:after="0" w:line="240" w:lineRule="auto"/>
            </w:pPr>
            <w:r>
              <w:rPr>
                <w:sz w:val="14"/>
              </w:rPr>
              <w:t>Algorithmic consequence of the stable-luteal design</w:t>
            </w:r>
          </w:p>
        </w:tc>
      </w:tr>
      <w:tr w:rsidR="001C0EE2" w14:paraId="368C55BC" w14:textId="77777777">
        <w:trPr>
          <w:cantSplit/>
          <w:jc w:val="center"/>
        </w:trPr>
        <w:tc>
          <w:tcPr>
            <w:tcW w:w="1944" w:type="dxa"/>
            <w:tcMar>
              <w:top w:w="80" w:type="dxa"/>
              <w:left w:w="100" w:type="dxa"/>
              <w:bottom w:w="80" w:type="dxa"/>
              <w:right w:w="100" w:type="dxa"/>
            </w:tcMar>
            <w:vAlign w:val="center"/>
          </w:tcPr>
          <w:p w14:paraId="07AAB2C6"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A98F82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9758A33"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4D4394AD"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34AB9BFF" w14:textId="77777777" w:rsidR="001C0EE2" w:rsidRDefault="008652D7">
            <w:pPr>
              <w:spacing w:after="0" w:line="240" w:lineRule="auto"/>
            </w:pPr>
            <w:r>
              <w:rPr>
                <w:sz w:val="14"/>
              </w:rPr>
              <w:t>Investigator calibration setting; compared with Bull’s 4.0 ± 1.5-day distribution and Fraser terminology</w:t>
            </w:r>
          </w:p>
        </w:tc>
      </w:tr>
      <w:tr w:rsidR="001C0EE2" w14:paraId="5EF3E714" w14:textId="77777777">
        <w:trPr>
          <w:cantSplit/>
          <w:jc w:val="center"/>
        </w:trPr>
        <w:tc>
          <w:tcPr>
            <w:tcW w:w="1944" w:type="dxa"/>
            <w:tcMar>
              <w:top w:w="80" w:type="dxa"/>
              <w:left w:w="100" w:type="dxa"/>
              <w:bottom w:w="80" w:type="dxa"/>
              <w:right w:w="100" w:type="dxa"/>
            </w:tcMar>
            <w:vAlign w:val="center"/>
          </w:tcPr>
          <w:p w14:paraId="40C1EDCE"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6ACCCFE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4FAE9F"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1EAF954"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0E6BF71E" w14:textId="77777777" w:rsidR="001C0EE2" w:rsidRDefault="008652D7">
            <w:pPr>
              <w:spacing w:after="0" w:line="240" w:lineRule="auto"/>
            </w:pPr>
            <w:r>
              <w:rPr>
                <w:sz w:val="14"/>
              </w:rPr>
              <w:t>Calibration to Stricker-derived control points</w:t>
            </w:r>
          </w:p>
        </w:tc>
      </w:tr>
      <w:tr w:rsidR="001C0EE2" w14:paraId="129429A6" w14:textId="77777777">
        <w:trPr>
          <w:cantSplit/>
          <w:jc w:val="center"/>
        </w:trPr>
        <w:tc>
          <w:tcPr>
            <w:tcW w:w="1944" w:type="dxa"/>
            <w:tcMar>
              <w:top w:w="80" w:type="dxa"/>
              <w:left w:w="100" w:type="dxa"/>
              <w:bottom w:w="80" w:type="dxa"/>
              <w:right w:w="100" w:type="dxa"/>
            </w:tcMar>
            <w:vAlign w:val="center"/>
          </w:tcPr>
          <w:p w14:paraId="4DF4D869"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51F0E6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3798D71"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79340F13"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D3342BD" w14:textId="77777777" w:rsidR="001C0EE2" w:rsidRDefault="008652D7">
            <w:pPr>
              <w:spacing w:after="0" w:line="240" w:lineRule="auto"/>
            </w:pPr>
            <w:r>
              <w:rPr>
                <w:sz w:val="14"/>
              </w:rPr>
              <w:t>Investigator calibration constants</w:t>
            </w:r>
          </w:p>
        </w:tc>
      </w:tr>
      <w:tr w:rsidR="001C0EE2" w14:paraId="0D7A513C" w14:textId="77777777">
        <w:trPr>
          <w:cantSplit/>
          <w:jc w:val="center"/>
        </w:trPr>
        <w:tc>
          <w:tcPr>
            <w:tcW w:w="1944" w:type="dxa"/>
            <w:tcMar>
              <w:top w:w="80" w:type="dxa"/>
              <w:left w:w="100" w:type="dxa"/>
              <w:bottom w:w="80" w:type="dxa"/>
              <w:right w:w="100" w:type="dxa"/>
            </w:tcMar>
            <w:vAlign w:val="center"/>
          </w:tcPr>
          <w:p w14:paraId="590E88BD"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1DA0A6C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72B249E" w14:textId="77777777" w:rsidR="001C0EE2" w:rsidRDefault="008652D7">
            <w:pPr>
              <w:spacing w:after="0" w:line="240" w:lineRule="auto"/>
            </w:pPr>
            <w:r>
              <w:t>Early follicular day 1; midfollicular 0.45 × follicular length; preovulatory centered 2 days before ovulation; ovulation at follicular length</w:t>
            </w:r>
          </w:p>
        </w:tc>
        <w:tc>
          <w:tcPr>
            <w:tcW w:w="3096" w:type="dxa"/>
            <w:tcMar>
              <w:top w:w="80" w:type="dxa"/>
              <w:left w:w="100" w:type="dxa"/>
              <w:bottom w:w="80" w:type="dxa"/>
              <w:right w:w="100" w:type="dxa"/>
            </w:tcMar>
            <w:vAlign w:val="center"/>
          </w:tcPr>
          <w:p w14:paraId="0D2892B3" w14:textId="77777777" w:rsidR="001C0EE2" w:rsidRDefault="008652D7">
            <w:pPr>
              <w:spacing w:after="0" w:line="240" w:lineRule="auto"/>
            </w:pPr>
            <w:r>
              <w:t>Early luteal max(2 days, 0.22 × luteal length); midluteal max(3 days, 0.55 × luteal length); late luteal cycle end −4 days; cycle end returns to the early-follicular baseline</w:t>
            </w:r>
          </w:p>
        </w:tc>
        <w:tc>
          <w:tcPr>
            <w:tcW w:w="2160" w:type="dxa"/>
            <w:tcMar>
              <w:top w:w="80" w:type="dxa"/>
              <w:left w:w="100" w:type="dxa"/>
              <w:bottom w:w="80" w:type="dxa"/>
              <w:right w:w="100" w:type="dxa"/>
            </w:tcMar>
            <w:vAlign w:val="center"/>
          </w:tcPr>
          <w:p w14:paraId="68909393" w14:textId="77777777" w:rsidR="001C0EE2" w:rsidRDefault="008652D7">
            <w:pPr>
              <w:spacing w:after="0" w:line="240" w:lineRule="auto"/>
            </w:pPr>
            <w:r>
              <w:t>Derived placement plus kinetic face-validity constraints</w:t>
            </w:r>
          </w:p>
        </w:tc>
      </w:tr>
      <w:tr w:rsidR="001C0EE2" w14:paraId="796688D5" w14:textId="77777777">
        <w:trPr>
          <w:cantSplit/>
          <w:jc w:val="center"/>
        </w:trPr>
        <w:tc>
          <w:tcPr>
            <w:tcW w:w="1944" w:type="dxa"/>
            <w:tcMar>
              <w:top w:w="80" w:type="dxa"/>
              <w:left w:w="100" w:type="dxa"/>
              <w:bottom w:w="80" w:type="dxa"/>
              <w:right w:w="100" w:type="dxa"/>
            </w:tcMar>
            <w:vAlign w:val="center"/>
          </w:tcPr>
          <w:p w14:paraId="288B34AE"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7F70AE6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0E0AD25"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665F2F98"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CB1BB2C" w14:textId="77777777" w:rsidR="001C0EE2" w:rsidRDefault="008652D7">
            <w:pPr>
              <w:spacing w:after="0" w:line="240" w:lineRule="auto"/>
            </w:pPr>
            <w:r>
              <w:rPr>
                <w:sz w:val="14"/>
              </w:rPr>
              <w:t>Derived from Stricker Table 1B and Figure 1</w:t>
            </w:r>
          </w:p>
        </w:tc>
      </w:tr>
      <w:tr w:rsidR="001C0EE2" w14:paraId="36B929E3" w14:textId="77777777">
        <w:trPr>
          <w:cantSplit/>
          <w:jc w:val="center"/>
        </w:trPr>
        <w:tc>
          <w:tcPr>
            <w:tcW w:w="1944" w:type="dxa"/>
            <w:tcMar>
              <w:top w:w="80" w:type="dxa"/>
              <w:left w:w="100" w:type="dxa"/>
              <w:bottom w:w="80" w:type="dxa"/>
              <w:right w:w="100" w:type="dxa"/>
            </w:tcMar>
            <w:vAlign w:val="center"/>
          </w:tcPr>
          <w:p w14:paraId="6D9C4B56" w14:textId="77777777" w:rsidR="001C0EE2" w:rsidRDefault="008652D7">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20031B1B"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2338DD6"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ED518F7"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502BADD8" w14:textId="77777777" w:rsidR="001C0EE2" w:rsidRDefault="008652D7">
            <w:pPr>
              <w:spacing w:after="0" w:line="240" w:lineRule="auto"/>
            </w:pPr>
            <w:r>
              <w:rPr>
                <w:sz w:val="14"/>
              </w:rPr>
              <w:t>Investigator calibration constrained by anovulatory endocrine literature</w:t>
            </w:r>
          </w:p>
        </w:tc>
      </w:tr>
      <w:tr w:rsidR="001C0EE2" w14:paraId="09E36BE7" w14:textId="77777777">
        <w:trPr>
          <w:cantSplit/>
          <w:jc w:val="center"/>
        </w:trPr>
        <w:tc>
          <w:tcPr>
            <w:tcW w:w="1944" w:type="dxa"/>
            <w:tcMar>
              <w:top w:w="80" w:type="dxa"/>
              <w:left w:w="100" w:type="dxa"/>
              <w:bottom w:w="80" w:type="dxa"/>
              <w:right w:w="100" w:type="dxa"/>
            </w:tcMar>
            <w:vAlign w:val="center"/>
          </w:tcPr>
          <w:p w14:paraId="7888AAF3"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2E13230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F340CBA"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7AD90A18"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73652257" w14:textId="77777777" w:rsidR="001C0EE2" w:rsidRDefault="008652D7">
            <w:pPr>
              <w:spacing w:after="0" w:line="240" w:lineRule="auto"/>
            </w:pPr>
            <w:r>
              <w:rPr>
                <w:sz w:val="14"/>
              </w:rPr>
              <w:t>Investigator calibration constrained by anovulatory endocrine literature</w:t>
            </w:r>
          </w:p>
        </w:tc>
      </w:tr>
      <w:tr w:rsidR="001C0EE2" w14:paraId="6B41E379" w14:textId="77777777">
        <w:trPr>
          <w:cantSplit/>
          <w:jc w:val="center"/>
        </w:trPr>
        <w:tc>
          <w:tcPr>
            <w:tcW w:w="1944" w:type="dxa"/>
            <w:tcMar>
              <w:top w:w="80" w:type="dxa"/>
              <w:left w:w="100" w:type="dxa"/>
              <w:bottom w:w="80" w:type="dxa"/>
              <w:right w:w="100" w:type="dxa"/>
            </w:tcMar>
            <w:vAlign w:val="center"/>
          </w:tcPr>
          <w:p w14:paraId="74AF3FFA"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02364978"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7AD266E" w14:textId="77777777" w:rsidR="001C0EE2" w:rsidRDefault="008652D7">
            <w:pPr>
              <w:spacing w:after="0" w:line="240" w:lineRule="auto"/>
            </w:pPr>
            <w:r>
              <w:t>Shape-preserving piecewise cubic Hermite interpolation (PCHIP) in Equations 4 and 5</w:t>
            </w:r>
          </w:p>
        </w:tc>
        <w:tc>
          <w:tcPr>
            <w:tcW w:w="3096" w:type="dxa"/>
            <w:tcMar>
              <w:top w:w="80" w:type="dxa"/>
              <w:left w:w="100" w:type="dxa"/>
              <w:bottom w:w="80" w:type="dxa"/>
              <w:right w:w="100" w:type="dxa"/>
            </w:tcMar>
            <w:vAlign w:val="center"/>
          </w:tcPr>
          <w:p w14:paraId="48A83FC0"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79A287D5" w14:textId="77777777" w:rsidR="001C0EE2" w:rsidRDefault="008652D7">
            <w:pPr>
              <w:spacing w:after="0" w:line="240" w:lineRule="auto"/>
            </w:pPr>
            <w:r>
              <w:rPr>
                <w:sz w:val="14"/>
              </w:rPr>
              <w:t>Algorithmic choice</w:t>
            </w:r>
          </w:p>
        </w:tc>
      </w:tr>
      <w:tr w:rsidR="001C0EE2" w14:paraId="01FB9CC8" w14:textId="77777777">
        <w:trPr>
          <w:cantSplit/>
          <w:jc w:val="center"/>
        </w:trPr>
        <w:tc>
          <w:tcPr>
            <w:tcW w:w="1944" w:type="dxa"/>
            <w:tcMar>
              <w:top w:w="80" w:type="dxa"/>
              <w:left w:w="100" w:type="dxa"/>
              <w:bottom w:w="80" w:type="dxa"/>
              <w:right w:w="100" w:type="dxa"/>
            </w:tcMar>
            <w:vAlign w:val="center"/>
          </w:tcPr>
          <w:p w14:paraId="59C084C7"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49B2AED1"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6E970AC"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24947424"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6E385401" w14:textId="77777777" w:rsidR="001C0EE2" w:rsidRDefault="008652D7">
            <w:pPr>
              <w:spacing w:after="0" w:line="240" w:lineRule="auto"/>
            </w:pPr>
            <w:r>
              <w:rPr>
                <w:sz w:val="14"/>
              </w:rPr>
              <w:t>Investigator smoothing/calibration choice</w:t>
            </w:r>
          </w:p>
        </w:tc>
      </w:tr>
      <w:tr w:rsidR="001C0EE2" w14:paraId="4754B516" w14:textId="77777777">
        <w:trPr>
          <w:cantSplit/>
          <w:jc w:val="center"/>
        </w:trPr>
        <w:tc>
          <w:tcPr>
            <w:tcW w:w="1944" w:type="dxa"/>
            <w:tcMar>
              <w:top w:w="80" w:type="dxa"/>
              <w:left w:w="100" w:type="dxa"/>
              <w:bottom w:w="80" w:type="dxa"/>
              <w:right w:w="100" w:type="dxa"/>
            </w:tcMar>
            <w:vAlign w:val="center"/>
          </w:tcPr>
          <w:p w14:paraId="2CBA6638"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5F049B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E48B40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62EE2AE"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7FBB1655" w14:textId="77777777" w:rsidR="001C0EE2" w:rsidRDefault="008652D7">
            <w:pPr>
              <w:spacing w:after="0" w:line="240" w:lineRule="auto"/>
            </w:pPr>
            <w:r>
              <w:rPr>
                <w:sz w:val="14"/>
              </w:rPr>
              <w:t>Reporting and physiologic floor choices</w:t>
            </w:r>
          </w:p>
        </w:tc>
      </w:tr>
      <w:tr w:rsidR="001C0EE2" w14:paraId="293414BE" w14:textId="77777777">
        <w:trPr>
          <w:cantSplit/>
          <w:jc w:val="center"/>
        </w:trPr>
        <w:tc>
          <w:tcPr>
            <w:tcW w:w="1944" w:type="dxa"/>
            <w:tcMar>
              <w:top w:w="80" w:type="dxa"/>
              <w:left w:w="100" w:type="dxa"/>
              <w:bottom w:w="80" w:type="dxa"/>
              <w:right w:w="100" w:type="dxa"/>
            </w:tcMar>
            <w:vAlign w:val="center"/>
          </w:tcPr>
          <w:p w14:paraId="17B3F0B9"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6D26B9F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1B9A4AF"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9EF809A"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425622D" w14:textId="77777777" w:rsidR="001C0EE2" w:rsidRDefault="008652D7">
            <w:pPr>
              <w:spacing w:after="0" w:line="240" w:lineRule="auto"/>
            </w:pPr>
            <w:r>
              <w:rPr>
                <w:sz w:val="14"/>
              </w:rPr>
              <w:t>Investigator stress-test setting</w:t>
            </w:r>
          </w:p>
        </w:tc>
      </w:tr>
      <w:tr w:rsidR="001C0EE2" w14:paraId="7AC7F24E" w14:textId="77777777">
        <w:trPr>
          <w:cantSplit/>
          <w:jc w:val="center"/>
        </w:trPr>
        <w:tc>
          <w:tcPr>
            <w:tcW w:w="1944" w:type="dxa"/>
            <w:tcMar>
              <w:top w:w="80" w:type="dxa"/>
              <w:left w:w="100" w:type="dxa"/>
              <w:bottom w:w="80" w:type="dxa"/>
              <w:right w:w="100" w:type="dxa"/>
            </w:tcMar>
            <w:vAlign w:val="center"/>
          </w:tcPr>
          <w:p w14:paraId="4E0C7FEF"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094D588"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78D096D9"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537F7DE"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F2CF535" w14:textId="77777777" w:rsidR="001C0EE2" w:rsidRDefault="008652D7">
            <w:pPr>
              <w:spacing w:after="0" w:line="240" w:lineRule="auto"/>
            </w:pPr>
            <w:r>
              <w:rPr>
                <w:sz w:val="14"/>
              </w:rPr>
              <w:t>Software validation rules</w:t>
            </w:r>
          </w:p>
        </w:tc>
      </w:tr>
      <w:tr w:rsidR="001C0EE2" w14:paraId="29FF5FA4" w14:textId="77777777">
        <w:trPr>
          <w:cantSplit/>
          <w:jc w:val="center"/>
        </w:trPr>
        <w:tc>
          <w:tcPr>
            <w:tcW w:w="1944" w:type="dxa"/>
            <w:tcMar>
              <w:top w:w="80" w:type="dxa"/>
              <w:left w:w="100" w:type="dxa"/>
              <w:bottom w:w="80" w:type="dxa"/>
              <w:right w:w="100" w:type="dxa"/>
            </w:tcMar>
            <w:vAlign w:val="center"/>
          </w:tcPr>
          <w:p w14:paraId="63A78482"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2C9357E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2BA0093E"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358F5E93"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82BF914" w14:textId="77777777" w:rsidR="001C0EE2" w:rsidRDefault="008652D7">
            <w:pPr>
              <w:spacing w:after="0" w:line="240" w:lineRule="auto"/>
            </w:pPr>
            <w:r>
              <w:rPr>
                <w:sz w:val="14"/>
              </w:rPr>
              <w:t>Implementation rule</w:t>
            </w:r>
          </w:p>
        </w:tc>
      </w:tr>
    </w:tbl>
    <w:p w14:paraId="4504D538" w14:textId="77777777" w:rsidR="001C0EE2" w:rsidRDefault="001C0EE2">
      <w:pPr>
        <w:spacing w:after="0"/>
      </w:pPr>
    </w:p>
    <w:p w14:paraId="6574997C"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7F79671A" w14:textId="77777777">
        <w:trPr>
          <w:cantSplit/>
          <w:tblHeader/>
          <w:jc w:val="center"/>
        </w:trPr>
        <w:tc>
          <w:tcPr>
            <w:tcW w:w="2088" w:type="dxa"/>
            <w:shd w:val="clear" w:color="auto" w:fill="D9EAF7"/>
            <w:tcMar>
              <w:top w:w="80" w:type="dxa"/>
              <w:left w:w="100" w:type="dxa"/>
              <w:bottom w:w="80" w:type="dxa"/>
              <w:right w:w="100" w:type="dxa"/>
            </w:tcMar>
            <w:vAlign w:val="center"/>
          </w:tcPr>
          <w:p w14:paraId="45312993"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A14CC17"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AE6401B"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E363D06"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1CFFAA1"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2CEB818" w14:textId="77777777" w:rsidR="001C0EE2" w:rsidRDefault="008652D7">
            <w:pPr>
              <w:spacing w:after="0" w:line="240" w:lineRule="auto"/>
            </w:pPr>
            <w:r>
              <w:rPr>
                <w:b/>
                <w:sz w:val="15"/>
              </w:rPr>
              <w:t>Published evidence</w:t>
            </w:r>
          </w:p>
        </w:tc>
      </w:tr>
      <w:tr w:rsidR="001C0EE2" w14:paraId="2F31DE8D" w14:textId="77777777">
        <w:trPr>
          <w:cantSplit/>
          <w:jc w:val="center"/>
        </w:trPr>
        <w:tc>
          <w:tcPr>
            <w:tcW w:w="2088" w:type="dxa"/>
            <w:tcMar>
              <w:top w:w="80" w:type="dxa"/>
              <w:left w:w="100" w:type="dxa"/>
              <w:bottom w:w="80" w:type="dxa"/>
              <w:right w:w="100" w:type="dxa"/>
            </w:tcMar>
            <w:vAlign w:val="center"/>
          </w:tcPr>
          <w:p w14:paraId="6F755058"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2984293"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263EA598"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4C6387CB"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215D63D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16CC1AEE"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306E544D" w14:textId="77777777">
        <w:trPr>
          <w:cantSplit/>
          <w:jc w:val="center"/>
        </w:trPr>
        <w:tc>
          <w:tcPr>
            <w:tcW w:w="2088" w:type="dxa"/>
            <w:tcMar>
              <w:top w:w="80" w:type="dxa"/>
              <w:left w:w="100" w:type="dxa"/>
              <w:bottom w:w="80" w:type="dxa"/>
              <w:right w:w="100" w:type="dxa"/>
            </w:tcMar>
            <w:vAlign w:val="center"/>
          </w:tcPr>
          <w:p w14:paraId="273382A5"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7E27A8FD"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28AE2D4"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352CAEAA"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358CD2"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37681EB2"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1B33B4D4" w14:textId="77777777">
        <w:trPr>
          <w:cantSplit/>
          <w:jc w:val="center"/>
        </w:trPr>
        <w:tc>
          <w:tcPr>
            <w:tcW w:w="2088" w:type="dxa"/>
            <w:tcMar>
              <w:top w:w="80" w:type="dxa"/>
              <w:left w:w="100" w:type="dxa"/>
              <w:bottom w:w="80" w:type="dxa"/>
              <w:right w:w="100" w:type="dxa"/>
            </w:tcMar>
            <w:vAlign w:val="center"/>
          </w:tcPr>
          <w:p w14:paraId="13A4EC4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390A607A"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5E23F0A0"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23D30ED5"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72ECB9A6"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E9AFEF3"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75C86A0F" w14:textId="77777777">
        <w:trPr>
          <w:cantSplit/>
          <w:jc w:val="center"/>
        </w:trPr>
        <w:tc>
          <w:tcPr>
            <w:tcW w:w="2088" w:type="dxa"/>
            <w:tcMar>
              <w:top w:w="80" w:type="dxa"/>
              <w:left w:w="100" w:type="dxa"/>
              <w:bottom w:w="80" w:type="dxa"/>
              <w:right w:w="100" w:type="dxa"/>
            </w:tcMar>
            <w:vAlign w:val="center"/>
          </w:tcPr>
          <w:p w14:paraId="29ACE8EE"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970C9FA"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27015BA8"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A25FBB8"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E36AAD2"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32440033"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722FC1DC" w14:textId="77777777">
        <w:trPr>
          <w:cantSplit/>
          <w:jc w:val="center"/>
        </w:trPr>
        <w:tc>
          <w:tcPr>
            <w:tcW w:w="2088" w:type="dxa"/>
            <w:tcMar>
              <w:top w:w="80" w:type="dxa"/>
              <w:left w:w="100" w:type="dxa"/>
              <w:bottom w:w="80" w:type="dxa"/>
              <w:right w:w="100" w:type="dxa"/>
            </w:tcMar>
            <w:vAlign w:val="center"/>
          </w:tcPr>
          <w:p w14:paraId="2499B0DF"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37231262"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7851C5B"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89DB856"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45B57696"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5D932CEF"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32E7C558" w14:textId="77777777">
        <w:trPr>
          <w:cantSplit/>
          <w:jc w:val="center"/>
        </w:trPr>
        <w:tc>
          <w:tcPr>
            <w:tcW w:w="2088" w:type="dxa"/>
            <w:tcMar>
              <w:top w:w="80" w:type="dxa"/>
              <w:left w:w="100" w:type="dxa"/>
              <w:bottom w:w="80" w:type="dxa"/>
              <w:right w:w="100" w:type="dxa"/>
            </w:tcMar>
            <w:vAlign w:val="center"/>
          </w:tcPr>
          <w:p w14:paraId="2D2D0A7C" w14:textId="77777777" w:rsidR="001C0EE2" w:rsidRDefault="008652D7">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33F810BD"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4EA6E665"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3E19252"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FB747A1"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543BE49"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8DC4C47" w14:textId="77777777">
        <w:trPr>
          <w:cantSplit/>
          <w:jc w:val="center"/>
        </w:trPr>
        <w:tc>
          <w:tcPr>
            <w:tcW w:w="2088" w:type="dxa"/>
            <w:tcMar>
              <w:top w:w="80" w:type="dxa"/>
              <w:left w:w="100" w:type="dxa"/>
              <w:bottom w:w="80" w:type="dxa"/>
              <w:right w:w="100" w:type="dxa"/>
            </w:tcMar>
            <w:vAlign w:val="center"/>
          </w:tcPr>
          <w:p w14:paraId="008A9E1C"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60E0432E"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167E1F98"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7F8ECE06"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482CB25"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48B813CC"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6DA8DA2E" w14:textId="77777777">
        <w:trPr>
          <w:cantSplit/>
          <w:jc w:val="center"/>
        </w:trPr>
        <w:tc>
          <w:tcPr>
            <w:tcW w:w="2088" w:type="dxa"/>
            <w:tcMar>
              <w:top w:w="80" w:type="dxa"/>
              <w:left w:w="100" w:type="dxa"/>
              <w:bottom w:w="80" w:type="dxa"/>
              <w:right w:w="100" w:type="dxa"/>
            </w:tcMar>
            <w:vAlign w:val="center"/>
          </w:tcPr>
          <w:p w14:paraId="16673176"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0FE14467"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009D04D"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388EC3F"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6DBF14C"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EC4C43B"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1C7133F" w14:textId="77777777" w:rsidR="001C0EE2" w:rsidRDefault="001C0EE2">
      <w:pPr>
        <w:spacing w:after="0"/>
      </w:pPr>
    </w:p>
    <w:p w14:paraId="4D3A070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62C07F6" w14:textId="77777777" w:rsidR="001C0EE2" w:rsidRDefault="008652D7">
      <w:pPr>
        <w:pStyle w:val="Heading2"/>
      </w:pPr>
      <w:bookmarkStart w:id="15" w:name="_Toc236342204"/>
      <w:r>
        <w:lastRenderedPageBreak/>
        <w:t>1.8 Reproducibility and implementation limits</w:t>
      </w:r>
      <w:bookmarkEnd w:id="15"/>
    </w:p>
    <w:p w14:paraId="223A3B3D"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stress testing. Causal treatment effects remain outside the scope of the simulator.</w:t>
      </w:r>
    </w:p>
    <w:p w14:paraId="2EFF68F4" w14:textId="77777777" w:rsidR="001C0EE2" w:rsidRDefault="008652D7">
      <w:r>
        <w:br w:type="page"/>
      </w:r>
    </w:p>
    <w:p w14:paraId="176A31A9" w14:textId="77777777" w:rsidR="001C0EE2" w:rsidRDefault="008652D7">
      <w:pPr>
        <w:pStyle w:val="Heading1"/>
      </w:pPr>
      <w:bookmarkStart w:id="16" w:name="_Toc236342205"/>
      <w:r>
        <w:lastRenderedPageBreak/>
        <w:t>Chapter 2. Internal calibration and validation status of HORMONE-CYCLE</w:t>
      </w:r>
      <w:bookmarkEnd w:id="16"/>
    </w:p>
    <w:p w14:paraId="5FFFCBC7" w14:textId="77777777" w:rsidR="001C0EE2" w:rsidRDefault="008652D7">
      <w:pPr>
        <w:pStyle w:val="Heading2"/>
      </w:pPr>
      <w:bookmarkStart w:id="17" w:name="_Toc236342206"/>
      <w:r>
        <w:t>2.1 Evaluation terminology and design</w:t>
      </w:r>
      <w:bookmarkEnd w:id="17"/>
    </w:p>
    <w:p w14:paraId="733971A6"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7DC9DDC5"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hormone-anchor and four kinetic smoke checks used 16 retained diaries balanced across eight age bands. Eight modifier scenarios tested code-defined directional or bounded behavior.</w:t>
      </w:r>
    </w:p>
    <w:p w14:paraId="444DC122"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75F704D9" w14:textId="77777777" w:rsidR="001C0EE2" w:rsidRDefault="008652D7">
      <w:pPr>
        <w:pStyle w:val="Heading2"/>
      </w:pPr>
      <w:bookmarkStart w:id="18" w:name="_Toc236342207"/>
      <w:r>
        <w:t>2.2 Baseline calibration targets and tolerances</w:t>
      </w:r>
      <w:bookmarkEnd w:id="18"/>
    </w:p>
    <w:p w14:paraId="2081EE52"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is therefore a structurally unmatched internal calibration check.</w:t>
      </w:r>
    </w:p>
    <w:p w14:paraId="33A09270" w14:textId="77777777" w:rsidR="001C0EE2" w:rsidRDefault="008652D7">
      <w:r>
        <w:t>Fourteen hormone-anchor checks compare seven estradiol and seven progesterone subphase summaries with Stricker-derived anchors. Four additional kinetic checks evaluate estradiol peak width, consecutive premenstrual progesterone withdrawal, the terminal-to-peak progesterone ratio, and cross-cycle progesterone continuity. The validation implementation retains two diaries from each of eight age bands (16 total). These checks confirm software output and approximate anchor reproduction in a small age-balanced sample. They do not establish population-level hormone validation.</w:t>
      </w:r>
    </w:p>
    <w:p w14:paraId="321E939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5A1053C7" w14:textId="77777777"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18 hormone anchor and kinetic checks use 16 retained diaries balanced across eight age bands (two per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16ACC049" w14:textId="77777777">
        <w:trPr>
          <w:cantSplit/>
          <w:tblHeader/>
          <w:jc w:val="center"/>
        </w:trPr>
        <w:tc>
          <w:tcPr>
            <w:tcW w:w="2664" w:type="dxa"/>
            <w:shd w:val="clear" w:color="auto" w:fill="D9EAF7"/>
            <w:tcMar>
              <w:top w:w="80" w:type="dxa"/>
              <w:left w:w="100" w:type="dxa"/>
              <w:bottom w:w="80" w:type="dxa"/>
              <w:right w:w="100" w:type="dxa"/>
            </w:tcMar>
            <w:vAlign w:val="center"/>
          </w:tcPr>
          <w:p w14:paraId="3F6AF048"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90BEB8"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3FF1540A"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2831CA24"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19249DFF"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2CCE0E17"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77FF42A6" w14:textId="77777777" w:rsidR="001C0EE2" w:rsidRDefault="008652D7">
            <w:pPr>
              <w:spacing w:after="0" w:line="240" w:lineRule="auto"/>
            </w:pPr>
            <w:r>
              <w:rPr>
                <w:b/>
                <w:sz w:val="14"/>
              </w:rPr>
              <w:t>Simulation sample</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30.59</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30.30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29.65 to 30.95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&lt;20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30.9%</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31.2%</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26.9% to 35.5%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30.00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29.45 to 30.55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20–24</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19.6%</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16.4% to 24.4%</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29.01</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29.10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28.55 to 29.65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25–29</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16.0%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16.4%</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12.4% to 20.4%</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28.77</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28.80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28.25 to 29.35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30–34</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14.6%</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14.7%</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10.7% to 18.7%</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35–39</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28.69</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28.80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28.25 to 29.35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35–39</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16.0%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11.9% to 19.9%</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28.54</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28.40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27.85 to 28.95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40–44</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19.9%</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20.2%</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16.2% to 24.2%</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28.41</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28.20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27.60 to 28.80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45–49</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26.2%</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27.2%</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23.2% to 31.2%</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32.23</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30.80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29.25 to 32.35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Adjacent-cycle difference of at least 7 days, age ≥50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52.7%</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55.4%</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44.6% to 66.1%</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16.83</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12.39</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4.70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2.50 to 5.50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10,000 synthetic participants</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42.76</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42.90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32.17 to 53.62</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0.44</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0.44</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0.29 to 0.59</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87.28</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88.10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66.07 to 110.12</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0.55</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0.56</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0.36 to 0.76</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230.96</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234.00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175.50 to 292.50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pre ovulatory</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1.31</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1.31</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0.85 to 1.77</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139.25</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141.00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105.75 to 176.25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1.43</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1.43</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0.93 to 1.93</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129.50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132.00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99.00 to 165.00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3.94</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2.57 to 5.33</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115.02</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117.00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87.75 to 146.25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mid luteal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11.03</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11.02</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7.16 to 14.88</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109.69</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111.00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83.25 to 138.75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6.67</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6.75</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4.39 to 9.11</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4.00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5.00</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0.0401</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t>Progesterone jump across cycle boundary</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t>0.04</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t>Stricker et al. (2006), daily series; prespecified kinetic smoke-check bound</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t>16 retained diaries balanced across eight age bands (two per band)</w:t>
            </w:r>
          </w:p>
        </w:tc>
      </w:tr>
    </w:tbl>
    <w:p w14:paraId="5200D5D9" w14:textId="77777777" w:rsidR="001C0EE2" w:rsidRDefault="001C0EE2">
      <w:pPr>
        <w:spacing w:after="0"/>
      </w:pPr>
    </w:p>
    <w:p w14:paraId="0518D7A7" w14:textId="77777777" w:rsidR="001C0EE2" w:rsidRDefault="008652D7">
      <w:pPr>
        <w:pStyle w:val="Heading2"/>
      </w:pPr>
      <w:bookmarkStart w:id="19" w:name="_Toc236342208"/>
      <w:r>
        <w:lastRenderedPageBreak/>
        <w:t>2.3 Modifier-scenario checks</w:t>
      </w:r>
      <w:bookmarkEnd w:id="19"/>
    </w:p>
    <w:p w14:paraId="2515D1C6"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w:t>
      </w:r>
      <w:proofErr w:type="spellStart"/>
      <w:r>
        <w:t>postmenarche</w:t>
      </w:r>
      <w:proofErr w:type="spellEnd"/>
      <w:r>
        <w:t xml:space="preserve"> and perimenopause scenarios are therefore not age-matched to their clinical populations. These results are software stress tests of the encoded modifier behavior.</w:t>
      </w:r>
    </w:p>
    <w:p w14:paraId="511D63EF" w14:textId="7777777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031088A1" w14:textId="77777777">
        <w:trPr>
          <w:cantSplit/>
          <w:tblHeader/>
          <w:jc w:val="center"/>
        </w:trPr>
        <w:tc>
          <w:tcPr>
            <w:tcW w:w="2736" w:type="dxa"/>
            <w:shd w:val="clear" w:color="auto" w:fill="D9EAF7"/>
            <w:tcMar>
              <w:top w:w="80" w:type="dxa"/>
              <w:left w:w="100" w:type="dxa"/>
              <w:bottom w:w="80" w:type="dxa"/>
              <w:right w:w="100" w:type="dxa"/>
            </w:tcMar>
            <w:vAlign w:val="center"/>
          </w:tcPr>
          <w:p w14:paraId="6F8F9AD8"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73343432"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34C35960"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4548916A"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0BFF6BAC"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60D268FE"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0312CB5E" w14:textId="77777777" w:rsidR="001C0EE2" w:rsidRDefault="008652D7">
            <w:pPr>
              <w:spacing w:after="0" w:line="240" w:lineRule="auto"/>
              <w:jc w:val="center"/>
            </w:pPr>
            <w:r>
              <w:rPr>
                <w:b/>
                <w:sz w:val="15"/>
              </w:rPr>
              <w:t>Code-defined checks</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Baseline reference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29.44</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90.5%</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4.69</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24.6%</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Reference</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Polycystic ovary syndrome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36.12</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42.7%</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5.11</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47.2%</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3/3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Cyclic combined oral contraceptive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4.00</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2/2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Continuous combined oral contraceptive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55.4%</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3/3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Levonorgestrel-releasing intrauterine device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29.65</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80.1%</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2.08</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24.8%</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17.4%</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2/2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Copper intrauterine device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29.46</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90.8%</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5.88</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24.4%</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2/2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Perimenopause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30.30</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52.3%</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5.92</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40.4%</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2/2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Early postmenarche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32.89</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54.8%</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5.81</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37.3%</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3/3 passed</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t>Primary dysmenorrhea</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t>29.27</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t>91.0%</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t>5.21</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t>24.8%</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t>2/2 passed</w:t>
            </w:r>
          </w:p>
        </w:tc>
      </w:tr>
    </w:tbl>
    <w:p w14:paraId="4ED1167A" w14:textId="77777777" w:rsidR="001C0EE2" w:rsidRDefault="001C0EE2">
      <w:pPr>
        <w:spacing w:after="0"/>
      </w:pPr>
    </w:p>
    <w:p w14:paraId="46583271"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1884916" w14:textId="77777777">
        <w:trPr>
          <w:cantSplit/>
          <w:tblHeader/>
          <w:jc w:val="center"/>
        </w:trPr>
        <w:tc>
          <w:tcPr>
            <w:tcW w:w="2520" w:type="dxa"/>
            <w:shd w:val="clear" w:color="auto" w:fill="D9EAF7"/>
            <w:tcMar>
              <w:top w:w="80" w:type="dxa"/>
              <w:left w:w="100" w:type="dxa"/>
              <w:bottom w:w="80" w:type="dxa"/>
              <w:right w:w="100" w:type="dxa"/>
            </w:tcMar>
            <w:vAlign w:val="center"/>
          </w:tcPr>
          <w:p w14:paraId="4093F7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0777FF64"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218D55E1"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46245535"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AE59C21"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55A3A1F0" w14:textId="77777777" w:rsidR="001C0EE2" w:rsidRDefault="008652D7">
            <w:pPr>
              <w:spacing w:after="0" w:line="240" w:lineRule="auto"/>
              <w:jc w:val="center"/>
            </w:pPr>
            <w:r>
              <w:rPr>
                <w:b/>
                <w:sz w:val="14"/>
              </w:rPr>
              <w:t>Result</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PCOS should shift mean cycle length upward versus baseline.</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36.12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31.44 days to 999.00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Mortimer et al. 2025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PCOS should increase cycle irregularity.</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47.2%</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32.6% to 100.0%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Mortimer et al. 2025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PCOS should reduce ovulation frequency.</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42.7%</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0.0% to 72.5%</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4.00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55.4%</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80.1%</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17.4%</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Copper IUDs should not materially suppress ovulation.</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90.8%</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85.5% to 95.5%</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Hubacher et al. 2009</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Copper IUDs should increase bleeding duration.</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5.88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5.19 days to 6.69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Hubacher et al. 2009</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Perimenopause should increase cycle irregularity.</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40.4%</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Santoro et al. 2008</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Perimenopause should reduce ovulation frequency.</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52.3%</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Santoro et al. 2008</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Peri-menarche cycles should be longer on average.</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32.89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Venturoli et al. 1987</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Peri-menarche cycles should be more irregular.</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37.3%</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Venturoli et al. 1987</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Peri-menarche cycles should be frequently anovulatory.</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54.8%</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Venturoli et al. 1987</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Primary dysmenorrhea should remain mostly ovulatory.</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91.0%</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82.5% to 98.5%</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t>Dysmenorrhea should mildly lengthen bleeding rather than strongly alter steroids.</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t>5.21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t>4.89 days to 5.89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t>Pass</w:t>
            </w:r>
          </w:p>
        </w:tc>
      </w:tr>
    </w:tbl>
    <w:p w14:paraId="7BAF1638" w14:textId="77777777" w:rsidR="001C0EE2" w:rsidRDefault="001C0EE2">
      <w:pPr>
        <w:spacing w:after="0"/>
      </w:pPr>
    </w:p>
    <w:p w14:paraId="06F45B48" w14:textId="77777777" w:rsidR="001C0EE2" w:rsidRDefault="008652D7">
      <w:pPr>
        <w:pStyle w:val="Heading2"/>
      </w:pPr>
      <w:bookmarkStart w:id="20" w:name="_Toc236342209"/>
      <w:r>
        <w:lastRenderedPageBreak/>
        <w:t>2.4 Graphical calibration summary</w:t>
      </w:r>
      <w:bookmarkEnd w:id="20"/>
    </w:p>
    <w:p w14:paraId="675E9313" w14:textId="77777777" w:rsidR="001C0EE2" w:rsidRDefault="008652D7">
      <w:pPr>
        <w:keepNext/>
        <w:keepLines/>
        <w:jc w:val="center"/>
      </w:pPr>
      <w:r>
        <w:rPr>
          <w:noProof/>
        </w:rPr>
        <w:drawing>
          <wp:inline distT="0" distB="0" distL="0" distR="0" wp14:anchorId="1A6C9FFB" wp14:editId="54422DE2">
            <wp:extent cx="7315200" cy="5144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144884"/>
                    </a:xfrm>
                    <a:prstGeom prst="rect">
                      <a:avLst/>
                    </a:prstGeom>
                  </pic:spPr>
                </pic:pic>
              </a:graphicData>
            </a:graphic>
          </wp:inline>
        </w:drawing>
      </w:r>
    </w:p>
    <w:p w14:paraId="323D2967" w14:textId="77777777" w:rsidR="001C0EE2" w:rsidRDefault="008652D7">
      <w:pPr>
        <w:pStyle w:val="Caption"/>
      </w:pPr>
      <w:r>
        <w:t xml:space="preserve">Appendix Figure A2. Internal target reproduction and kinetic checks.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and panels E and F show a complete ovulatory cycle plus the first day of the next cycle on separate estradiol and progesterone scales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balanced across eight age bands; panels E and F use a fixed-seed representative ovulatory cycle and mark the next bleeding onset. Early follicular, mid-follicular, preovulatory, ovulatory, early luteal, midluteal, and late luteal phases are shown. These are internal calibration and software smoke checks using development sources.</w:t>
      </w:r>
    </w:p>
    <w:p w14:paraId="6F6A24A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60D7C33" w14:textId="77777777" w:rsidR="001C0EE2" w:rsidRDefault="008652D7">
      <w:pPr>
        <w:pStyle w:val="Heading2"/>
      </w:pPr>
      <w:bookmarkStart w:id="21" w:name="_Toc236342210"/>
      <w:r>
        <w:lastRenderedPageBreak/>
        <w:t>2.5 Interpretation and remaining validation needs</w:t>
      </w:r>
      <w:bookmarkEnd w:id="21"/>
    </w:p>
    <w:p w14:paraId="5E62A6B0"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correlation, and between-person heterogeneity.</w:t>
      </w:r>
    </w:p>
    <w:p w14:paraId="09A198F0" w14:textId="77777777" w:rsidR="001C0EE2" w:rsidRDefault="008652D7">
      <w:r>
        <w:br w:type="page"/>
      </w:r>
    </w:p>
    <w:p w14:paraId="1774F15A" w14:textId="77777777" w:rsidR="001C0EE2" w:rsidRDefault="008652D7">
      <w:pPr>
        <w:pStyle w:val="Heading1"/>
      </w:pPr>
      <w:bookmarkStart w:id="22" w:name="_Toc236342211"/>
      <w:r>
        <w:lastRenderedPageBreak/>
        <w:t>Chapter 3. Additional analyses and methods augmenting the main results</w:t>
      </w:r>
      <w:bookmarkEnd w:id="22"/>
    </w:p>
    <w:p w14:paraId="7C5BCC14"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68B118EB" w14:textId="77777777" w:rsidR="001C0EE2" w:rsidRDefault="008652D7">
      <w:pPr>
        <w:pStyle w:val="Heading2"/>
      </w:pPr>
      <w:bookmarkStart w:id="23" w:name="_Toc236342212"/>
      <w:r>
        <w:t>3.1 Reproducibility, provenance, and simulator inputs</w:t>
      </w:r>
      <w:bookmarkEnd w:id="23"/>
    </w:p>
    <w:p w14:paraId="6D15E0BC"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7B5B85A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012447F2" w14:textId="77777777" w:rsidR="001C0EE2" w:rsidRDefault="008652D7">
      <w:r>
        <w:t>The completed manifest stores the analysis-code fingerprint 790990c743eba8c906a4a3f7308269c7f8e33045a33af8dccbf31ae9596d6512 and configuration fingerprint a74b5e244b27d698e749754ba114b58d543bf36bcf6002ed9faf449cb17e688c. These Secure Hash Algorithm 256-bit fingerprints identify the exact repaired analysis code and configuration used for the completed run.</w:t>
      </w:r>
    </w:p>
    <w:p w14:paraId="67E8B9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61D5785"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w:t>
      </w:r>
      <w:proofErr w:type="spellStart"/>
      <w:r>
        <w:t>Multidien</w:t>
      </w:r>
      <w:proofErr w:type="spellEnd"/>
      <w:r>
        <w:t>”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14D31FB1" w14:textId="77777777">
        <w:trPr>
          <w:cantSplit/>
          <w:tblHeader/>
          <w:jc w:val="center"/>
        </w:trPr>
        <w:tc>
          <w:tcPr>
            <w:tcW w:w="1440" w:type="dxa"/>
            <w:shd w:val="clear" w:color="auto" w:fill="D9EAF7"/>
            <w:tcMar>
              <w:top w:w="80" w:type="dxa"/>
              <w:left w:w="100" w:type="dxa"/>
              <w:bottom w:w="80" w:type="dxa"/>
              <w:right w:w="100" w:type="dxa"/>
            </w:tcMar>
            <w:vAlign w:val="center"/>
          </w:tcPr>
          <w:p w14:paraId="0EB369FA"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13F55B70"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46C19355"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0B3DEDD6"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61D9E8EE"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7FC9E98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00108536" w14:textId="77777777" w:rsidR="001C0EE2" w:rsidRDefault="008652D7">
            <w:pPr>
              <w:spacing w:after="0" w:line="240" w:lineRule="auto"/>
            </w:pPr>
            <w:r>
              <w:rPr>
                <w:b/>
                <w:sz w:val="15"/>
              </w:rPr>
              <w:t>Realized target</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Realized seizures/month</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Audit daily variance/mean</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Audit next-day clustering proxy</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Generator period and audit spectrum</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Not separately stored</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Participant age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Literature-calibrated distributions</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Li et al. 2023; Bull et al. 2019</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Mean and within-person SD</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Available in simulator validation suite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Ovulatory fraction</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Interpolated daily reference medians</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Stricker et al. 2006</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Simulator validation suite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Audit ILP fraction</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Participant prevalence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Participant prevalence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Participant prevalence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Not retained in participant summary</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Not applicable to completed run</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36 months with randomized starting phase</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Complete synthetic diaries</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Direct alignment and randomized menstrual starting phase preserved</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Manifested</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Both modes retained</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t>100,000 total</w:t>
            </w:r>
          </w:p>
        </w:tc>
      </w:tr>
    </w:tbl>
    <w:p w14:paraId="5B92A2D5" w14:textId="77777777" w:rsidR="001C0EE2" w:rsidRDefault="001C0EE2">
      <w:pPr>
        <w:spacing w:after="0"/>
      </w:pPr>
    </w:p>
    <w:p w14:paraId="237DBE64" w14:textId="77777777" w:rsidR="001C0EE2" w:rsidRDefault="008652D7">
      <w:pPr>
        <w:pStyle w:val="Heading2"/>
      </w:pPr>
      <w:bookmarkStart w:id="24" w:name="_Toc236342213"/>
      <w:r>
        <w:t>3.2 Assumption-by-assumption review</w:t>
      </w:r>
      <w:bookmarkEnd w:id="24"/>
    </w:p>
    <w:p w14:paraId="29FDC338"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0736FA5D"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E4554F9" w14:textId="77777777">
        <w:trPr>
          <w:cantSplit/>
          <w:tblHeader/>
          <w:jc w:val="center"/>
        </w:trPr>
        <w:tc>
          <w:tcPr>
            <w:tcW w:w="2880" w:type="dxa"/>
            <w:shd w:val="clear" w:color="auto" w:fill="D9EAF7"/>
            <w:tcMar>
              <w:top w:w="80" w:type="dxa"/>
              <w:left w:w="100" w:type="dxa"/>
              <w:bottom w:w="80" w:type="dxa"/>
              <w:right w:w="100" w:type="dxa"/>
            </w:tcMar>
            <w:vAlign w:val="center"/>
          </w:tcPr>
          <w:p w14:paraId="632F6C0B"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2D50CCE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0FD234EE" w14:textId="77777777" w:rsidR="001C0EE2" w:rsidRDefault="008652D7">
            <w:pPr>
              <w:spacing w:after="0" w:line="240" w:lineRule="auto"/>
            </w:pPr>
            <w:r>
              <w:rPr>
                <w:b/>
                <w:sz w:val="15"/>
              </w:rPr>
              <w:t>Limitation / implication</w:t>
            </w:r>
          </w:p>
        </w:tc>
      </w:tr>
      <w:tr w:rsidR="001C0EE2" w14:paraId="6DFC635C" w14:textId="77777777">
        <w:trPr>
          <w:cantSplit/>
          <w:jc w:val="center"/>
        </w:trPr>
        <w:tc>
          <w:tcPr>
            <w:tcW w:w="2880" w:type="dxa"/>
            <w:tcMar>
              <w:top w:w="80" w:type="dxa"/>
              <w:left w:w="100" w:type="dxa"/>
              <w:bottom w:w="80" w:type="dxa"/>
              <w:right w:w="100" w:type="dxa"/>
            </w:tcMar>
            <w:vAlign w:val="center"/>
          </w:tcPr>
          <w:p w14:paraId="14D98503"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77D09289"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179298CB" w14:textId="77777777" w:rsidR="001C0EE2" w:rsidRDefault="008652D7">
            <w:pPr>
              <w:spacing w:after="0" w:line="240" w:lineRule="auto"/>
            </w:pPr>
            <w:r>
              <w:rPr>
                <w:sz w:val="15"/>
              </w:rPr>
              <w:t>True catamenial effects and false negatives fall outside this null simulation.</w:t>
            </w:r>
          </w:p>
        </w:tc>
      </w:tr>
      <w:tr w:rsidR="001C0EE2" w14:paraId="7FD7BD02" w14:textId="77777777">
        <w:trPr>
          <w:cantSplit/>
          <w:jc w:val="center"/>
        </w:trPr>
        <w:tc>
          <w:tcPr>
            <w:tcW w:w="2880" w:type="dxa"/>
            <w:tcMar>
              <w:top w:w="80" w:type="dxa"/>
              <w:left w:w="100" w:type="dxa"/>
              <w:bottom w:w="80" w:type="dxa"/>
              <w:right w:w="100" w:type="dxa"/>
            </w:tcMar>
            <w:vAlign w:val="center"/>
          </w:tcPr>
          <w:p w14:paraId="067CA26F"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6701FEA"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46853890" w14:textId="77777777" w:rsidR="001C0EE2" w:rsidRDefault="008652D7">
            <w:pPr>
              <w:spacing w:after="0" w:line="240" w:lineRule="auto"/>
            </w:pPr>
            <w:r>
              <w:rPr>
                <w:sz w:val="15"/>
              </w:rPr>
              <w:t>No end-to-start wraparound is introduced; boundary exposure is randomized across menstrual phases.</w:t>
            </w:r>
          </w:p>
        </w:tc>
      </w:tr>
      <w:tr w:rsidR="001C0EE2" w14:paraId="27F02286" w14:textId="77777777">
        <w:trPr>
          <w:cantSplit/>
          <w:jc w:val="center"/>
        </w:trPr>
        <w:tc>
          <w:tcPr>
            <w:tcW w:w="2880" w:type="dxa"/>
            <w:tcMar>
              <w:top w:w="80" w:type="dxa"/>
              <w:left w:w="100" w:type="dxa"/>
              <w:bottom w:w="80" w:type="dxa"/>
              <w:right w:w="100" w:type="dxa"/>
            </w:tcMar>
            <w:vAlign w:val="center"/>
          </w:tcPr>
          <w:p w14:paraId="127AE79F"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101475D6"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7BF9599F" w14:textId="77777777" w:rsidR="001C0EE2" w:rsidRDefault="008652D7">
            <w:pPr>
              <w:spacing w:after="0" w:line="240" w:lineRule="auto"/>
            </w:pPr>
            <w:r>
              <w:rPr>
                <w:sz w:val="15"/>
              </w:rPr>
              <w:t>Medication changes and secular trends fall outside the data-generating model.</w:t>
            </w:r>
          </w:p>
        </w:tc>
      </w:tr>
      <w:tr w:rsidR="001C0EE2" w14:paraId="678517D1" w14:textId="77777777">
        <w:trPr>
          <w:cantSplit/>
          <w:jc w:val="center"/>
        </w:trPr>
        <w:tc>
          <w:tcPr>
            <w:tcW w:w="2880" w:type="dxa"/>
            <w:tcMar>
              <w:top w:w="80" w:type="dxa"/>
              <w:left w:w="100" w:type="dxa"/>
              <w:bottom w:w="80" w:type="dxa"/>
              <w:right w:w="100" w:type="dxa"/>
            </w:tcMar>
            <w:vAlign w:val="center"/>
          </w:tcPr>
          <w:p w14:paraId="4269289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57475F14"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681778E0" w14:textId="77777777" w:rsidR="001C0EE2" w:rsidRDefault="008652D7">
            <w:pPr>
              <w:spacing w:after="0" w:line="240" w:lineRule="auto"/>
            </w:pPr>
            <w:r>
              <w:rPr>
                <w:sz w:val="15"/>
              </w:rPr>
              <w:t>This reference cohort represents ovulatory menstrual cycling under the configured age range.</w:t>
            </w:r>
          </w:p>
        </w:tc>
      </w:tr>
      <w:tr w:rsidR="001C0EE2" w14:paraId="715E6A12" w14:textId="77777777">
        <w:trPr>
          <w:cantSplit/>
          <w:jc w:val="center"/>
        </w:trPr>
        <w:tc>
          <w:tcPr>
            <w:tcW w:w="2880" w:type="dxa"/>
            <w:tcMar>
              <w:top w:w="80" w:type="dxa"/>
              <w:left w:w="100" w:type="dxa"/>
              <w:bottom w:w="80" w:type="dxa"/>
              <w:right w:w="100" w:type="dxa"/>
            </w:tcMar>
            <w:vAlign w:val="center"/>
          </w:tcPr>
          <w:p w14:paraId="77EFA316"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3F506DF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B986B70"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2498764F" w14:textId="77777777">
        <w:trPr>
          <w:cantSplit/>
          <w:jc w:val="center"/>
        </w:trPr>
        <w:tc>
          <w:tcPr>
            <w:tcW w:w="2880" w:type="dxa"/>
            <w:tcMar>
              <w:top w:w="80" w:type="dxa"/>
              <w:left w:w="100" w:type="dxa"/>
              <w:bottom w:w="80" w:type="dxa"/>
              <w:right w:w="100" w:type="dxa"/>
            </w:tcMar>
            <w:vAlign w:val="center"/>
          </w:tcPr>
          <w:p w14:paraId="4E183231" w14:textId="77777777" w:rsidR="001C0EE2" w:rsidRDefault="008652D7">
            <w:pPr>
              <w:spacing w:after="0" w:line="240" w:lineRule="auto"/>
            </w:pPr>
            <w:r>
              <w:rPr>
                <w:sz w:val="15"/>
              </w:rPr>
              <w:lastRenderedPageBreak/>
              <w:t>Strict Herzog phases</w:t>
            </w:r>
          </w:p>
        </w:tc>
        <w:tc>
          <w:tcPr>
            <w:tcW w:w="4968" w:type="dxa"/>
            <w:tcMar>
              <w:top w:w="80" w:type="dxa"/>
              <w:left w:w="100" w:type="dxa"/>
              <w:bottom w:w="80" w:type="dxa"/>
              <w:right w:w="100" w:type="dxa"/>
            </w:tcMar>
            <w:vAlign w:val="center"/>
          </w:tcPr>
          <w:p w14:paraId="114A732C"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70310BA4" w14:textId="77777777" w:rsidR="001C0EE2" w:rsidRDefault="008652D7">
            <w:pPr>
              <w:spacing w:after="0" w:line="240" w:lineRule="auto"/>
            </w:pPr>
            <w:r>
              <w:rPr>
                <w:sz w:val="15"/>
              </w:rPr>
              <w:t>The ovulatory interval expands in longer cycles; the luteal-anchored mode tests a fixed interval.</w:t>
            </w:r>
          </w:p>
        </w:tc>
      </w:tr>
      <w:tr w:rsidR="001C0EE2" w14:paraId="0D7F3C0B" w14:textId="77777777">
        <w:trPr>
          <w:cantSplit/>
          <w:jc w:val="center"/>
        </w:trPr>
        <w:tc>
          <w:tcPr>
            <w:tcW w:w="2880" w:type="dxa"/>
            <w:tcMar>
              <w:top w:w="80" w:type="dxa"/>
              <w:left w:w="100" w:type="dxa"/>
              <w:bottom w:w="80" w:type="dxa"/>
              <w:right w:w="100" w:type="dxa"/>
            </w:tcMar>
            <w:vAlign w:val="center"/>
          </w:tcPr>
          <w:p w14:paraId="07FF858D"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70B32552"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3ABB659" w14:textId="77777777" w:rsidR="001C0EE2" w:rsidRDefault="008652D7">
            <w:pPr>
              <w:spacing w:after="0" w:line="240" w:lineRule="auto"/>
            </w:pPr>
            <w:r>
              <w:rPr>
                <w:sz w:val="15"/>
              </w:rPr>
              <w:t>Reduces observed denominators and can make short windows indeterminate.</w:t>
            </w:r>
          </w:p>
        </w:tc>
      </w:tr>
      <w:tr w:rsidR="001C0EE2" w14:paraId="152B3D53" w14:textId="77777777">
        <w:trPr>
          <w:cantSplit/>
          <w:jc w:val="center"/>
        </w:trPr>
        <w:tc>
          <w:tcPr>
            <w:tcW w:w="2880" w:type="dxa"/>
            <w:tcMar>
              <w:top w:w="80" w:type="dxa"/>
              <w:left w:w="100" w:type="dxa"/>
              <w:bottom w:w="80" w:type="dxa"/>
              <w:right w:w="100" w:type="dxa"/>
            </w:tcMar>
            <w:vAlign w:val="center"/>
          </w:tcPr>
          <w:p w14:paraId="652F1EF3"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BC34FE1"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DC5163" w14:textId="77777777" w:rsidR="001C0EE2" w:rsidRDefault="008652D7">
            <w:pPr>
              <w:spacing w:after="0" w:line="240" w:lineRule="auto"/>
            </w:pPr>
            <w:r>
              <w:rPr>
                <w:sz w:val="15"/>
              </w:rPr>
              <w:t>Threshold performance remains dependent on sparse numerator and comparator counts.</w:t>
            </w:r>
          </w:p>
        </w:tc>
      </w:tr>
      <w:tr w:rsidR="001C0EE2" w14:paraId="51D72339" w14:textId="77777777">
        <w:trPr>
          <w:cantSplit/>
          <w:jc w:val="center"/>
        </w:trPr>
        <w:tc>
          <w:tcPr>
            <w:tcW w:w="2880" w:type="dxa"/>
            <w:tcMar>
              <w:top w:w="80" w:type="dxa"/>
              <w:left w:w="100" w:type="dxa"/>
              <w:bottom w:w="80" w:type="dxa"/>
              <w:right w:w="100" w:type="dxa"/>
            </w:tcMar>
            <w:vAlign w:val="center"/>
          </w:tcPr>
          <w:p w14:paraId="36DC647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006A509"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59F61D83" w14:textId="77777777" w:rsidR="001C0EE2" w:rsidRDefault="008652D7">
            <w:pPr>
              <w:spacing w:after="0" w:line="240" w:lineRule="auto"/>
            </w:pPr>
            <w:r>
              <w:rPr>
                <w:sz w:val="15"/>
              </w:rPr>
              <w:t>Makes the sparse-event vulnerability transparent rather than silently adding a continuity correction.</w:t>
            </w:r>
          </w:p>
        </w:tc>
      </w:tr>
      <w:tr w:rsidR="001C0EE2" w14:paraId="2CA0F329" w14:textId="77777777">
        <w:trPr>
          <w:cantSplit/>
          <w:jc w:val="center"/>
        </w:trPr>
        <w:tc>
          <w:tcPr>
            <w:tcW w:w="2880" w:type="dxa"/>
            <w:tcMar>
              <w:top w:w="80" w:type="dxa"/>
              <w:left w:w="100" w:type="dxa"/>
              <w:bottom w:w="80" w:type="dxa"/>
              <w:right w:w="100" w:type="dxa"/>
            </w:tcMar>
            <w:vAlign w:val="center"/>
          </w:tcPr>
          <w:p w14:paraId="456F2C7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550A3E4D"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5050517" w14:textId="77777777" w:rsidR="001C0EE2" w:rsidRDefault="008652D7">
            <w:pPr>
              <w:spacing w:after="0" w:line="240" w:lineRule="auto"/>
            </w:pPr>
            <w:r>
              <w:rPr>
                <w:sz w:val="15"/>
              </w:rPr>
              <w:t>The cutoff captures one operational definition of luteal adequacy.</w:t>
            </w:r>
          </w:p>
        </w:tc>
      </w:tr>
      <w:tr w:rsidR="001C0EE2" w14:paraId="4B644C96" w14:textId="77777777">
        <w:trPr>
          <w:cantSplit/>
          <w:jc w:val="center"/>
        </w:trPr>
        <w:tc>
          <w:tcPr>
            <w:tcW w:w="2880" w:type="dxa"/>
            <w:tcMar>
              <w:top w:w="80" w:type="dxa"/>
              <w:left w:w="100" w:type="dxa"/>
              <w:bottom w:w="80" w:type="dxa"/>
              <w:right w:w="100" w:type="dxa"/>
            </w:tcMar>
            <w:vAlign w:val="center"/>
          </w:tcPr>
          <w:p w14:paraId="359D4164"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6CE25678"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21C1BD3" w14:textId="77777777" w:rsidR="001C0EE2" w:rsidRDefault="008652D7">
            <w:pPr>
              <w:spacing w:after="0" w:line="240" w:lineRule="auto"/>
            </w:pPr>
            <w:r>
              <w:rPr>
                <w:sz w:val="15"/>
              </w:rPr>
              <w:t>Type C3 sensitivity depends directly on the simulated prevalence of anovulation.</w:t>
            </w:r>
          </w:p>
        </w:tc>
      </w:tr>
      <w:tr w:rsidR="001C0EE2" w14:paraId="476F93A8" w14:textId="77777777">
        <w:trPr>
          <w:cantSplit/>
          <w:jc w:val="center"/>
        </w:trPr>
        <w:tc>
          <w:tcPr>
            <w:tcW w:w="2880" w:type="dxa"/>
            <w:tcMar>
              <w:top w:w="80" w:type="dxa"/>
              <w:left w:w="100" w:type="dxa"/>
              <w:bottom w:w="80" w:type="dxa"/>
              <w:right w:w="100" w:type="dxa"/>
            </w:tcMar>
            <w:vAlign w:val="center"/>
          </w:tcPr>
          <w:p w14:paraId="61DAF5A6"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0ED55F"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C1C5ED9" w14:textId="77777777" w:rsidR="001C0EE2" w:rsidRDefault="008652D7">
            <w:pPr>
              <w:spacing w:after="0" w:line="240" w:lineRule="auto"/>
            </w:pPr>
            <w:r>
              <w:rPr>
                <w:sz w:val="15"/>
              </w:rPr>
              <w:t>The four-month or six-cycle and four-seizure-day cutoffs are pragmatic sensitivity settings.</w:t>
            </w:r>
          </w:p>
        </w:tc>
      </w:tr>
      <w:tr w:rsidR="001C0EE2" w14:paraId="09E914EC" w14:textId="77777777">
        <w:trPr>
          <w:cantSplit/>
          <w:jc w:val="center"/>
        </w:trPr>
        <w:tc>
          <w:tcPr>
            <w:tcW w:w="2880" w:type="dxa"/>
            <w:tcMar>
              <w:top w:w="80" w:type="dxa"/>
              <w:left w:w="100" w:type="dxa"/>
              <w:bottom w:w="80" w:type="dxa"/>
              <w:right w:w="100" w:type="dxa"/>
            </w:tcMar>
            <w:vAlign w:val="center"/>
          </w:tcPr>
          <w:p w14:paraId="1E80724B"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40AD6E0E"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5863DB83" w14:textId="77777777" w:rsidR="001C0EE2" w:rsidRDefault="008652D7">
            <w:pPr>
              <w:spacing w:after="0" w:line="240" w:lineRule="auto"/>
            </w:pPr>
            <w:r>
              <w:rPr>
                <w:sz w:val="15"/>
              </w:rPr>
              <w:t>This analysis is a statistical calibration check for the simulator-based study.</w:t>
            </w:r>
          </w:p>
        </w:tc>
      </w:tr>
      <w:tr w:rsidR="001C0EE2" w14:paraId="6F7DDC29" w14:textId="77777777">
        <w:trPr>
          <w:cantSplit/>
          <w:jc w:val="center"/>
        </w:trPr>
        <w:tc>
          <w:tcPr>
            <w:tcW w:w="2880" w:type="dxa"/>
            <w:tcMar>
              <w:top w:w="80" w:type="dxa"/>
              <w:left w:w="100" w:type="dxa"/>
              <w:bottom w:w="80" w:type="dxa"/>
              <w:right w:w="100" w:type="dxa"/>
            </w:tcMar>
            <w:vAlign w:val="center"/>
          </w:tcPr>
          <w:p w14:paraId="4DD45D87"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6714DBEF"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26463C23" w14:textId="77777777" w:rsidR="001C0EE2" w:rsidRDefault="008652D7">
            <w:pPr>
              <w:spacing w:after="0" w:line="240" w:lineRule="auto"/>
            </w:pPr>
            <w:r>
              <w:rPr>
                <w:sz w:val="15"/>
              </w:rPr>
              <w:t>Uses only the saved 1% daily audit sample and stricter eligibility.</w:t>
            </w:r>
          </w:p>
        </w:tc>
      </w:tr>
      <w:tr w:rsidR="001C0EE2" w14:paraId="0F72CF4E" w14:textId="77777777">
        <w:trPr>
          <w:cantSplit/>
          <w:jc w:val="center"/>
        </w:trPr>
        <w:tc>
          <w:tcPr>
            <w:tcW w:w="2880" w:type="dxa"/>
            <w:tcMar>
              <w:top w:w="80" w:type="dxa"/>
              <w:left w:w="100" w:type="dxa"/>
              <w:bottom w:w="80" w:type="dxa"/>
              <w:right w:w="100" w:type="dxa"/>
            </w:tcMar>
            <w:vAlign w:val="center"/>
          </w:tcPr>
          <w:p w14:paraId="4A73FBBE"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5E8D829C"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75D88BA9" w14:textId="77777777" w:rsidR="001C0EE2" w:rsidRDefault="008652D7">
            <w:pPr>
              <w:spacing w:after="0" w:line="240" w:lineRule="auto"/>
            </w:pPr>
            <w:r>
              <w:rPr>
                <w:sz w:val="15"/>
              </w:rPr>
              <w:t>The first and final observed cycles may be partial; analyses requiring complete cycles exclude them.</w:t>
            </w:r>
          </w:p>
        </w:tc>
      </w:tr>
      <w:tr w:rsidR="001C0EE2" w14:paraId="47151893" w14:textId="77777777">
        <w:trPr>
          <w:cantSplit/>
          <w:jc w:val="center"/>
        </w:trPr>
        <w:tc>
          <w:tcPr>
            <w:tcW w:w="2880" w:type="dxa"/>
            <w:tcMar>
              <w:top w:w="80" w:type="dxa"/>
              <w:left w:w="100" w:type="dxa"/>
              <w:bottom w:w="80" w:type="dxa"/>
              <w:right w:w="100" w:type="dxa"/>
            </w:tcMar>
            <w:vAlign w:val="center"/>
          </w:tcPr>
          <w:p w14:paraId="42878F05"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58688AF"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7536818E" w14:textId="77777777" w:rsidR="001C0EE2" w:rsidRDefault="008652D7">
            <w:pPr>
              <w:spacing w:after="0" w:line="240" w:lineRule="auto"/>
            </w:pPr>
            <w:r>
              <w:rPr>
                <w:sz w:val="15"/>
              </w:rPr>
              <w:t>Limits transportability to clinical diaries with treatment changes or disease evolution.</w:t>
            </w:r>
          </w:p>
        </w:tc>
      </w:tr>
    </w:tbl>
    <w:p w14:paraId="0F5CA023" w14:textId="77777777" w:rsidR="001C0EE2" w:rsidRDefault="001C0EE2">
      <w:pPr>
        <w:spacing w:after="0"/>
      </w:pPr>
    </w:p>
    <w:p w14:paraId="6F78254B"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3BB27E" w14:textId="77777777" w:rsidR="001C0EE2" w:rsidRDefault="008652D7">
      <w:pPr>
        <w:pStyle w:val="Heading2"/>
      </w:pPr>
      <w:bookmarkStart w:id="25" w:name="_Toc236342214"/>
      <w:r>
        <w:lastRenderedPageBreak/>
        <w:t>3.3 Menstrual-phase labeling and complete-cycle rules</w:t>
      </w:r>
      <w:bookmarkEnd w:id="25"/>
    </w:p>
    <w:p w14:paraId="603B7C8A"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6525A235"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18E03F7" w14:textId="77777777">
        <w:trPr>
          <w:cantSplit/>
          <w:tblHeader/>
          <w:jc w:val="center"/>
        </w:trPr>
        <w:tc>
          <w:tcPr>
            <w:tcW w:w="1800" w:type="dxa"/>
            <w:shd w:val="clear" w:color="auto" w:fill="D9EAF7"/>
            <w:tcMar>
              <w:top w:w="80" w:type="dxa"/>
              <w:left w:w="100" w:type="dxa"/>
              <w:bottom w:w="80" w:type="dxa"/>
              <w:right w:w="100" w:type="dxa"/>
            </w:tcMar>
            <w:vAlign w:val="center"/>
          </w:tcPr>
          <w:p w14:paraId="6FCCB08E"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1A9E279B"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40622E10" w14:textId="77777777" w:rsidR="001C0EE2" w:rsidRDefault="008652D7">
            <w:pPr>
              <w:spacing w:after="0" w:line="240" w:lineRule="auto"/>
            </w:pPr>
            <w:r>
              <w:rPr>
                <w:b/>
                <w:sz w:val="16"/>
              </w:rPr>
              <w:t>Luteal-anchored sensitivity</w:t>
            </w:r>
          </w:p>
        </w:tc>
      </w:tr>
      <w:tr w:rsidR="001C0EE2" w14:paraId="3570BC84" w14:textId="77777777">
        <w:trPr>
          <w:cantSplit/>
          <w:jc w:val="center"/>
        </w:trPr>
        <w:tc>
          <w:tcPr>
            <w:tcW w:w="1800" w:type="dxa"/>
            <w:tcMar>
              <w:top w:w="80" w:type="dxa"/>
              <w:left w:w="100" w:type="dxa"/>
              <w:bottom w:w="80" w:type="dxa"/>
              <w:right w:w="100" w:type="dxa"/>
            </w:tcMar>
            <w:vAlign w:val="center"/>
          </w:tcPr>
          <w:p w14:paraId="103AE0A4"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3DC8B91D"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58725697" w14:textId="77777777" w:rsidR="001C0EE2" w:rsidRDefault="008652D7">
            <w:pPr>
              <w:spacing w:after="0" w:line="240" w:lineRule="auto"/>
            </w:pPr>
            <w:r>
              <w:rPr>
                <w:sz w:val="16"/>
              </w:rPr>
              <w:t>Same</w:t>
            </w:r>
          </w:p>
        </w:tc>
      </w:tr>
      <w:tr w:rsidR="001C0EE2" w14:paraId="0CF59DD7" w14:textId="77777777">
        <w:trPr>
          <w:cantSplit/>
          <w:jc w:val="center"/>
        </w:trPr>
        <w:tc>
          <w:tcPr>
            <w:tcW w:w="1800" w:type="dxa"/>
            <w:tcMar>
              <w:top w:w="80" w:type="dxa"/>
              <w:left w:w="100" w:type="dxa"/>
              <w:bottom w:w="80" w:type="dxa"/>
              <w:right w:w="100" w:type="dxa"/>
            </w:tcMar>
            <w:vAlign w:val="center"/>
          </w:tcPr>
          <w:p w14:paraId="40FCEFBE"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4286130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2C95E16B" w14:textId="77777777" w:rsidR="001C0EE2" w:rsidRDefault="008652D7">
            <w:pPr>
              <w:spacing w:after="0" w:line="240" w:lineRule="auto"/>
            </w:pPr>
            <w:r>
              <w:rPr>
                <w:sz w:val="16"/>
              </w:rPr>
              <w:t>All days not assigned to M, O, or L</w:t>
            </w:r>
          </w:p>
        </w:tc>
      </w:tr>
      <w:tr w:rsidR="001C0EE2" w14:paraId="4428E40F" w14:textId="77777777">
        <w:trPr>
          <w:cantSplit/>
          <w:jc w:val="center"/>
        </w:trPr>
        <w:tc>
          <w:tcPr>
            <w:tcW w:w="1800" w:type="dxa"/>
            <w:tcMar>
              <w:top w:w="80" w:type="dxa"/>
              <w:left w:w="100" w:type="dxa"/>
              <w:bottom w:w="80" w:type="dxa"/>
              <w:right w:w="100" w:type="dxa"/>
            </w:tcMar>
            <w:vAlign w:val="center"/>
          </w:tcPr>
          <w:p w14:paraId="45B4FE06"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4B81F981"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44DB516" w14:textId="77777777" w:rsidR="001C0EE2" w:rsidRDefault="008652D7">
            <w:pPr>
              <w:spacing w:after="0" w:line="240" w:lineRule="auto"/>
            </w:pPr>
            <w:r>
              <w:rPr>
                <w:sz w:val="16"/>
              </w:rPr>
              <w:t>Backward days −16 to −13</w:t>
            </w:r>
          </w:p>
        </w:tc>
      </w:tr>
      <w:tr w:rsidR="001C0EE2" w14:paraId="02795505" w14:textId="77777777">
        <w:trPr>
          <w:cantSplit/>
          <w:jc w:val="center"/>
        </w:trPr>
        <w:tc>
          <w:tcPr>
            <w:tcW w:w="1800" w:type="dxa"/>
            <w:tcMar>
              <w:top w:w="80" w:type="dxa"/>
              <w:left w:w="100" w:type="dxa"/>
              <w:bottom w:w="80" w:type="dxa"/>
              <w:right w:w="100" w:type="dxa"/>
            </w:tcMar>
            <w:vAlign w:val="center"/>
          </w:tcPr>
          <w:p w14:paraId="6FC1EFD5"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7E1ABD27"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62D78E42" w14:textId="77777777" w:rsidR="001C0EE2" w:rsidRDefault="008652D7">
            <w:pPr>
              <w:spacing w:after="0" w:line="240" w:lineRule="auto"/>
            </w:pPr>
            <w:r>
              <w:rPr>
                <w:sz w:val="16"/>
              </w:rPr>
              <w:t>Backward days −12 to −4</w:t>
            </w:r>
          </w:p>
        </w:tc>
      </w:tr>
      <w:tr w:rsidR="001C0EE2" w14:paraId="5E3A9385" w14:textId="77777777">
        <w:trPr>
          <w:cantSplit/>
          <w:jc w:val="center"/>
        </w:trPr>
        <w:tc>
          <w:tcPr>
            <w:tcW w:w="1800" w:type="dxa"/>
            <w:tcMar>
              <w:top w:w="80" w:type="dxa"/>
              <w:left w:w="100" w:type="dxa"/>
              <w:bottom w:w="80" w:type="dxa"/>
              <w:right w:w="100" w:type="dxa"/>
            </w:tcMar>
            <w:vAlign w:val="center"/>
          </w:tcPr>
          <w:p w14:paraId="03BF488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5C4E4739"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20F40ED" w14:textId="77777777" w:rsidR="001C0EE2" w:rsidRDefault="008652D7">
            <w:pPr>
              <w:spacing w:after="0" w:line="240" w:lineRule="auto"/>
            </w:pPr>
            <w:r>
              <w:rPr>
                <w:sz w:val="16"/>
              </w:rPr>
              <w:t>None</w:t>
            </w:r>
          </w:p>
        </w:tc>
      </w:tr>
    </w:tbl>
    <w:p w14:paraId="083A43D7" w14:textId="77777777" w:rsidR="001C0EE2" w:rsidRDefault="001C0EE2">
      <w:pPr>
        <w:spacing w:after="0"/>
      </w:pPr>
    </w:p>
    <w:p w14:paraId="3E493F82"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B16451B" w14:textId="77777777" w:rsidR="001C0EE2" w:rsidRDefault="008652D7">
      <w:pPr>
        <w:pStyle w:val="Heading2"/>
      </w:pPr>
      <w:bookmarkStart w:id="26" w:name="_Toc236342215"/>
      <w:r>
        <w:t>3.4 Type C3 and inadequate-luteal-phase algorithm</w:t>
      </w:r>
      <w:bookmarkEnd w:id="26"/>
    </w:p>
    <w:p w14:paraId="4065DF5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1F361833"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794B1F36"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51F94DC8" w14:textId="77777777" w:rsidR="001C0EE2" w:rsidRDefault="008652D7">
      <w:pPr>
        <w:pStyle w:val="Heading2"/>
      </w:pPr>
      <w:bookmarkStart w:id="27" w:name="_Toc236342216"/>
      <w:r>
        <w:t>3.5 Herzog seizure-frequency ratios and thresholds</w:t>
      </w:r>
      <w:bookmarkEnd w:id="27"/>
    </w:p>
    <w:p w14:paraId="6429D289"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w:t>
      </w:r>
      <w:r>
        <w:t xml:space="preserve">Equations </w:t>
      </w:r>
      <w:r>
        <w:fldChar w:fldCharType="begin"/>
      </w:r>
      <w:r>
        <w:instrText xml:space="preserve"> REF Eq_herzog_c1 \h </w:instrText>
      </w:r>
      <w:r>
        <w:fldChar w:fldCharType="separate"/>
      </w:r>
      <w:r>
        <w:t>(7)</w:t>
      </w:r>
      <w:r>
        <w:fldChar w:fldCharType="end"/>
      </w:r>
      <w:r>
        <w:t>–</w:t>
      </w:r>
      <w:r>
        <w:fldChar w:fldCharType="begin"/>
      </w:r>
      <w:r>
        <w:instrText xml:space="preserve"> REF Eq_herzog_c3 \h </w:instrText>
      </w:r>
      <w:r>
        <w:fldChar w:fldCharType="separate"/>
      </w:r>
      <w:r>
        <w:t>(9)</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337ECCA7" w14:textId="77777777" w:rsidR="001C0EE2" w:rsidRDefault="008652D7">
      <w:pPr>
        <w:keepNext/>
        <w:keepLines/>
        <w:tabs>
          <w:tab w:val="center" w:pos="4680"/>
          <w:tab w:val="right" w:pos="9360"/>
        </w:tabs>
        <w:spacing w:before="100" w:after="140"/>
      </w:pPr>
      <w:r>
        <w:t>[[EQUATION:herzog_c1]]</w:t>
      </w:r>
    </w:p>
    <w:p w14:paraId="227DF850" w14:textId="77777777" w:rsidR="001C0EE2" w:rsidRDefault="008652D7">
      <w:pPr>
        <w:keepNext/>
        <w:keepLines/>
        <w:tabs>
          <w:tab w:val="center" w:pos="4680"/>
          <w:tab w:val="right" w:pos="9360"/>
        </w:tabs>
        <w:spacing w:before="100" w:after="140"/>
      </w:pPr>
      <w:r>
        <w:t>[[EQUATION:herzog_c2]]</w:t>
      </w:r>
    </w:p>
    <w:p w14:paraId="55ABE024" w14:textId="77777777" w:rsidR="001C0EE2" w:rsidRDefault="008652D7">
      <w:pPr>
        <w:keepNext/>
        <w:keepLines/>
        <w:tabs>
          <w:tab w:val="center" w:pos="4680"/>
          <w:tab w:val="right" w:pos="9360"/>
        </w:tabs>
        <w:spacing w:before="100" w:after="140"/>
      </w:pPr>
      <w:r>
        <w:t>[[EQUATION:herzog_c3]]</w:t>
      </w:r>
    </w:p>
    <w:p w14:paraId="6E5D2EC8"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07D8A62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1D6B8EAC"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424D282A" w14:textId="77777777" w:rsidR="001C0EE2" w:rsidRDefault="008652D7">
      <w:pPr>
        <w:pStyle w:val="Heading3"/>
      </w:pPr>
      <w:bookmarkStart w:id="28" w:name="_Toc236342217"/>
      <w:r>
        <w:t>Panel A — Type C1</w:t>
      </w:r>
      <w:bookmarkEnd w:id="28"/>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604DE928" w14:textId="3B6BC029" w:rsidTr="007D4C8E">
        <w:trPr>
          <w:cantSplit/>
          <w:tblHeader/>
          <w:jc w:val="center"/>
        </w:trPr>
        <w:tc>
          <w:tcPr>
            <w:tcW w:w="2088" w:type="dxa"/>
            <w:shd w:val="clear" w:color="auto" w:fill="D9EAF7"/>
            <w:tcMar>
              <w:top w:w="80" w:type="dxa"/>
              <w:left w:w="100" w:type="dxa"/>
              <w:bottom w:w="80" w:type="dxa"/>
              <w:right w:w="100" w:type="dxa"/>
            </w:tcMar>
            <w:vAlign w:val="center"/>
          </w:tcPr>
          <w:p w14:paraId="250A9845" w14:textId="3FE79BC4"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22804DB5"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2F31ECE6"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95A0CB9"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EA6CE86" w14:textId="77777777" w:rsidR="007D4C8E" w:rsidRDefault="007D4C8E" w:rsidP="007D4C8E">
            <w:pPr>
              <w:spacing w:after="0" w:line="240" w:lineRule="auto"/>
              <w:jc w:val="center"/>
            </w:pPr>
            <w:r>
              <w:rPr>
                <w:b/>
                <w:sz w:val="16"/>
              </w:rPr>
              <w:t>Heterogeneous %</w:t>
            </w:r>
          </w:p>
        </w:tc>
        <w:tc>
          <w:tcPr>
            <w:tcW w:w="1800" w:type="dxa"/>
            <w:shd w:val="clear" w:color="auto" w:fill="D9EAF7"/>
          </w:tcPr>
          <w:p w14:paraId="5136BFB5" w14:textId="29D3A047" w:rsidR="007D4C8E" w:rsidRDefault="007D4C8E" w:rsidP="007D4C8E">
            <w:pPr>
              <w:spacing w:after="0" w:line="240" w:lineRule="auto"/>
              <w:jc w:val="center"/>
              <w:rPr>
                <w:b/>
                <w:sz w:val="16"/>
              </w:rPr>
            </w:pPr>
            <w:r>
              <w:rPr>
                <w:b/>
                <w:sz w:val="16"/>
              </w:rPr>
              <w:t>Herzog 2015, %</w:t>
              <w:br/>
              <w:t xml:space="preserve">(n=294) </w:t>
            </w:r>
            <w:r>
              <w:fldChar w:fldCharType="begin"/>
            </w:r>
            <w:r>
              <w:instrText xml:space="preserve"> ADDIN ZOTERO_ITEM CSL_CITATION {"citationID":"WWmTlzK0","properties":{"unsorted":false,"formattedCitation":"(25)","plainCitation":"(25)","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sz w:val="16"/>
                <w:noProof/>
              </w:rPr>
              <w:t>(25)</w:t>
            </w:r>
            <w:r>
              <w:fldChar w:fldCharType="end"/>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43,522</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43,607</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100.00</w:t>
            </w:r>
          </w:p>
        </w:tc>
        <w:tc>
          <w:tcPr>
            <w:tcW w:w="1800" w:type="dxa"/>
          </w:tcPr>
          <w:p w14:paraId="17A3C4A2" w14:textId="36B8868E" w:rsidR="007D4C8E" w:rsidRDefault="007D4C8E" w:rsidP="007D4C8E">
            <w:pPr>
              <w:spacing w:after="0" w:line="240" w:lineRule="auto"/>
              <w:jc w:val="center"/>
              <w:rPr>
                <w:sz w:val="16"/>
              </w:rPr>
            </w:pPr>
            <w:r>
              <w:t>100.00</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19,560</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44.94</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19,582</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44.91</w:t>
            </w:r>
          </w:p>
        </w:tc>
        <w:tc>
          <w:tcPr>
            <w:tcW w:w="1800" w:type="dxa"/>
          </w:tcPr>
          <w:p w14:paraId="17A3C4A2" w14:textId="36B8868E" w:rsidR="007D4C8E" w:rsidRDefault="007D4C8E" w:rsidP="007D4C8E">
            <w:pPr>
              <w:spacing w:after="0" w:line="240" w:lineRule="auto"/>
              <w:jc w:val="center"/>
              <w:rPr>
                <w:sz w:val="16"/>
              </w:rPr>
            </w:pPr>
            <w:r>
              <w:t>66.67</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11,804</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27.12</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11,928</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27.35</w:t>
            </w:r>
          </w:p>
        </w:tc>
        <w:tc>
          <w:tcPr>
            <w:tcW w:w="1800" w:type="dxa"/>
          </w:tcPr>
          <w:p w14:paraId="17A3C4A2" w14:textId="36B8868E" w:rsidR="007D4C8E" w:rsidRDefault="007D4C8E" w:rsidP="007D4C8E">
            <w:pPr>
              <w:spacing w:after="0" w:line="240" w:lineRule="auto"/>
              <w:jc w:val="center"/>
              <w:rPr>
                <w:sz w:val="16"/>
              </w:rPr>
            </w:pPr>
            <w:r>
              <w:t>38.10</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10,715</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24.62</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10,755</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24.66</w:t>
            </w:r>
          </w:p>
        </w:tc>
        <w:tc>
          <w:tcPr>
            <w:tcW w:w="1800" w:type="dxa"/>
          </w:tcPr>
          <w:p w14:paraId="17A3C4A2" w14:textId="36B8868E" w:rsidR="007D4C8E" w:rsidRDefault="007D4C8E" w:rsidP="007D4C8E">
            <w:pPr>
              <w:spacing w:after="0" w:line="240" w:lineRule="auto"/>
              <w:jc w:val="center"/>
              <w:rPr>
                <w:sz w:val="16"/>
              </w:rPr>
            </w:pPr>
            <w:r>
              <w:t>34.35</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5,979</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13.74</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6,037</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13.84</w:t>
            </w:r>
          </w:p>
        </w:tc>
        <w:tc>
          <w:tcPr>
            <w:tcW w:w="1800" w:type="dxa"/>
          </w:tcPr>
          <w:p w14:paraId="17A3C4A2" w14:textId="36B8868E" w:rsidR="007D4C8E" w:rsidRDefault="007D4C8E" w:rsidP="007D4C8E">
            <w:pPr>
              <w:spacing w:after="0" w:line="240" w:lineRule="auto"/>
              <w:jc w:val="center"/>
              <w:rPr>
                <w:sz w:val="16"/>
              </w:rPr>
            </w:pPr>
            <w:r>
              <w:t>21.43</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4,568</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10.50</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4,645</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10.65</w:t>
            </w:r>
          </w:p>
        </w:tc>
        <w:tc>
          <w:tcPr>
            <w:tcW w:w="1800" w:type="dxa"/>
          </w:tcPr>
          <w:p w14:paraId="17A3C4A2" w14:textId="36B8868E" w:rsidR="007D4C8E" w:rsidRDefault="007D4C8E" w:rsidP="007D4C8E">
            <w:pPr>
              <w:spacing w:after="0" w:line="240" w:lineRule="auto"/>
              <w:jc w:val="center"/>
              <w:rPr>
                <w:sz w:val="16"/>
              </w:rPr>
            </w:pPr>
            <w:r>
              <w:t>17.35</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3,352</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7.70</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3,386</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7.76</w:t>
            </w:r>
          </w:p>
        </w:tc>
        <w:tc>
          <w:tcPr>
            <w:tcW w:w="1800" w:type="dxa"/>
          </w:tcPr>
          <w:p w14:paraId="17A3C4A2" w14:textId="36B8868E" w:rsidR="007D4C8E" w:rsidRDefault="007D4C8E" w:rsidP="007D4C8E">
            <w:pPr>
              <w:spacing w:after="0" w:line="240" w:lineRule="auto"/>
              <w:jc w:val="center"/>
              <w:rPr>
                <w:sz w:val="16"/>
              </w:rPr>
            </w:pPr>
            <w:r>
              <w:t>14.97</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3,079</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7.07</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3,108</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7.13</w:t>
            </w:r>
          </w:p>
        </w:tc>
        <w:tc>
          <w:tcPr>
            <w:tcW w:w="1800" w:type="dxa"/>
          </w:tcPr>
          <w:p w14:paraId="17A3C4A2" w14:textId="36B8868E" w:rsidR="007D4C8E" w:rsidRDefault="007D4C8E" w:rsidP="007D4C8E">
            <w:pPr>
              <w:spacing w:after="0" w:line="240" w:lineRule="auto"/>
              <w:jc w:val="center"/>
              <w:rPr>
                <w:sz w:val="16"/>
              </w:rPr>
            </w:pPr>
            <w:r>
              <w:t>12.24</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2,879</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6.62</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2,903</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6.66</w:t>
            </w:r>
          </w:p>
        </w:tc>
        <w:tc>
          <w:tcPr>
            <w:tcW w:w="1800" w:type="dxa"/>
          </w:tcPr>
          <w:p w14:paraId="17A3C4A2" w14:textId="36B8868E" w:rsidR="007D4C8E" w:rsidRDefault="007D4C8E" w:rsidP="007D4C8E">
            <w:pPr>
              <w:spacing w:after="0" w:line="240" w:lineRule="auto"/>
              <w:jc w:val="center"/>
              <w:rPr>
                <w:sz w:val="16"/>
              </w:rPr>
            </w:pPr>
            <w:r>
              <w:t>10.54</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2,523</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2,523</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5.79</w:t>
            </w:r>
          </w:p>
        </w:tc>
        <w:tc>
          <w:tcPr>
            <w:tcW w:w="1800" w:type="dxa"/>
          </w:tcPr>
          <w:p w14:paraId="17A3C4A2" w14:textId="36B8868E" w:rsidR="007D4C8E" w:rsidRDefault="007D4C8E" w:rsidP="007D4C8E">
            <w:pPr>
              <w:spacing w:after="0" w:line="240" w:lineRule="auto"/>
              <w:jc w:val="center"/>
              <w:rPr>
                <w:sz w:val="16"/>
              </w:rPr>
            </w:pPr>
            <w:r>
              <w:t>8.16</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9</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2,458</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5.65</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2,452</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5.62</w:t>
            </w:r>
          </w:p>
        </w:tc>
        <w:tc>
          <w:tcPr>
            <w:tcW w:w="1800" w:type="dxa"/>
          </w:tcPr>
          <w:p w14:paraId="17A3C4A2" w14:textId="36B8868E" w:rsidR="007D4C8E" w:rsidRDefault="007D4C8E" w:rsidP="007D4C8E">
            <w:pPr>
              <w:spacing w:after="0" w:line="240" w:lineRule="auto"/>
              <w:jc w:val="center"/>
              <w:rPr>
                <w:sz w:val="16"/>
              </w:rPr>
            </w:pPr>
            <w:r>
              <w:t>7.48</w:t>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t>2,296</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t>5.28</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t>2,301</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t>5.28</w:t>
            </w:r>
          </w:p>
        </w:tc>
        <w:tc>
          <w:tcPr>
            <w:tcW w:w="1800" w:type="dxa"/>
          </w:tcPr>
          <w:p w14:paraId="17A3C4A2" w14:textId="36B8868E" w:rsidR="007D4C8E" w:rsidRDefault="007D4C8E" w:rsidP="007D4C8E">
            <w:pPr>
              <w:spacing w:after="0" w:line="240" w:lineRule="auto"/>
              <w:jc w:val="center"/>
              <w:rPr>
                <w:sz w:val="16"/>
              </w:rPr>
            </w:pPr>
            <w:r>
              <w:t>6.46</w:t>
            </w:r>
          </w:p>
        </w:tc>
      </w:tr>
    </w:tbl>
    <w:p w14:paraId="76788436" w14:textId="77777777" w:rsidR="001C0EE2" w:rsidRDefault="001C0EE2">
      <w:pPr>
        <w:spacing w:after="0"/>
      </w:pPr>
    </w:p>
    <w:p w14:paraId="0874FA97" w14:textId="77777777" w:rsidR="001C0EE2" w:rsidRDefault="008652D7">
      <w:pPr>
        <w:pStyle w:val="Heading3"/>
      </w:pPr>
      <w:bookmarkStart w:id="29" w:name="_Toc236342218"/>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48B76F22" w14:textId="77777777">
        <w:trPr>
          <w:cantSplit/>
          <w:tblHeader/>
          <w:jc w:val="center"/>
        </w:trPr>
        <w:tc>
          <w:tcPr>
            <w:tcW w:w="2088" w:type="dxa"/>
            <w:shd w:val="clear" w:color="auto" w:fill="D9EAF7"/>
            <w:tcMar>
              <w:top w:w="80" w:type="dxa"/>
              <w:left w:w="100" w:type="dxa"/>
              <w:bottom w:w="80" w:type="dxa"/>
              <w:right w:w="100" w:type="dxa"/>
            </w:tcMar>
            <w:vAlign w:val="center"/>
          </w:tcPr>
          <w:p w14:paraId="0ABE26C9"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3BE29BC6"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F7EE1F4"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1AF447A"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BE2D94E" w14:textId="77777777" w:rsidR="001C0EE2" w:rsidRDefault="008652D7">
            <w:pPr>
              <w:spacing w:after="0" w:line="240" w:lineRule="auto"/>
              <w:jc w:val="center"/>
            </w:pPr>
            <w:r>
              <w:rPr>
                <w:b/>
                <w:sz w:val="16"/>
              </w:rPr>
              <w:t>Heterogeneous %</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44,033</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44,332</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100.00</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20,132</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45.72</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20,655</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46.59</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11,380</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25.84</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11,453</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25.83</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10,446</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23.72</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10,436</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23.54</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6,809</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15.46</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6,779</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15.29</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5,068</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11.51</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5,085</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11.47</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4,076</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9.26</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4,207</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9.49</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3,594</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8.16</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3,745</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8.45</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3,265</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7.41</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3,449</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7.78</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3,065</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6.96</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3,246</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7.32</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2,940</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6.68</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3,112</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7.02</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t>6.39</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t>3,020</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t>6.81</w:t>
            </w:r>
          </w:p>
        </w:tc>
      </w:tr>
    </w:tbl>
    <w:p w14:paraId="4D25077B" w14:textId="77777777" w:rsidR="001C0EE2" w:rsidRDefault="001C0EE2">
      <w:pPr>
        <w:spacing w:after="0"/>
      </w:pPr>
    </w:p>
    <w:p w14:paraId="209CCAE8" w14:textId="77777777" w:rsidR="001C0EE2" w:rsidRDefault="008652D7">
      <w:pPr>
        <w:pStyle w:val="Heading3"/>
      </w:pPr>
      <w:bookmarkStart w:id="30" w:name="_Toc236342219"/>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22F729AA" w14:textId="77777777">
        <w:trPr>
          <w:cantSplit/>
          <w:tblHeader/>
          <w:jc w:val="center"/>
        </w:trPr>
        <w:tc>
          <w:tcPr>
            <w:tcW w:w="2232" w:type="dxa"/>
            <w:shd w:val="clear" w:color="auto" w:fill="D9EAF7"/>
            <w:tcMar>
              <w:top w:w="80" w:type="dxa"/>
              <w:left w:w="100" w:type="dxa"/>
              <w:bottom w:w="80" w:type="dxa"/>
              <w:right w:w="100" w:type="dxa"/>
            </w:tcMar>
            <w:vAlign w:val="center"/>
          </w:tcPr>
          <w:p w14:paraId="3A20FC3A"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1E78FDA9"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2A805E7" w14:textId="77777777" w:rsidR="001C0EE2" w:rsidRDefault="008652D7">
            <w:pPr>
              <w:spacing w:after="0" w:line="240" w:lineRule="auto"/>
              <w:jc w:val="center"/>
            </w:pPr>
            <w:r>
              <w:rPr>
                <w:b/>
                <w:sz w:val="16"/>
              </w:rPr>
              <w:t>Heterogeneous %</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16,955</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100.00</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10,422</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61.47</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8,874</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52.34</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8,411</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49.61</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7,808</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46.05</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7,543</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44.49</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7,408</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43.69</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7,352</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43.36</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7,305</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43.08</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7,273</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42.90</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9</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7,244</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42.72</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t>7,233</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t>42.66</w:t>
            </w:r>
          </w:p>
        </w:tc>
      </w:tr>
    </w:tbl>
    <w:p w14:paraId="24C2A236" w14:textId="77777777" w:rsidR="001C0EE2" w:rsidRDefault="001C0EE2">
      <w:pPr>
        <w:spacing w:after="0"/>
      </w:pPr>
    </w:p>
    <w:p w14:paraId="59D5B713" w14:textId="77777777" w:rsidR="001C0EE2" w:rsidRDefault="008652D7">
      <w:pPr>
        <w:pStyle w:val="Heading3"/>
      </w:pPr>
      <w:bookmarkStart w:id="31" w:name="_Toc236342220"/>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1D898AE8" w14:textId="77777777">
        <w:trPr>
          <w:cantSplit/>
          <w:tblHeader/>
          <w:jc w:val="center"/>
        </w:trPr>
        <w:tc>
          <w:tcPr>
            <w:tcW w:w="1008" w:type="dxa"/>
            <w:shd w:val="clear" w:color="auto" w:fill="D9EAF7"/>
            <w:tcMar>
              <w:top w:w="80" w:type="dxa"/>
              <w:left w:w="100" w:type="dxa"/>
              <w:bottom w:w="80" w:type="dxa"/>
              <w:right w:w="100" w:type="dxa"/>
            </w:tcMar>
            <w:vAlign w:val="center"/>
          </w:tcPr>
          <w:p w14:paraId="76DD3C59"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20612A7B"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AA765CF"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12F987B9"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09D88FAA"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540C1CDC"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6FBC1549" w14:textId="77777777" w:rsidR="001C0EE2" w:rsidRDefault="008652D7">
            <w:pPr>
              <w:spacing w:after="0" w:line="240" w:lineRule="auto"/>
              <w:jc w:val="center"/>
            </w:pPr>
            <w:r>
              <w:rPr>
                <w:b/>
                <w:sz w:val="15"/>
              </w:rPr>
              <w:t>Positive-infinite share</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t>41,563</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t>1,959</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t>6,478</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t>11,804</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t>1,959 (16.6%)</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t>41,616</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t>1,991</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t>6,393</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t>11,928</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t>1,991 (16.7%)</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t>41,551</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t>2,482</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t>5,967</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t>11,380</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t>2,482 (21.8%)</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t>41,591</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t>2,741</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t>5,668</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t>11,453</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t>2,741 (23.9%)</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t>9,842</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t>7,113</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t>3,324</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t>8,874</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t>7,113 (80.2%)</w:t>
            </w:r>
          </w:p>
        </w:tc>
      </w:tr>
    </w:tbl>
    <w:p w14:paraId="6933339E" w14:textId="77777777" w:rsidR="001C0EE2" w:rsidRDefault="001C0EE2">
      <w:pPr>
        <w:spacing w:after="0"/>
      </w:pPr>
    </w:p>
    <w:p w14:paraId="6C5033C6" w14:textId="77777777" w:rsidR="001C0EE2" w:rsidRDefault="008652D7">
      <w:r>
        <w:lastRenderedPageBreak/>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5BDF2B0A" w14:textId="77777777" w:rsidR="001C0EE2" w:rsidRDefault="008652D7">
      <w:pPr>
        <w:pStyle w:val="Heading2"/>
      </w:pPr>
      <w:bookmarkStart w:id="32" w:name="_Toc236342221"/>
      <w:r>
        <w:t>3.6 Type C3 window-duration sensitivity</w:t>
      </w:r>
      <w:bookmarkEnd w:id="32"/>
    </w:p>
    <w:p w14:paraId="1B82FF11" w14:textId="77777777" w:rsidR="001C0EE2" w:rsidRDefault="008652D7">
      <w:r>
        <w:t>Type C3 is the inadequate-luteal-phase pattern. This sensitivity analysis varies the amount of observation available for that pattern.</w:t>
      </w:r>
    </w:p>
    <w:p w14:paraId="0B800040"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260F35BC" w14:textId="77777777">
        <w:trPr>
          <w:cantSplit/>
          <w:tblHeader/>
          <w:jc w:val="center"/>
        </w:trPr>
        <w:tc>
          <w:tcPr>
            <w:tcW w:w="1728" w:type="dxa"/>
            <w:shd w:val="clear" w:color="auto" w:fill="D9EAF7"/>
            <w:tcMar>
              <w:top w:w="80" w:type="dxa"/>
              <w:left w:w="100" w:type="dxa"/>
              <w:bottom w:w="80" w:type="dxa"/>
              <w:right w:w="100" w:type="dxa"/>
            </w:tcMar>
            <w:vAlign w:val="center"/>
          </w:tcPr>
          <w:p w14:paraId="48965F42"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BD12FCE"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323E0F5"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0279D8CC"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177EA9A8"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13F5790" w14:textId="77777777" w:rsidR="001C0EE2" w:rsidRDefault="008652D7">
            <w:pPr>
              <w:spacing w:after="0" w:line="240" w:lineRule="auto"/>
              <w:jc w:val="center"/>
            </w:pPr>
            <w:r>
              <w:rPr>
                <w:b/>
                <w:sz w:val="16"/>
              </w:rPr>
              <w:t>All-attempted rate</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16,725</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7,947</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4,578</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57.6% (56.5%–58.7%)</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9.2%</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22,551</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16,491</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8,904</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54.0% (53.2%–54.8%)</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17.8%</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24,513</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18,996</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9,941</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52.3% (51.6%–53.0%)</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19.9%</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27,163</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22,284</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10,901</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48.9% (48.3%–49.6%)</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21.8%</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30,215</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25,610</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11,796</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46.1% (45.5%–46.7%)</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23.6%</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32,685</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28,203</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12,389</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43.9% (43.3%–44.5%)</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24.8%</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36,514</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31,976</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13,280</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41.5% (41.0%–42.1%)</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26.6%</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39,243</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34,655</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13,605</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39.3% (38.7%–39.8%)</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27.2%</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44,553</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39,310</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14,433</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36.7% (36.2%–37.2%)</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28.9%</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20,279</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16,955</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8,874</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52.3% (51.6%–53.1%)</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17.7%</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25,729</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22,325</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10,660</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47.7% (47.1%–48.4%)</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21.3%</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12 complete cycles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31,675</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28,078</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12,070</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24.1%</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t>44,553</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t>39,310</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t>14,433</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t>36.7% (36.2%–37.2%)</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t>28.9%</w:t>
            </w:r>
          </w:p>
        </w:tc>
      </w:tr>
    </w:tbl>
    <w:p w14:paraId="6AE46D7A" w14:textId="77777777" w:rsidR="001C0EE2" w:rsidRDefault="001C0EE2">
      <w:pPr>
        <w:spacing w:after="0"/>
      </w:pPr>
    </w:p>
    <w:p w14:paraId="5848D708"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D6E3587" w14:textId="77777777" w:rsidR="001C0EE2" w:rsidRDefault="008652D7">
      <w:pPr>
        <w:pStyle w:val="Heading2"/>
      </w:pPr>
      <w:bookmarkStart w:id="33" w:name="_Toc236342222"/>
      <w:r>
        <w:lastRenderedPageBreak/>
        <w:t>3.7 Investigator-selected minimum-data sensitivity</w:t>
      </w:r>
      <w:bookmarkEnd w:id="33"/>
    </w:p>
    <w:p w14:paraId="08088444"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49C6E0B8"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76422136" w14:textId="77777777">
        <w:trPr>
          <w:cantSplit/>
          <w:tblHeader/>
          <w:jc w:val="center"/>
        </w:trPr>
        <w:tc>
          <w:tcPr>
            <w:tcW w:w="1728" w:type="dxa"/>
            <w:shd w:val="clear" w:color="auto" w:fill="D9EAF7"/>
            <w:tcMar>
              <w:top w:w="80" w:type="dxa"/>
              <w:left w:w="100" w:type="dxa"/>
              <w:bottom w:w="80" w:type="dxa"/>
              <w:right w:w="100" w:type="dxa"/>
            </w:tcMar>
            <w:vAlign w:val="center"/>
          </w:tcPr>
          <w:p w14:paraId="6DA7DFA3"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C3B668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6DD91BB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D081630"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7A4814D0"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A53668D"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91F3C9" w14:textId="77777777" w:rsidR="001C0EE2" w:rsidRDefault="008652D7">
            <w:pPr>
              <w:spacing w:after="0" w:line="240" w:lineRule="auto"/>
              <w:jc w:val="center"/>
            </w:pPr>
            <w:r>
              <w:rPr>
                <w:b/>
                <w:sz w:val="14"/>
              </w:rPr>
              <w:t>All-attempted rate</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16,622</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38.5% (38.0%–38.9%)</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33.2%</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15,174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33.5% (33.1%–34.0%)</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30.3%</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11,843</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24.9% (24.5%–25.3%)</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23.7%</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5,602</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11.4% (11.1%–11.7%)</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11.2%</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16,491</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38.3% (37.8%–38.7%)</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33.0%</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15,218</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33.7% (33.2%–34.1%)</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30.4%</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11,865</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25.0% (24.6%–25.4%)</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23.7%</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5,584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11.4% (11.1%–11.6%)</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11.2%</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15,012</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37.3% (36.8%–37.8%)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30.0%</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13,952</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32.3% (31.9%–32.8%)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27.9%</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11,179</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24.1% (23.7%–24.5%)</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22.4%</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5,354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11.0% (10.7%–11.3%)</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10.7%</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14,881</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37.1% (36.6%–37.5%)</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29.8%</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14,110</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32.7% (32.3%–33.1%)</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28.2%</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11,261</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24.3% (23.9%–24.7%)</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22.5%</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5,363</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11.0% (10.7%–11.3%)</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10.7%</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13,737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36.5% (36.0%–37.0%)</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27.5%</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12,950</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31.5% (31.0%–31.9%)</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25.9%</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10,654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21.3%</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5,154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10.3%</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13,517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36.2% (35.7%–36.7%)</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27.0%</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13,114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26.2%</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10,692</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23.6% (23.2%–24.0%)</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21.4%</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5,147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10.6% (10.4%–10.9%)</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10.3%</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11,548</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35.3% (34.8%–35.8%)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23.1%</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11,394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30.4% (29.9%–30.8%)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22.8%</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9,704</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22.5% (22.1%–22.9%)</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19.4%</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4,836</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10.2% (9.9%–10.4%)</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9.7%</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11,437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35.1% (34.5%–35.6%)</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22.9%</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11,496</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30.7% (30.2%–31.1%)</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23.0%</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9,748</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22.6% (22.2%–23.0%)</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19.5%</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t>4,818</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t>10.1% (9.9%–10.4%)</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t>9.6%</w:t>
            </w:r>
          </w:p>
        </w:tc>
      </w:tr>
    </w:tbl>
    <w:p w14:paraId="16D8FB1E" w14:textId="77777777" w:rsidR="001C0EE2" w:rsidRDefault="001C0EE2">
      <w:pPr>
        <w:spacing w:after="0"/>
      </w:pPr>
    </w:p>
    <w:p w14:paraId="1D265ADC" w14:textId="77777777" w:rsidR="001C0EE2" w:rsidRDefault="008652D7">
      <w:pPr>
        <w:pStyle w:val="Heading2"/>
      </w:pPr>
      <w:bookmarkStart w:id="34" w:name="_Toc236342223"/>
      <w:r>
        <w:t>3.8 Model-concordant negative-binomial calibration checks</w:t>
      </w:r>
      <w:bookmarkEnd w:id="34"/>
    </w:p>
    <w:p w14:paraId="63785CC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w:t>
      </w:r>
      <w:proofErr w:type="spellStart"/>
      <w:r>
        <w:t>multidien</w:t>
      </w:r>
      <w:proofErr w:type="spellEnd"/>
      <w:r>
        <w:t xml:space="preserve"> rhythms, or participant heterogeneity. The indicator IM equals 1 on menstrual days, the indicator IO equals 1 on ovulatory days, and both equal 0 otherwise.</w:t>
      </w:r>
    </w:p>
    <w:p w14:paraId="1B8CE4C4" w14:textId="77777777" w:rsidR="001C0EE2" w:rsidRDefault="008652D7">
      <w:pPr>
        <w:keepNext/>
        <w:keepLines/>
        <w:tabs>
          <w:tab w:val="center" w:pos="4680"/>
          <w:tab w:val="right" w:pos="9360"/>
        </w:tabs>
        <w:spacing w:before="100" w:after="140"/>
      </w:pPr>
      <w:r>
        <w:t>[[EQUATION:nb_c1_c2_model]]</w:t>
      </w:r>
    </w:p>
    <w:p w14:paraId="0730E0D7" w14:textId="77777777" w:rsidR="001C0EE2" w:rsidRDefault="008652D7">
      <w:r>
        <w:t>Follicular and luteal days form the reference category because both phase indicators equal 0 on those days.</w:t>
      </w:r>
    </w:p>
    <w:p w14:paraId="792E3CF8"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w:t>
      </w:r>
      <w:r>
        <w:lastRenderedPageBreak/>
        <w:t>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 </w:t>
      </w:r>
      <w:r>
        <w:t xml:space="preserve">Equation </w:t>
      </w:r>
      <w:r>
        <w:fldChar w:fldCharType="begin"/>
      </w:r>
      <w:r>
        <w:instrText xml:space="preserve"> REF Eq_nb_dispersion \h </w:instrText>
      </w:r>
      <w:r>
        <w:fldChar w:fldCharType="separate"/>
      </w:r>
      <w:r>
        <w:t>(11)</w:t>
      </w:r>
      <w:r>
        <w:fldChar w:fldCharType="end"/>
      </w:r>
      <w:r>
        <w:t xml:space="preserve"> defines the participant-specific negative-binomial dispersion.</w:t>
      </w:r>
    </w:p>
    <w:p w14:paraId="7DE5DE04" w14:textId="77777777" w:rsidR="001C0EE2" w:rsidRDefault="008652D7">
      <w:pPr>
        <w:keepNext/>
        <w:keepLines/>
        <w:tabs>
          <w:tab w:val="center" w:pos="4680"/>
          <w:tab w:val="right" w:pos="9360"/>
        </w:tabs>
        <w:spacing w:before="100" w:after="140"/>
      </w:pPr>
      <w:r>
        <w:t>[[EQUATION:nb_dispersion]]</w:t>
      </w:r>
    </w:p>
    <w:p w14:paraId="76833D41"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3D1E5EB" w14:textId="77777777" w:rsidR="001C0EE2" w:rsidRDefault="008652D7">
      <w:r>
        <w:t/>
      </w:r>
      <w:r>
        <w:t xml:space="preserve">Equation </w:t>
      </w:r>
      <w:r>
        <w:fldChar w:fldCharType="begin"/>
      </w:r>
      <w:r>
        <w:instrText xml:space="preserve"> REF Eq_nb_c3_model \h </w:instrText>
      </w:r>
      <w:r>
        <w:fldChar w:fldCharType="separate"/>
      </w:r>
      <w:r>
        <w:t>(12)</w:t>
      </w:r>
      <w:r>
        <w:fldChar w:fldCharType="end"/>
      </w:r>
      <w:r>
        <w:t xml:space="preserve"> gives the exploratory type C3 model.</w:t>
      </w:r>
    </w:p>
    <w:p w14:paraId="466E3339" w14:textId="77777777" w:rsidR="001C0EE2" w:rsidRDefault="008652D7">
      <w:pPr>
        <w:keepNext/>
        <w:keepLines/>
        <w:tabs>
          <w:tab w:val="center" w:pos="4680"/>
          <w:tab w:val="right" w:pos="9360"/>
        </w:tabs>
        <w:spacing w:before="100" w:after="140"/>
      </w:pPr>
      <w:r>
        <w:t>[[EQUATION:nb_c3_model]]</w:t>
      </w:r>
    </w:p>
    <w:p w14:paraId="568FAD23" w14:textId="77777777" w:rsidR="001C0EE2" w:rsidRDefault="008652D7">
      <w:r>
        <w:t>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529110050. The type C3 exploratory analysis attempted all 500 retained heterogeneous participants: 440 had ratio-level type C3 applicability, 209 met regression data requirements, 268 had fewer than four complete inadequate-luteal-phase cycles, and 23 had fewer than four seizure days. All 209 classifiable participants used the negative-binomial fit; no robust-Poisson fallback or regression failure occurred. 8 were positive.</w:t>
      </w:r>
    </w:p>
    <w:p w14:paraId="60F20E1A" w14:textId="77777777" w:rsidR="001C0EE2" w:rsidRDefault="008652D7">
      <w:pPr>
        <w:pStyle w:val="Caption"/>
        <w:keepNext/>
      </w:pPr>
      <w:r>
        <w:t>Appendix Table S7. Exploratory type C3 negative-binomial calibration result in the retained 1% daily audit sample. All 500 retained heterogeneous participants were attempted; 440 were ratio-applicable, 209 were regression-classifiable, and 8 were positive. “All-attempted rate” is 8/500.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2A82BC2" w14:textId="77777777">
        <w:trPr>
          <w:cantSplit/>
          <w:tblHeader/>
          <w:jc w:val="center"/>
        </w:trPr>
        <w:tc>
          <w:tcPr>
            <w:tcW w:w="1728" w:type="dxa"/>
            <w:shd w:val="clear" w:color="auto" w:fill="D9EAF7"/>
            <w:tcMar>
              <w:top w:w="80" w:type="dxa"/>
              <w:left w:w="100" w:type="dxa"/>
              <w:bottom w:w="80" w:type="dxa"/>
              <w:right w:w="100" w:type="dxa"/>
            </w:tcMar>
            <w:vAlign w:val="center"/>
          </w:tcPr>
          <w:p w14:paraId="4113D4FC"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0DEA3B6"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683B40A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442B2D37"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77270D2"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0C5EF9F7" w14:textId="77777777" w:rsidR="001C0EE2" w:rsidRDefault="008652D7">
            <w:pPr>
              <w:spacing w:after="0" w:line="240" w:lineRule="auto"/>
              <w:jc w:val="center"/>
            </w:pPr>
            <w:r>
              <w:rPr>
                <w:b/>
                <w:sz w:val="16"/>
              </w:rPr>
              <w:t>All-attempted rate</w:t>
            </w:r>
          </w:p>
        </w:tc>
      </w:tr>
      <w:tr w:rsidR="001C0EE2" w14:paraId="4322F296" w14:textId="77777777">
        <w:trPr>
          <w:cantSplit/>
          <w:jc w:val="center"/>
        </w:trPr>
        <w:tc>
          <w:tcPr>
            <w:tcW w:w="1728" w:type="dxa"/>
            <w:tcMar>
              <w:top w:w="80" w:type="dxa"/>
              <w:left w:w="100" w:type="dxa"/>
              <w:bottom w:w="80" w:type="dxa"/>
              <w:right w:w="100" w:type="dxa"/>
            </w:tcMar>
            <w:vAlign w:val="center"/>
          </w:tcPr>
          <w:p w14:paraId="78A37FB3"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3366E825" w14:textId="77777777" w:rsidR="001C0EE2" w:rsidRDefault="008652D7">
            <w:pPr>
              <w:spacing w:after="0" w:line="240" w:lineRule="auto"/>
              <w:jc w:val="center"/>
            </w:pPr>
            <w:r>
              <w:t>440</w:t>
            </w:r>
          </w:p>
        </w:tc>
        <w:tc>
          <w:tcPr>
            <w:tcW w:w="2232" w:type="dxa"/>
            <w:tcMar>
              <w:top w:w="80" w:type="dxa"/>
              <w:left w:w="100" w:type="dxa"/>
              <w:bottom w:w="80" w:type="dxa"/>
              <w:right w:w="100" w:type="dxa"/>
            </w:tcMar>
            <w:vAlign w:val="center"/>
          </w:tcPr>
          <w:p w14:paraId="0DE49F7F" w14:textId="77777777" w:rsidR="001C0EE2" w:rsidRDefault="008652D7">
            <w:pPr>
              <w:spacing w:after="0" w:line="240" w:lineRule="auto"/>
              <w:jc w:val="center"/>
            </w:pPr>
            <w:r>
              <w:t>209</w:t>
            </w:r>
          </w:p>
        </w:tc>
        <w:tc>
          <w:tcPr>
            <w:tcW w:w="1440" w:type="dxa"/>
            <w:tcMar>
              <w:top w:w="80" w:type="dxa"/>
              <w:left w:w="100" w:type="dxa"/>
              <w:bottom w:w="80" w:type="dxa"/>
              <w:right w:w="100" w:type="dxa"/>
            </w:tcMar>
            <w:vAlign w:val="center"/>
          </w:tcPr>
          <w:p w14:paraId="16C78CA0" w14:textId="77777777" w:rsidR="001C0EE2" w:rsidRDefault="008652D7">
            <w:pPr>
              <w:spacing w:after="0" w:line="240" w:lineRule="auto"/>
              <w:jc w:val="center"/>
            </w:pPr>
            <w:r>
              <w:t>8</w:t>
            </w:r>
          </w:p>
        </w:tc>
        <w:tc>
          <w:tcPr>
            <w:tcW w:w="2952" w:type="dxa"/>
            <w:tcMar>
              <w:top w:w="80" w:type="dxa"/>
              <w:left w:w="100" w:type="dxa"/>
              <w:bottom w:w="80" w:type="dxa"/>
              <w:right w:w="100" w:type="dxa"/>
            </w:tcMar>
            <w:vAlign w:val="center"/>
          </w:tcPr>
          <w:p w14:paraId="006AA687" w14:textId="77777777" w:rsidR="001C0EE2" w:rsidRDefault="008652D7">
            <w:pPr>
              <w:spacing w:after="0" w:line="240" w:lineRule="auto"/>
              <w:jc w:val="center"/>
            </w:pPr>
            <w:r>
              <w:t>3.8% (2.0%–7.4%)</w:t>
            </w:r>
          </w:p>
        </w:tc>
        <w:tc>
          <w:tcPr>
            <w:tcW w:w="2592" w:type="dxa"/>
            <w:tcMar>
              <w:top w:w="80" w:type="dxa"/>
              <w:left w:w="100" w:type="dxa"/>
              <w:bottom w:w="80" w:type="dxa"/>
              <w:right w:w="100" w:type="dxa"/>
            </w:tcMar>
            <w:vAlign w:val="center"/>
          </w:tcPr>
          <w:p w14:paraId="168338B3" w14:textId="77777777" w:rsidR="001C0EE2" w:rsidRDefault="008652D7">
            <w:pPr>
              <w:spacing w:after="0" w:line="240" w:lineRule="auto"/>
              <w:jc w:val="center"/>
            </w:pPr>
            <w:r>
              <w:t>1.6%</w:t>
            </w:r>
          </w:p>
        </w:tc>
      </w:tr>
    </w:tbl>
    <w:p w14:paraId="2EC13561" w14:textId="77777777" w:rsidR="001C0EE2" w:rsidRDefault="001C0EE2">
      <w:pPr>
        <w:spacing w:after="0"/>
      </w:pPr>
    </w:p>
    <w:p w14:paraId="4529940B" w14:textId="77777777" w:rsidR="001C0EE2" w:rsidRDefault="008652D7">
      <w:pPr>
        <w:pStyle w:val="Heading2"/>
      </w:pPr>
      <w:bookmarkStart w:id="35" w:name="_Toc236342224"/>
      <w:r>
        <w:t>3.9 Mutually exclusive pattern decomposition</w:t>
      </w:r>
      <w:bookmarkEnd w:id="35"/>
    </w:p>
    <w:p w14:paraId="6721409C" w14:textId="77777777" w:rsidR="001C0EE2" w:rsidRDefault="008652D7">
      <w:r>
        <w:t>Type C1 denotes the perimenstrual pattern, type C2 the periovulatory pattern, and type C3 the inadequate-luteal-phase pattern. Table S8 separates their mutually exclusive combinations.</w:t>
      </w:r>
    </w:p>
    <w:p w14:paraId="01B89FFB" w14:textId="77777777" w:rsidR="001C0EE2" w:rsidRDefault="008652D7">
      <w:pPr>
        <w:pStyle w:val="Caption"/>
        <w:keepNext/>
      </w:pPr>
      <w:r>
        <w:lastRenderedPageBreak/>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01FEBBC5" w14:textId="77777777">
        <w:trPr>
          <w:cantSplit/>
          <w:tblHeader/>
          <w:jc w:val="center"/>
        </w:trPr>
        <w:tc>
          <w:tcPr>
            <w:tcW w:w="2736" w:type="dxa"/>
            <w:shd w:val="clear" w:color="auto" w:fill="D9EAF7"/>
            <w:tcMar>
              <w:top w:w="80" w:type="dxa"/>
              <w:left w:w="100" w:type="dxa"/>
              <w:bottom w:w="80" w:type="dxa"/>
              <w:right w:w="100" w:type="dxa"/>
            </w:tcMar>
            <w:vAlign w:val="center"/>
          </w:tcPr>
          <w:p w14:paraId="22DE049A"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3A634610"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D83B48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10B22572"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1D533DF0"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1D7BEA85"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35E0AAF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070C6802" w14:textId="77777777" w:rsidR="001C0EE2" w:rsidRDefault="008652D7">
            <w:pPr>
              <w:spacing w:after="0" w:line="240" w:lineRule="auto"/>
              <w:jc w:val="center"/>
            </w:pPr>
            <w:r>
              <w:rPr>
                <w:b/>
                <w:sz w:val="15"/>
              </w:rPr>
              <w:t>C3 with C1 and/or C2</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t>87.6%</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t>5.9%</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t>3.6%</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t>N/A</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t>86.4%</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t>5.5%</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t>3.1%</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t>1.8%</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t>N/A</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t>63.3%</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t>3.9%</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t>2.0%</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t>24.3%</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t>4.6%</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t>62.3%</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t>3.5%</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t>1.6%</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t>4.2%</w:t>
            </w:r>
          </w:p>
        </w:tc>
      </w:tr>
    </w:tbl>
    <w:p w14:paraId="33FA2A25" w14:textId="77777777" w:rsidR="001C0EE2" w:rsidRDefault="001C0EE2">
      <w:pPr>
        <w:spacing w:after="0"/>
      </w:pPr>
    </w:p>
    <w:p w14:paraId="1F2F9BD2" w14:textId="77777777" w:rsidR="001C0EE2" w:rsidRDefault="008652D7">
      <w:pPr>
        <w:pStyle w:val="Heading2"/>
      </w:pPr>
      <w:bookmarkStart w:id="36" w:name="_Toc236342225"/>
      <w:r>
        <w:t>3.10 Simulator-feature associations</w:t>
      </w:r>
      <w:bookmarkEnd w:id="36"/>
    </w:p>
    <w:p w14:paraId="00797A9F"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61C322" w14:textId="77777777" w:rsidR="001C0EE2" w:rsidRDefault="008652D7">
      <w:pPr>
        <w:pStyle w:val="Heading2"/>
      </w:pPr>
      <w:bookmarkStart w:id="37" w:name="_Toc236342226"/>
      <w:r>
        <w:t>3.11 Realized simulation distributions</w:t>
      </w:r>
      <w:bookmarkEnd w:id="37"/>
    </w:p>
    <w:p w14:paraId="7487D0FB" w14:textId="77777777" w:rsidR="001C0EE2" w:rsidRDefault="008652D7">
      <w:r>
        <w:t>The figures in this section show simulated data. Polycystic ovary syndrome (PCOS) and inadequate luteal phase (ILP) are written in abbreviated form within selected panel labels.</w:t>
      </w:r>
    </w:p>
    <w:p w14:paraId="19692C7D"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72DC8243"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107E2FCA"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53FC1DFE"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0A17694D" w14:textId="77777777" w:rsidR="001C0EE2" w:rsidRDefault="008652D7">
      <w:pPr>
        <w:keepNext/>
        <w:keepLines/>
        <w:jc w:val="center"/>
      </w:pPr>
      <w:r>
        <w:rPr>
          <w:noProof/>
        </w:rPr>
        <w:lastRenderedPageBreak/>
        <w:drawing>
          <wp:inline distT="0" distB="0" distL="0" distR="0" wp14:anchorId="26A5D4B9" wp14:editId="42DE721B">
            <wp:extent cx="7132320" cy="5051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51405"/>
                    </a:xfrm>
                    <a:prstGeom prst="rect">
                      <a:avLst/>
                    </a:prstGeom>
                  </pic:spPr>
                </pic:pic>
              </a:graphicData>
            </a:graphic>
          </wp:inline>
        </w:drawing>
      </w:r>
    </w:p>
    <w:p w14:paraId="3F2F6226"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7D527F8"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3"/>
                    </a:xfrm>
                    <a:prstGeom prst="rect">
                      <a:avLst/>
                    </a:prstGeom>
                  </pic:spPr>
                </pic:pic>
              </a:graphicData>
            </a:graphic>
          </wp:inline>
        </w:drawing>
      </w:r>
    </w:p>
    <w:p w14:paraId="676B189A"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129BBF0A"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2"/>
                    </a:xfrm>
                    <a:prstGeom prst="rect">
                      <a:avLst/>
                    </a:prstGeom>
                  </pic:spPr>
                </pic:pic>
              </a:graphicData>
            </a:graphic>
          </wp:inline>
        </w:drawing>
      </w:r>
    </w:p>
    <w:p w14:paraId="7BFC961B"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241781D9"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4DD14DC" w14:textId="77777777" w:rsidR="001C0EE2" w:rsidRDefault="008652D7">
      <w:pPr>
        <w:pStyle w:val="Heading2"/>
      </w:pPr>
      <w:bookmarkStart w:id="38" w:name="_Toc236342227"/>
      <w:r>
        <w:lastRenderedPageBreak/>
        <w:t>3.12 Interpretation of the supplementary analyses</w:t>
      </w:r>
      <w:bookmarkEnd w:id="38"/>
    </w:p>
    <w:p w14:paraId="20760A26"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B701F8E" w14:textId="77777777" w:rsidR="001C0EE2" w:rsidRDefault="008652D7">
      <w:pPr>
        <w:pStyle w:val="Heading1"/>
      </w:pPr>
      <w:bookmarkStart w:id="39" w:name="_Toc236342228"/>
      <w:r>
        <w:t>References</w:t>
      </w:r>
      <w:bookmarkEnd w:id="39"/>
    </w:p>
    <w:p w14:paraId="47777CED"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4E0070F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01FB21B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1A48CC0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5C840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1E59875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6BA951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59AFEBA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4CEF9B1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1F1E8BA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1DFDFD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349AAC4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2CCFAE4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365CCFA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2196091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13E67FC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0CC0F4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617A1C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2494EDA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006F1D0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41BA6A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279BE2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224DBB9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1B218CC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7123A09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7ED48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3B56C66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0B05FB2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7F81585D" w14:textId="77777777"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BB16E" w14:textId="77777777" w:rsidR="00B63D0F" w:rsidRDefault="00B63D0F">
      <w:pPr>
        <w:spacing w:line="240" w:lineRule="auto"/>
      </w:pPr>
      <w:r>
        <w:separator/>
      </w:r>
    </w:p>
  </w:endnote>
  <w:endnote w:type="continuationSeparator" w:id="0">
    <w:p w14:paraId="48A8198A" w14:textId="77777777" w:rsidR="00B63D0F" w:rsidRDefault="00B63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589C3"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EC9F9" w14:textId="77777777" w:rsidR="00B63D0F" w:rsidRDefault="00B63D0F">
      <w:pPr>
        <w:spacing w:line="240" w:lineRule="auto"/>
      </w:pPr>
      <w:r>
        <w:separator/>
      </w:r>
    </w:p>
  </w:footnote>
  <w:footnote w:type="continuationSeparator" w:id="0">
    <w:p w14:paraId="4165981E" w14:textId="77777777" w:rsidR="00B63D0F" w:rsidRDefault="00B63D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63B3E"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325E3"/>
    <w:rsid w:val="00932BEC"/>
    <w:rsid w:val="009344B9"/>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7B25A"/>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39</Pages>
  <Words>43839</Words>
  <Characters>249888</Characters>
  <Application>Microsoft Office Word</Application>
  <DocSecurity>0</DocSecurity>
  <Lines>2082</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5</cp:revision>
  <dcterms:created xsi:type="dcterms:W3CDTF">2026-08-08T22:24:00Z</dcterms:created>
  <dcterms:modified xsi:type="dcterms:W3CDTF">2026-08-11T22:19:00Z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