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A0BF4" w14:textId="77777777" w:rsidR="004B250B" w:rsidRDefault="00000000">
      <w:pPr>
        <w:pStyle w:val="Title"/>
        <w:jc w:val="center"/>
      </w:pPr>
      <w:r>
        <w:t>False Positive Catamenial Epilepsy Classification: A Simulation Study</w:t>
      </w:r>
    </w:p>
    <w:p w14:paraId="2609814F" w14:textId="77777777" w:rsidR="004B250B" w:rsidRDefault="00000000">
      <w:pPr>
        <w:jc w:val="center"/>
      </w:pPr>
      <w:r>
        <w:rPr>
          <w:b/>
        </w:rPr>
        <w:t>Research Article</w:t>
      </w:r>
    </w:p>
    <w:p w14:paraId="55B27C4E" w14:textId="77777777" w:rsidR="004B250B" w:rsidRDefault="00000000">
      <w:pPr>
        <w:jc w:val="center"/>
      </w:pPr>
      <w:r>
        <w:t>Daniel M. Goldenholz, MD, PhD¹; Wesley T. Kerr, MD, PhD²˒³˒⁴; Sharon Chiang, MD, PhD⁵; M. Brandon Westover, MD, PhD⁶; Rachael L. Sumner, PhD⁷˒⁸</w:t>
      </w:r>
    </w:p>
    <w:p w14:paraId="3B57968D" w14:textId="77777777" w:rsidR="004B250B" w:rsidRDefault="00000000">
      <w:r>
        <w:t>¹ Department of Neurology, Beth Israel Deaconess Medical Center, Harvard Medical School, Boston, Massachusetts, USA</w:t>
      </w:r>
    </w:p>
    <w:p w14:paraId="2A376D60" w14:textId="77777777" w:rsidR="004B250B" w:rsidRDefault="00000000">
      <w:r>
        <w:t>² Department of Neurology, University of Pittsburgh, Pittsburgh, Pennsylvania, USA</w:t>
      </w:r>
    </w:p>
    <w:p w14:paraId="2B6BC0A9" w14:textId="77777777" w:rsidR="004B250B" w:rsidRDefault="00000000">
      <w:r>
        <w:t>³ Department of Biomedical Informatics, University of Pittsburgh, Pittsburgh, Pennsylvania, USA</w:t>
      </w:r>
    </w:p>
    <w:p w14:paraId="5FCAE37E" w14:textId="77777777" w:rsidR="004B250B" w:rsidRDefault="00000000">
      <w:r>
        <w:t>⁴ Department of Psychiatry, University of Pittsburgh, Pittsburgh, Pennsylvania, USA</w:t>
      </w:r>
    </w:p>
    <w:p w14:paraId="05863949" w14:textId="77777777" w:rsidR="004B250B" w:rsidRDefault="00000000">
      <w:r>
        <w:t>⁵ Department of Neurology and Weill Institute for Neurosciences, University of California, San Francisco, San Francisco, California, USA</w:t>
      </w:r>
    </w:p>
    <w:p w14:paraId="09505733" w14:textId="77777777" w:rsidR="004B250B" w:rsidRDefault="00000000">
      <w:r>
        <w:t>⁶ Department of Neurology and Neurological Sciences, Stanford University School of Medicine, Stanford, California, USA</w:t>
      </w:r>
    </w:p>
    <w:p w14:paraId="6A2E0369" w14:textId="77777777" w:rsidR="004B250B" w:rsidRDefault="00000000">
      <w:r>
        <w:t>⁷ Department of Biomedicine and Medical Diagnostics, Auckland University of Technology, Auckland, New Zealand</w:t>
      </w:r>
    </w:p>
    <w:p w14:paraId="0245C2B8" w14:textId="77777777" w:rsidR="004B250B" w:rsidRDefault="00000000">
      <w:r>
        <w:t>⁸ School of Pharmacy, University of Auckland, Auckland, New Zealand</w:t>
      </w:r>
    </w:p>
    <w:p w14:paraId="494BABB7" w14:textId="72298605"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77075F06" w14:textId="77777777" w:rsidR="004B250B" w:rsidRDefault="00000000">
      <w:r>
        <w:rPr>
          <w:b/>
        </w:rPr>
        <w:t xml:space="preserve">Running title: </w:t>
      </w:r>
      <w:r>
        <w:t>False Positive Catamenial Classification</w:t>
      </w:r>
    </w:p>
    <w:p w14:paraId="70D56E53" w14:textId="77777777" w:rsidR="004B250B" w:rsidRDefault="00000000">
      <w:r>
        <w:rPr>
          <w:b/>
        </w:rPr>
        <w:t xml:space="preserve">Title character count (including spaces): </w:t>
      </w:r>
      <w:r>
        <w:t>69</w:t>
      </w:r>
    </w:p>
    <w:p w14:paraId="46F65DD0" w14:textId="60C4557B" w:rsidR="004B250B" w:rsidRDefault="00000000">
      <w:r>
        <w:rPr>
          <w:b/>
        </w:rPr>
        <w:t xml:space="preserve">Abstract word count: </w:t>
      </w:r>
      <w:r w:rsidR="00DB69EF">
        <w:t>193</w:t>
      </w:r>
    </w:p>
    <w:p w14:paraId="7479D18C" w14:textId="77777777" w:rsidR="004B250B" w:rsidRDefault="00000000">
      <w:r>
        <w:rPr>
          <w:b/>
        </w:rPr>
        <w:t xml:space="preserve">Main-text word count (Introduction through Discussion): </w:t>
      </w:r>
      <w:r>
        <w:t>1841</w:t>
      </w:r>
    </w:p>
    <w:p w14:paraId="0068D1AA" w14:textId="77777777" w:rsidR="004B250B" w:rsidRDefault="00000000">
      <w:r>
        <w:rPr>
          <w:b/>
        </w:rPr>
        <w:t xml:space="preserve">References: </w:t>
      </w:r>
      <w:r>
        <w:t>16</w:t>
      </w:r>
    </w:p>
    <w:p w14:paraId="50400627" w14:textId="77777777" w:rsidR="004B250B" w:rsidRDefault="00000000">
      <w:r>
        <w:rPr>
          <w:b/>
        </w:rPr>
        <w:t xml:space="preserve">Main tables / figures: </w:t>
      </w:r>
      <w:r>
        <w:t>3 / 3 (6 combined)</w:t>
      </w:r>
    </w:p>
    <w:p w14:paraId="4338E421" w14:textId="77777777" w:rsidR="004B250B" w:rsidRDefault="00000000">
      <w:r>
        <w:rPr>
          <w:b/>
        </w:rPr>
        <w:t xml:space="preserve">Supporting information: </w:t>
      </w:r>
      <w:r>
        <w:t>Appendix S1; Tables S1–S4 and Figures S1–S5</w:t>
      </w:r>
    </w:p>
    <w:p w14:paraId="7894A5AB" w14:textId="77777777" w:rsidR="004B250B" w:rsidRDefault="00000000">
      <w:r>
        <w:br w:type="page"/>
      </w:r>
    </w:p>
    <w:p w14:paraId="79A48F99" w14:textId="77777777" w:rsidR="004B250B" w:rsidRDefault="00000000">
      <w:pPr>
        <w:pStyle w:val="Heading1"/>
      </w:pPr>
      <w:r>
        <w:lastRenderedPageBreak/>
        <w:t>Abstract</w:t>
      </w:r>
    </w:p>
    <w:p w14:paraId="3925D1CD" w14:textId="19C35B19"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7AEE6AA1" w14:textId="3A9DB05C" w:rsidR="004B250B" w:rsidRDefault="00000000">
      <w:r>
        <w:rPr>
          <w:b/>
        </w:rPr>
        <w:t xml:space="preserve">Methods: </w:t>
      </w:r>
      <w:r>
        <w:t xml:space="preserve">We simulated 100,000 synthetic participants for 36 months in healthy ovulatory and heterogeneous menstruating-age cohorts. </w:t>
      </w:r>
      <w:proofErr w:type="gramStart"/>
      <w:r w:rsidR="00DB69EF">
        <w:t>Open source</w:t>
      </w:r>
      <w:proofErr w:type="gramEnd"/>
      <w:r w:rsidR="00DB69EF">
        <w:t xml:space="preserve"> simulators generated independent diaries: </w:t>
      </w:r>
      <w:r>
        <w:t xml:space="preserve">CHOCOLATES </w:t>
      </w:r>
      <w:r w:rsidR="00DB69EF">
        <w:t xml:space="preserve">for </w:t>
      </w:r>
      <w:r>
        <w:t>seizure</w:t>
      </w:r>
      <w:r w:rsidR="00DB69EF">
        <w:t xml:space="preserve">s </w:t>
      </w:r>
      <w:r>
        <w:t xml:space="preserve">HORMONE-CYCLE </w:t>
      </w:r>
      <w:r w:rsidR="00DB69EF">
        <w:t xml:space="preserve">for </w:t>
      </w:r>
      <w:r>
        <w:t xml:space="preserve">menstrual and hormone diaries. We applied the phase definitions and pattern-specific seizure-frequency ratio thresholds introduced by Herzog and colleagues (the Herzog criteria) across calendar, complete-cycle, and full-diary windows. A negative-binomial </w:t>
      </w:r>
      <w:r w:rsidR="00DB69EF">
        <w:t xml:space="preserve">analysis </w:t>
      </w:r>
      <w:r>
        <w:t>was</w:t>
      </w:r>
      <w:r w:rsidR="00DB69EF">
        <w:t xml:space="preserve"> used as</w:t>
      </w:r>
      <w:r>
        <w:t xml:space="preserve"> a model-concordant statistical calibration check. </w:t>
      </w:r>
    </w:p>
    <w:p w14:paraId="277D956E" w14:textId="455E237B" w:rsidR="004B250B" w:rsidRDefault="00000000">
      <w:r>
        <w:rPr>
          <w:b/>
        </w:rPr>
        <w:t xml:space="preserve">Results: </w:t>
      </w:r>
      <w:r>
        <w:t xml:space="preserve">In 36-month strict-Herzog windows, </w:t>
      </w:r>
      <w:r w:rsidR="007E4B9C">
        <w:t>CE</w:t>
      </w:r>
      <w:r>
        <w:t xml:space="preserve"> </w:t>
      </w:r>
      <w:r w:rsidR="007E4B9C">
        <w:t xml:space="preserve">was </w:t>
      </w:r>
      <w:r>
        <w:t xml:space="preserve">classified </w:t>
      </w:r>
      <w:r w:rsidR="007E4B9C">
        <w:t xml:space="preserve">in </w:t>
      </w:r>
      <w:r>
        <w:t xml:space="preserve">11.4% of healthy ovulatory and 35.8% of heterogeneous-cohort participants. In the heterogeneous cohort, the C1/C2 union was 11.7%, whereas C3 positivity occurred in 36.7% of applicable windows. C1/C2 negative-binomial false-positive rates were 4.2% and 4.1%. The exploratory C3 model </w:t>
      </w:r>
      <w:r w:rsidR="00721572">
        <w:t xml:space="preserve">identified </w:t>
      </w:r>
      <w:r>
        <w:t>3.9%</w:t>
      </w:r>
      <w:r w:rsidR="00721572">
        <w:t xml:space="preserve"> (</w:t>
      </w:r>
      <w:r>
        <w:t>95% Wilson confidence interval, 2.0%–7.5%). Three-month windowed Herzog rates were 41.9% and 50.8%.</w:t>
      </w:r>
    </w:p>
    <w:p w14:paraId="17DA68DE" w14:textId="08F35E26" w:rsidR="004B250B" w:rsidRDefault="00000000">
      <w:r>
        <w:rPr>
          <w:b/>
        </w:rPr>
        <w:t xml:space="preserve">Significance: </w:t>
      </w:r>
      <w:r>
        <w:t>False-positive classification can be common under independence, particularly when C3 logic is applied to heterogeneous cycles.</w:t>
      </w:r>
      <w:r w:rsidR="00DB69EF">
        <w:t xml:space="preserve"> I</w:t>
      </w:r>
      <w:r w:rsidR="00721572">
        <w:t xml:space="preserve">t is </w:t>
      </w:r>
      <w:r w:rsidR="00DB69EF">
        <w:t xml:space="preserve">therefore </w:t>
      </w:r>
      <w:r w:rsidR="00721572">
        <w:t xml:space="preserve">possible to </w:t>
      </w:r>
      <w:r w:rsidR="00DB69EF">
        <w:t>mis</w:t>
      </w:r>
      <w:r w:rsidR="00721572">
        <w:t>classify CE quite frequently</w:t>
      </w:r>
      <w:r w:rsidR="00DB69EF">
        <w:t xml:space="preserve"> under the current definitions</w:t>
      </w:r>
      <w:r w:rsidR="00721572">
        <w:t xml:space="preserve">. Details such as population type, observation period, and CE </w:t>
      </w:r>
      <w:r w:rsidR="00DB69EF">
        <w:t>criteria</w:t>
      </w:r>
      <w:r w:rsidR="00721572">
        <w:t xml:space="preserve"> carry important weight and should be approached thoughtfully.</w:t>
      </w:r>
    </w:p>
    <w:p w14:paraId="30F5C033" w14:textId="77777777" w:rsidR="004B250B" w:rsidRDefault="00000000">
      <w:r>
        <w:rPr>
          <w:b/>
        </w:rPr>
        <w:t xml:space="preserve">Keywords: </w:t>
      </w:r>
      <w:r>
        <w:t>catamenial epilepsy; false-positive classification; menstrual cycle; seizure diary; simulation</w:t>
      </w:r>
    </w:p>
    <w:p w14:paraId="5EDB3D2A" w14:textId="77777777" w:rsidR="004B250B" w:rsidRDefault="00000000">
      <w:pPr>
        <w:pStyle w:val="Heading1"/>
      </w:pPr>
      <w:r>
        <w:t>Key Points</w:t>
      </w:r>
    </w:p>
    <w:p w14:paraId="1BC66FE4" w14:textId="39D990FE" w:rsidR="004B250B" w:rsidRDefault="00000000">
      <w:pPr>
        <w:pStyle w:val="ListBullet"/>
      </w:pPr>
      <w:r>
        <w:t xml:space="preserve">Windowed Herzog criteria </w:t>
      </w:r>
      <w:r w:rsidR="00721572">
        <w:t>mis</w:t>
      </w:r>
      <w:r>
        <w:t>classified 11.4% of healthy and 35.8% of heterogeneous simulated participants in 36-month diaries.</w:t>
      </w:r>
    </w:p>
    <w:p w14:paraId="26BF4C6E" w14:textId="77777777" w:rsidR="004B250B" w:rsidRDefault="00000000">
      <w:pPr>
        <w:pStyle w:val="ListBullet"/>
      </w:pPr>
      <w:r>
        <w:t>The heterogeneous-cohort excess was primarily C3/inadequate-luteal-phase driven; C1/C2 rates were similar between cohorts.</w:t>
      </w:r>
    </w:p>
    <w:p w14:paraId="13E3E032" w14:textId="77777777" w:rsidR="004B250B" w:rsidRDefault="00000000">
      <w:pPr>
        <w:pStyle w:val="ListBullet"/>
      </w:pPr>
      <w:r>
        <w:t>Three-month observation windows produced substantially higher false-positive classification than longer monitoring.</w:t>
      </w:r>
    </w:p>
    <w:p w14:paraId="281C958A" w14:textId="77777777" w:rsidR="004B250B" w:rsidRDefault="00000000">
      <w:pPr>
        <w:pStyle w:val="ListBullet"/>
      </w:pPr>
      <w:r>
        <w:t>Pattern-specific reporting, transparent denominators, and prespecified minimum-data and phase-label rules are essential.</w:t>
      </w:r>
    </w:p>
    <w:p w14:paraId="6BA18B86" w14:textId="77777777" w:rsidR="004B250B" w:rsidRDefault="00000000">
      <w:pPr>
        <w:pStyle w:val="Heading1"/>
      </w:pPr>
      <w:r>
        <w:t>Introduction</w:t>
      </w:r>
    </w:p>
    <w:p w14:paraId="2F727CF5" w14:textId="499F2B05" w:rsidR="004B250B" w:rsidRDefault="00000000">
      <w:r>
        <w:t xml:space="preserve">Catamenial </w:t>
      </w:r>
      <w:r w:rsidR="004370B3">
        <w:t>epilepsy (CE)</w:t>
      </w:r>
      <w:r>
        <w:t xml:space="preserve"> describes seizure exacerbation in relation to the menstrual cycle. Perimenstrual (C1), periovulatory (C2), and inadequate-luteal-phase (C3) patterns are clinically recognized, but reported prevalence 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053CE4">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p>
    <w:p w14:paraId="56307E6C" w14:textId="1060436C" w:rsidR="004B250B" w:rsidRDefault="00000000">
      <w:r>
        <w:t>Prospective diary classifications may disagree with participants’ prior reports of catamenial seizure exacerbation. Such discordance can reflect unrecognized diary-defined patterns,</w:t>
      </w:r>
      <w:r w:rsidR="00E55EDA">
        <w:t xml:space="preserve"> incomplete reporting,</w:t>
      </w:r>
      <w:r>
        <w:t xml:space="preserve"> perceived patterns not confirmed by the selected quantitative criterion, or instability across limited observation windows</w:t>
      </w:r>
      <w:r w:rsidR="00E55EDA">
        <w:t>. Both methods may be valid in the right conditions</w:t>
      </w:r>
      <w:r>
        <w:t>.</w:t>
      </w:r>
      <w:r w:rsidR="0098476B">
        <w:fldChar w:fldCharType="begin"/>
      </w:r>
      <w:r w:rsidR="0098476B">
        <w:instrText xml:space="preserve"> ADDIN ZOTERO_ITEM CSL_CITATION {"citationID":"sg4AwVM3","properties":{"unsorted":false,"formattedCitation":"\\super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98476B">
        <w:fldChar w:fldCharType="separate"/>
      </w:r>
      <w:r w:rsidR="0098476B" w:rsidRPr="0098476B">
        <w:rPr>
          <w:rFonts w:eastAsiaTheme="minorEastAsia" w:cs="Times New Roman"/>
          <w:szCs w:val="24"/>
          <w:vertAlign w:val="superscript"/>
        </w:rPr>
        <w:t>3</w:t>
      </w:r>
      <w:r w:rsidR="0098476B">
        <w:fldChar w:fldCharType="end"/>
      </w:r>
    </w:p>
    <w:p w14:paraId="1D6ED0A6" w14:textId="7DDAE18A" w:rsidR="004B250B" w:rsidRDefault="00000000">
      <w:r>
        <w:t>Seizures are</w:t>
      </w:r>
      <w:r w:rsidR="00E55EDA">
        <w:t xml:space="preserve"> sometimes</w:t>
      </w:r>
      <w:r>
        <w:t xml:space="preserve"> temporally structured through clustering, circadian rhythms, and </w:t>
      </w:r>
      <w:proofErr w:type="spellStart"/>
      <w:r>
        <w:t>multidien</w:t>
      </w:r>
      <w:proofErr w:type="spellEnd"/>
      <w:r>
        <w:t xml:space="preserve"> rhythms. When these processes are independent of menstrual cycling, </w:t>
      </w:r>
      <w:r w:rsidR="00E55EDA">
        <w:t>time</w:t>
      </w:r>
      <w:r>
        <w:t xml:space="preserve"> windows can still align by chance. </w:t>
      </w:r>
      <w:r w:rsidR="00E55EDA">
        <w:t xml:space="preserve">We would consider such chance occurrences to be a </w:t>
      </w:r>
      <w:r w:rsidR="00E55EDA" w:rsidRPr="00E55EDA">
        <w:rPr>
          <w:i/>
          <w:iCs/>
        </w:rPr>
        <w:t>CE misclassification</w:t>
      </w:r>
      <w:r w:rsidR="00252310">
        <w:rPr>
          <w:i/>
          <w:iCs/>
        </w:rPr>
        <w:t xml:space="preserve"> </w:t>
      </w:r>
      <w:r w:rsidR="00252310">
        <w:t xml:space="preserve">or </w:t>
      </w:r>
      <w:r w:rsidR="00252310" w:rsidRPr="00252310">
        <w:rPr>
          <w:i/>
          <w:iCs/>
        </w:rPr>
        <w:t>false-positive classification</w:t>
      </w:r>
      <w:r w:rsidR="00E55EDA">
        <w:t xml:space="preserve">. </w:t>
      </w:r>
      <w:r>
        <w:t xml:space="preserve">Ratio definitions are especially vulnerable with sparse events: a small comparator count can yield a large or undefined ratio. </w:t>
      </w:r>
      <w:r w:rsidR="00766F8D">
        <w:fldChar w:fldCharType="begin"/>
      </w:r>
      <w:r w:rsidR="00766F8D">
        <w:instrText xml:space="preserve"> ADDIN ZOTERO_ITEM CSL_CITATION {"citationID":"HLOrXBzB","properties":{"unsorted":false,"formattedCitation":"\\super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66F8D" w:rsidRPr="00766F8D">
        <w:rPr>
          <w:rFonts w:eastAsiaTheme="minorEastAsia" w:cs="Times New Roman"/>
          <w:szCs w:val="24"/>
          <w:vertAlign w:val="superscript"/>
        </w:rPr>
        <w:t>4–6</w:t>
      </w:r>
      <w:r w:rsidR="00766F8D">
        <w:fldChar w:fldCharType="end"/>
      </w:r>
      <w:r w:rsidR="00E55EDA">
        <w:t xml:space="preserve"> </w:t>
      </w:r>
    </w:p>
    <w:p w14:paraId="3F473ADC" w14:textId="5155D6D0" w:rsidR="004B250B" w:rsidRDefault="00000000">
      <w:r>
        <w:t>We conducted a simulation</w:t>
      </w:r>
      <w:r w:rsidR="000D76B7">
        <w:t xml:space="preserve"> with diaries and hormone cycles generated independently</w:t>
      </w:r>
      <w:r>
        <w:t xml:space="preserve"> to estimate false-positive </w:t>
      </w:r>
      <w:r w:rsidR="00252310">
        <w:t>CE</w:t>
      </w:r>
      <w:r>
        <w:t xml:space="preserve"> classification across definitions and observation windows. The study evaluates specificity behavior only</w:t>
      </w:r>
      <w:r w:rsidR="00252310">
        <w:t>. Our aim was to determine the expected “noise” produced by completely independent systems overlapping by chance.</w:t>
      </w:r>
    </w:p>
    <w:p w14:paraId="2AA9D97F" w14:textId="77777777" w:rsidR="004B250B" w:rsidRDefault="00000000">
      <w:pPr>
        <w:pStyle w:val="Heading1"/>
      </w:pPr>
      <w:r>
        <w:lastRenderedPageBreak/>
        <w:t>Methods</w:t>
      </w:r>
    </w:p>
    <w:p w14:paraId="519D674A" w14:textId="58513867" w:rsidR="00252310" w:rsidRPr="00252310" w:rsidRDefault="00000000">
      <w:pPr>
        <w:rPr>
          <w:u w:val="single"/>
        </w:rPr>
      </w:pPr>
      <w:r w:rsidRPr="00252310">
        <w:rPr>
          <w:u w:val="single"/>
        </w:rPr>
        <w:t>Study design</w:t>
      </w:r>
    </w:p>
    <w:p w14:paraId="5109B33B" w14:textId="761092B4" w:rsidR="004B250B" w:rsidRDefault="00000000">
      <w:r>
        <w:t>For each synthetic participant, seizure and menstrual/hormone diaries were generated independently for 36 months. Analyses were stratified by cohort and phase-labeling mode.</w:t>
      </w:r>
    </w:p>
    <w:p w14:paraId="4A6CB2F3" w14:textId="77777777" w:rsidR="00252310" w:rsidRDefault="00000000">
      <w:r w:rsidRPr="00252310">
        <w:rPr>
          <w:u w:val="single"/>
        </w:rPr>
        <w:t>Cohorts</w:t>
      </w:r>
    </w:p>
    <w:p w14:paraId="7C2DACF5" w14:textId="222033D9"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ovulatory cycling enforced.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457019B8" w14:textId="77777777" w:rsidR="00252310" w:rsidRPr="00252310" w:rsidRDefault="00000000">
      <w:pPr>
        <w:rPr>
          <w:u w:val="single"/>
        </w:rPr>
      </w:pPr>
      <w:r w:rsidRPr="00252310">
        <w:rPr>
          <w:u w:val="single"/>
        </w:rPr>
        <w:t>Diary simulators</w:t>
      </w:r>
    </w:p>
    <w:p w14:paraId="7F511AA0" w14:textId="7DA566FE" w:rsidR="004B250B" w:rsidRDefault="00000000">
      <w:r>
        <w:t>CHOCOLATES generated</w:t>
      </w:r>
      <w:r w:rsidR="000D76B7">
        <w:t xml:space="preserve"> realistic self-reported</w:t>
      </w:r>
      <w:r>
        <w:t xml:space="preserve"> seizure counts</w:t>
      </w:r>
      <w:r w:rsidR="000D76B7">
        <w:t xml:space="preserve"> for all synthetic patients. The tool uses</w:t>
      </w:r>
      <w:r>
        <w:t xml:space="preserve"> a hierarchical gamma–Poisson</w:t>
      </w:r>
      <w:r w:rsidR="0074441A">
        <w:t xml:space="preserve"> (</w:t>
      </w:r>
      <w:r w:rsidR="007E1DA8">
        <w:t xml:space="preserve">equivalent to </w:t>
      </w:r>
      <w:r w:rsidR="0074441A">
        <w:t>negative binomial</w:t>
      </w:r>
      <w:r w:rsidR="007E1DA8">
        <w:t>)</w:t>
      </w:r>
      <w:r>
        <w:t xml:space="preserve"> process with participant heterogeneity, </w:t>
      </w:r>
      <w:r w:rsidR="000D76B7">
        <w:t xml:space="preserve">L-relationship, </w:t>
      </w:r>
      <w:r>
        <w:t xml:space="preserve">clustering, </w:t>
      </w:r>
      <w:proofErr w:type="spellStart"/>
      <w:r>
        <w:t>multidien</w:t>
      </w:r>
      <w:proofErr w:type="spellEnd"/>
      <w:r>
        <w:t xml:space="preserve"> cycles, and inter</w:t>
      </w:r>
      <w:r w:rsidR="000D76B7">
        <w:t>-</w:t>
      </w:r>
      <w:r>
        <w:t xml:space="preserve">seizure constraints. </w:t>
      </w:r>
      <w:r w:rsidR="00124921">
        <w:fldChar w:fldCharType="begin"/>
      </w:r>
      <w:r w:rsidR="00124921">
        <w:instrText xml:space="preserve"> ADDIN ZOTERO_ITEM CSL_CITATION {"citationID":"3QNIab7e","properties":{"unsorted":false,"formattedCitation":"\\super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124921" w:rsidRPr="00124921">
        <w:rPr>
          <w:rFonts w:eastAsiaTheme="minorEastAsia" w:cs="Times New Roman"/>
          <w:szCs w:val="24"/>
          <w:vertAlign w:val="superscript"/>
        </w:rPr>
        <w:t>7</w:t>
      </w:r>
      <w:r w:rsidR="00124921">
        <w:fldChar w:fldCharType="end"/>
      </w:r>
      <w:r>
        <w:t xml:space="preserve"> HORMONE-CYCLE is a new custom, simulator developed for the present project and released as an open-source community tool</w:t>
      </w:r>
      <w:r w:rsidR="000D76B7">
        <w:t xml:space="preserve"> (see Appendix)</w:t>
      </w:r>
      <w:r>
        <w:t xml:space="preserve">. </w:t>
      </w:r>
      <w:r w:rsidR="005D648A">
        <w:fldChar w:fldCharType="begin"/>
      </w:r>
      <w:r w:rsidR="005D648A">
        <w:instrText xml:space="preserve"> ADDIN ZOTERO_ITEM CSL_CITATION {"citationID":"D0Me1eIh","properties":{"unsorted":false,"formattedCitation":"\\super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5D648A" w:rsidRPr="005D648A">
        <w:rPr>
          <w:rFonts w:eastAsiaTheme="minorEastAsia" w:cs="Times New Roman"/>
          <w:szCs w:val="24"/>
          <w:vertAlign w:val="superscript"/>
        </w:rPr>
        <w:t>8</w:t>
      </w:r>
      <w:r w:rsidR="005D648A">
        <w:fldChar w:fldCharType="end"/>
      </w:r>
      <w:r>
        <w:t xml:space="preserve"> It samples participant traits and cycle realizations, then generates daily bleeding, ovulation, estradiol, and progesterone trajectories. Both simulators were designed in a data-driven manner to recapitulate statistical features observed within and across real patient populations</w:t>
      </w:r>
      <w:r w:rsidR="000D76B7">
        <w:t>, including randomized start times</w:t>
      </w:r>
      <w:r>
        <w:t>. The exact targets, sampling levels, realized distributions, and assumption-by-assumption rationale are reported in</w:t>
      </w:r>
      <w:r w:rsidR="00003413">
        <w:t xml:space="preserve"> the</w:t>
      </w:r>
      <w:r>
        <w:t xml:space="preserve"> Appendix. </w:t>
      </w:r>
      <w:r w:rsidR="00D62C09">
        <w:fldChar w:fldCharType="begin"/>
      </w:r>
      <w:r w:rsidR="00D62C09">
        <w:instrText xml:space="preserve"> ADDIN ZOTERO_ITEM CSL_CITATION {"citationID":"syjPk4OX","properties":{"unsorted":false,"formattedCitation":"\\super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D62C09" w:rsidRPr="00D62C09">
        <w:rPr>
          <w:rFonts w:eastAsiaTheme="minorEastAsia" w:cs="Times New Roman"/>
          <w:szCs w:val="24"/>
          <w:vertAlign w:val="superscript"/>
        </w:rPr>
        <w:t>9–11</w:t>
      </w:r>
      <w:r w:rsidR="00D62C09">
        <w:fldChar w:fldCharType="end"/>
      </w:r>
      <w:r>
        <w:t xml:space="preserve"> </w:t>
      </w:r>
      <w:r w:rsidR="00CA5AF3">
        <w:fldChar w:fldCharType="begin"/>
      </w:r>
      <w:r w:rsidR="00CA5AF3">
        <w:instrText xml:space="preserve"> ADDIN ZOTERO_ITEM CSL_CITATION {"citationID":"iQSrCXXC","properties":{"unsorted":false,"formattedCitation":"\\super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CA5AF3" w:rsidRPr="00CA5AF3">
        <w:rPr>
          <w:rFonts w:eastAsiaTheme="minorEastAsia" w:cs="Times New Roman"/>
          <w:szCs w:val="24"/>
          <w:vertAlign w:val="superscript"/>
        </w:rPr>
        <w:t>12</w:t>
      </w:r>
      <w:r w:rsidR="00CA5AF3">
        <w:fldChar w:fldCharType="end"/>
      </w:r>
    </w:p>
    <w:p w14:paraId="453A9FD5" w14:textId="151E09ED" w:rsidR="000D76B7" w:rsidRPr="000D76B7" w:rsidRDefault="00000000">
      <w:pPr>
        <w:rPr>
          <w:u w:val="single"/>
        </w:rPr>
      </w:pPr>
      <w:r w:rsidRPr="000D76B7">
        <w:rPr>
          <w:u w:val="single"/>
        </w:rPr>
        <w:t>Phase labeling and Herzog criteria</w:t>
      </w:r>
    </w:p>
    <w:p w14:paraId="6577746B" w14:textId="2FBBD601"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1661A1">
        <w:instrText xml:space="preserve"> ADDIN ZOTERO_ITEM CSL_CITATION {"citationID":"KZCTFQ4q","properties":{"unsorted":false,"formattedCitation":"\\super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1661A1" w:rsidRPr="001661A1">
        <w:rPr>
          <w:rFonts w:eastAsiaTheme="minorEastAsia" w:cs="Times New Roman"/>
          <w:szCs w:val="24"/>
          <w:vertAlign w:val="superscript"/>
        </w:rPr>
        <w:t>13</w:t>
      </w:r>
      <w:r w:rsidR="001661A1">
        <w:fldChar w:fldCharType="end"/>
      </w:r>
    </w:p>
    <w:p w14:paraId="32BA164C" w14:textId="4E504CB1"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0C7F3A">
        <w:instrText xml:space="preserve"> ADDIN ZOTERO_ITEM CSL_CITATION {"citationID":"mgTkcd27","properties":{"unsorted":false,"formattedCitation":"\\super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0C7F3A" w:rsidRPr="000C7F3A">
        <w:rPr>
          <w:rFonts w:eastAsiaTheme="minorEastAsia" w:cs="Times New Roman"/>
          <w:szCs w:val="24"/>
          <w:vertAlign w:val="superscript"/>
        </w:rPr>
        <w:t>13</w:t>
      </w:r>
      <w:r w:rsidR="000C7F3A">
        <w:fldChar w:fldCharType="end"/>
      </w:r>
      <w:r>
        <w:t xml:space="preserve"> A ratio was undefined when its numerator or comparator phase was absent or when both phase rates were zero; a positive numerator with zero comparator was treated as positive infinity.</w:t>
      </w:r>
    </w:p>
    <w:p w14:paraId="06810BD0" w14:textId="45290C00" w:rsidR="00AC6858" w:rsidRPr="00AC6858" w:rsidRDefault="00000000">
      <w:pPr>
        <w:rPr>
          <w:u w:val="single"/>
        </w:rPr>
      </w:pPr>
      <w:r w:rsidRPr="00AC6858">
        <w:rPr>
          <w:u w:val="single"/>
        </w:rPr>
        <w:t>C3 applicabilit</w:t>
      </w:r>
      <w:r w:rsidR="00AC6858" w:rsidRPr="00AC6858">
        <w:rPr>
          <w:u w:val="single"/>
        </w:rPr>
        <w:t>y</w:t>
      </w:r>
    </w:p>
    <w:p w14:paraId="27F62AE4" w14:textId="00A443BF" w:rsidR="004B250B" w:rsidRDefault="00000000">
      <w:r>
        <w:t xml:space="preserve">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r w:rsidR="00B9378A">
        <w:fldChar w:fldCharType="begin"/>
      </w:r>
      <w:r w:rsidR="00B9378A">
        <w:instrText xml:space="preserve"> ADDIN ZOTERO_ITEM CSL_CITATION {"citationID":"QEeNVymh","properties":{"unsorted":false,"formattedCitation":"\\super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B9378A" w:rsidRPr="00B9378A">
        <w:rPr>
          <w:rFonts w:eastAsiaTheme="minorEastAsia" w:cs="Times New Roman"/>
          <w:szCs w:val="24"/>
          <w:vertAlign w:val="superscript"/>
        </w:rPr>
        <w:t>13</w:t>
      </w:r>
      <w:r w:rsidR="00B9378A">
        <w:fldChar w:fldCharType="end"/>
      </w:r>
    </w:p>
    <w:p w14:paraId="19ECFEAD" w14:textId="4112342E" w:rsidR="00AC6858" w:rsidRPr="00AC6858" w:rsidRDefault="0074441A">
      <w:pPr>
        <w:rPr>
          <w:u w:val="single"/>
        </w:rPr>
      </w:pPr>
      <w:r>
        <w:rPr>
          <w:u w:val="single"/>
        </w:rPr>
        <w:t xml:space="preserve">CE </w:t>
      </w:r>
      <w:r w:rsidRPr="00AC6858">
        <w:rPr>
          <w:u w:val="single"/>
        </w:rPr>
        <w:t>Classification definitions</w:t>
      </w:r>
    </w:p>
    <w:p w14:paraId="29D83908" w14:textId="68507A5E" w:rsidR="004B250B" w:rsidRDefault="00000000">
      <w:r>
        <w:t>Exact Herzog 2004 required exactly three complete 23–35-day cycles and the same positive pattern in at least two cycles.</w:t>
      </w:r>
      <w:r w:rsidR="00171C99">
        <w:fldChar w:fldCharType="begin"/>
      </w:r>
      <w:r w:rsidR="00171C99">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171C99">
        <w:fldChar w:fldCharType="separate"/>
      </w:r>
      <w:r w:rsidR="00171C99" w:rsidRPr="00171C99">
        <w:rPr>
          <w:rFonts w:eastAsiaTheme="minorEastAsia" w:cs="Times New Roman"/>
          <w:szCs w:val="24"/>
          <w:vertAlign w:val="superscript"/>
        </w:rPr>
        <w:t>1</w:t>
      </w:r>
      <w:r w:rsidR="00171C99">
        <w:fldChar w:fldCharType="end"/>
      </w:r>
      <w:r>
        <w:t xml:space="preserve"> Windowed Herzog pooled the phase-specific ratios in each calendar, cycle-count, or full-diary window.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7194079A" w14:textId="77777777" w:rsidR="00AC6858" w:rsidRPr="00AC6858" w:rsidRDefault="00000000">
      <w:pPr>
        <w:rPr>
          <w:u w:val="single"/>
        </w:rPr>
      </w:pPr>
      <w:r w:rsidRPr="00AC6858">
        <w:rPr>
          <w:u w:val="single"/>
        </w:rPr>
        <w:lastRenderedPageBreak/>
        <w:t>Model-concordant statistical calibration checks</w:t>
      </w:r>
    </w:p>
    <w:p w14:paraId="6710B754" w14:textId="47D01862" w:rsidR="004B250B" w:rsidRDefault="00000000">
      <w:r>
        <w:t xml:space="preserve">Recurrent heterogeneous seizure counts are </w:t>
      </w:r>
      <w:proofErr w:type="spellStart"/>
      <w:r>
        <w:t>overdispersed</w:t>
      </w:r>
      <w:proofErr w:type="spellEnd"/>
      <w:r>
        <w:t xml:space="preserve">, motivating </w:t>
      </w:r>
      <w:r w:rsidR="0074441A">
        <w:t xml:space="preserve">negative binomial </w:t>
      </w:r>
      <w:r>
        <w:t xml:space="preserve">rather than simple Poisson models. </w:t>
      </w:r>
      <w:r w:rsidR="00001E29">
        <w:fldChar w:fldCharType="begin"/>
      </w:r>
      <w:r w:rsidR="00001E29">
        <w:instrText xml:space="preserve"> ADDIN ZOTERO_ITEM CSL_CITATION {"citationID":"bmB8Cjh7","properties":{"unsorted":false,"formattedCitation":"\\super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001E29" w:rsidRPr="00001E29">
        <w:rPr>
          <w:rFonts w:eastAsiaTheme="minorEastAsia" w:cs="Times New Roman"/>
          <w:szCs w:val="24"/>
          <w:vertAlign w:val="superscript"/>
        </w:rPr>
        <w:t>7</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0756000A"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0A9D2567" w14:textId="77777777" w:rsidR="00AC6858" w:rsidRPr="00AC6858" w:rsidRDefault="00000000">
      <w:pPr>
        <w:rPr>
          <w:u w:val="single"/>
        </w:rPr>
      </w:pPr>
      <w:r w:rsidRPr="00AC6858">
        <w:rPr>
          <w:u w:val="single"/>
        </w:rPr>
        <w:t>Outcomes and statistics</w:t>
      </w:r>
    </w:p>
    <w:p w14:paraId="094C300A" w14:textId="48EC4904"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applicability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4ADBB025" w14:textId="77777777" w:rsidR="004B250B" w:rsidRDefault="00000000">
      <w:r>
        <w:t>Ethics. All participants were synthetic; institutional review board approval, consent, and clinical-trial registration were not applicable.</w:t>
      </w:r>
    </w:p>
    <w:p w14:paraId="69016457" w14:textId="77777777" w:rsidR="004B250B" w:rsidRDefault="00000000">
      <w:pPr>
        <w:pStyle w:val="Heading1"/>
      </w:pPr>
      <w:r>
        <w:t>Results</w:t>
      </w:r>
    </w:p>
    <w:p w14:paraId="0EDDA264" w14:textId="77777777" w:rsidR="00AC6858" w:rsidRPr="00AC6858" w:rsidRDefault="00000000">
      <w:pPr>
        <w:rPr>
          <w:u w:val="single"/>
        </w:rPr>
      </w:pPr>
      <w:r w:rsidRPr="00AC6858">
        <w:rPr>
          <w:u w:val="single"/>
        </w:rPr>
        <w:t>Simulation cohort</w:t>
      </w:r>
    </w:p>
    <w:p w14:paraId="757342D5" w14:textId="6DE78332" w:rsidR="004B250B" w:rsidRDefault="00000000">
      <w:r>
        <w:t>The completed run included 100,000 synthetic participants. The healthy ovulatory cohort had 100.0% ovulatory cycles by design</w:t>
      </w:r>
      <w:r w:rsidR="007E1DA8">
        <w:t xml:space="preserve"> with randomized phase</w:t>
      </w:r>
      <w:r>
        <w:t>; the heterogeneous cohort had 79.0% ovulatory cycles</w:t>
      </w:r>
      <w:r w:rsidR="007E1DA8">
        <w:t xml:space="preserve"> with randomized phase</w:t>
      </w:r>
      <w:r>
        <w:t>, greater within-participant cycle-length variability, and similar seizure burden (Table 1).</w:t>
      </w:r>
    </w:p>
    <w:p w14:paraId="0B1E9E20" w14:textId="3BFFD52C" w:rsidR="007E1DA8" w:rsidRDefault="00000000">
      <w:pPr>
        <w:rPr>
          <w:u w:val="single"/>
        </w:rPr>
      </w:pPr>
      <w:r w:rsidRPr="00AC6858">
        <w:rPr>
          <w:u w:val="single"/>
        </w:rPr>
        <w:t>Full-diary</w:t>
      </w:r>
      <w:r w:rsidR="007E1DA8">
        <w:rPr>
          <w:u w:val="single"/>
        </w:rPr>
        <w:t xml:space="preserve"> CE</w:t>
      </w:r>
      <w:r w:rsidRPr="00AC6858">
        <w:rPr>
          <w:u w:val="single"/>
        </w:rPr>
        <w:t xml:space="preserve"> classification</w:t>
      </w:r>
    </w:p>
    <w:p w14:paraId="61D7CE6D" w14:textId="04E61E21" w:rsidR="004B250B" w:rsidRDefault="00000000">
      <w:r>
        <w:t xml:space="preserve">In strict-Herzog 36-month windows, windowed Herzog thresholds classified 11.4% of healthy ovulatory and 35.8% of heterogeneous participants under independence (Table 2). In the heterogeneous cohort, the C1/C2 union was 11.7%, </w:t>
      </w:r>
      <w:proofErr w:type="gramStart"/>
      <w:r>
        <w:t>similar to</w:t>
      </w:r>
      <w:proofErr w:type="gramEnd"/>
      <w:r>
        <w:t xml:space="preserve"> the healthy cohort’s 11.4%, whereas C3 positivity occurred in 36.7% of applicable windows. The excess was therefore primarily associated with the simulated inadequate-luteal-phase C3 mechanism (Figure 2 and Appendix S1).</w:t>
      </w:r>
    </w:p>
    <w:p w14:paraId="62017575" w14:textId="77777777" w:rsidR="00AC6858" w:rsidRPr="00AC6858" w:rsidRDefault="00000000">
      <w:pPr>
        <w:rPr>
          <w:u w:val="single"/>
        </w:rPr>
      </w:pPr>
      <w:r w:rsidRPr="00AC6858">
        <w:rPr>
          <w:u w:val="single"/>
        </w:rPr>
        <w:t>Observation windows</w:t>
      </w:r>
    </w:p>
    <w:p w14:paraId="2F171EC4" w14:textId="37145553" w:rsidR="004B250B" w:rsidRDefault="00000000">
      <w:r>
        <w:t>Three-month windowed Herzog false-positive rates were 41.9% and 50.8% in the healthy and heterogeneous cohorts, respectively. Rates declined with longer monitoring but remained definition-dependent (Figure 1). Exact Herzog 2004 applied to three complete cycles yielded 50.0% and 51.7% among classifiable windows, while many attempted windows were indeterminate. Appendix S1 reports C3 across every saved calendar and complete-cycle duration, minimum-data threshold sensitivities, and cumulative simulated C1, C2, and C3 ratio distributions.</w:t>
      </w:r>
    </w:p>
    <w:p w14:paraId="1E7FD896" w14:textId="77777777" w:rsidR="00AC6858" w:rsidRPr="00AC6858" w:rsidRDefault="00000000">
      <w:pPr>
        <w:rPr>
          <w:u w:val="single"/>
        </w:rPr>
      </w:pPr>
      <w:r w:rsidRPr="00AC6858">
        <w:rPr>
          <w:u w:val="single"/>
        </w:rPr>
        <w:t>Calibration checks</w:t>
      </w:r>
    </w:p>
    <w:p w14:paraId="2503FFA6" w14:textId="7674CB0B" w:rsidR="004B250B" w:rsidRDefault="00000000">
      <w:r>
        <w:t>The full-diary C1/C2 negative-binomial false-positive rate was 4.2% in the healthy cohort and 4.1% in the heterogeneous cohort, close to the prespecified 5% Type I error rate. In the 1% daily audit sample, 431 of 500 heterogeneous participants had a C3-applicable ratio window, but only 204 met the exploratory C3 model’s four-complete-</w:t>
      </w:r>
      <w:r w:rsidR="008E4D89">
        <w:t>i</w:t>
      </w:r>
      <w:r w:rsidR="008E4D89" w:rsidRPr="008E4D89">
        <w:t xml:space="preserve">nadequate </w:t>
      </w:r>
      <w:r w:rsidR="007E1DA8">
        <w:t>luteal phase</w:t>
      </w:r>
      <w:r>
        <w:t>-cycle and four-seizure-day requirements. Eight participants were positive (3.9%; 95% Wilson confidence interval, 2.0%–7.5%; 1.6% of all 500 attempted participants).</w:t>
      </w:r>
    </w:p>
    <w:p w14:paraId="0FBA9F2F" w14:textId="77777777" w:rsidR="00AC6858" w:rsidRPr="00AC6858" w:rsidRDefault="00000000">
      <w:pPr>
        <w:rPr>
          <w:u w:val="single"/>
        </w:rPr>
      </w:pPr>
      <w:r w:rsidRPr="00AC6858">
        <w:rPr>
          <w:u w:val="single"/>
        </w:rPr>
        <w:lastRenderedPageBreak/>
        <w:t>Study-level and feature summaries</w:t>
      </w:r>
    </w:p>
    <w:p w14:paraId="257350DB" w14:textId="092D98F0"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53F1BB52" w14:textId="77777777" w:rsidR="004B250B" w:rsidRDefault="00000000">
      <w:pPr>
        <w:pStyle w:val="Heading1"/>
      </w:pPr>
      <w:r>
        <w:t>Discussion</w:t>
      </w:r>
    </w:p>
    <w:p w14:paraId="7BAC29DA" w14:textId="607BD688" w:rsidR="004B250B" w:rsidRDefault="00AC6858">
      <w:r>
        <w:t>This simulation of patients with seizures that were completely independent of their hormone cycles found a significant degree of CE misclassification. The magnitude depends on</w:t>
      </w:r>
      <w:r w:rsidR="0074441A">
        <w:t xml:space="preserve"> CE definition</w:t>
      </w:r>
      <w:r>
        <w:t>, observation length, analyzability rules, and menstrual-cycle assumptions. The largest heterogeneous-cohort excess was C3-driven, whereas C1/C2 behavior was similar between cohorts.</w:t>
      </w:r>
    </w:p>
    <w:p w14:paraId="16CE9412" w14:textId="77777777" w:rsidR="004B250B" w:rsidRDefault="00000000">
      <w:r>
        <w:t xml:space="preserve">The model-concordant negative-binomial findings address implementation-level calibration under related model assumptions, not 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p>
    <w:p w14:paraId="0E134465" w14:textId="44F0B1D5" w:rsidR="004B250B" w:rsidRDefault="00000000">
      <w:r>
        <w:t>Earlier studies established biologically plausible and clinically important C1, C2, and C3 patterns, and treatment evidence remains limited and mixed.</w:t>
      </w:r>
      <w:r w:rsidR="00CB29DC">
        <w:fldChar w:fldCharType="begin"/>
      </w:r>
      <w:r w:rsidR="00CB29DC">
        <w: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CB29DC">
        <w:fldChar w:fldCharType="separate"/>
      </w:r>
      <w:r w:rsidR="00CB29DC" w:rsidRPr="00CB29DC">
        <w:rPr>
          <w:rFonts w:eastAsiaTheme="minorEastAsia" w:cs="Times New Roman"/>
          <w:szCs w:val="24"/>
          <w:vertAlign w:val="superscript"/>
        </w:rPr>
        <w:t>13</w:t>
      </w:r>
      <w:r w:rsidR="00CB29DC">
        <w:fldChar w:fldCharType="end"/>
      </w:r>
      <w:r>
        <w:t xml:space="preserve"> </w:t>
      </w:r>
      <w:r w:rsidR="00B35E5A">
        <w:fldChar w:fldCharType="begin"/>
      </w:r>
      <w:r w:rsidR="00B35E5A">
        <w: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rsidR="00B35E5A">
        <w:fldChar w:fldCharType="separate"/>
      </w:r>
      <w:r w:rsidR="00B35E5A" w:rsidRPr="00B35E5A">
        <w:rPr>
          <w:rFonts w:eastAsiaTheme="minorEastAsia" w:cs="Times New Roman"/>
          <w:szCs w:val="24"/>
          <w:vertAlign w:val="superscript"/>
        </w:rPr>
        <w:t>14,15</w:t>
      </w:r>
      <w:r w:rsidR="00B35E5A">
        <w:fldChar w:fldCharType="end"/>
      </w:r>
      <w:r>
        <w:t xml:space="preserve"> The present study instead estimates a diagnostic background rate generated by chance alignment of independently simulated structured processes. It does not estimate true prevalence, sensitivity, positive predictive value, or treatment response.</w:t>
      </w:r>
      <w:r w:rsidR="007E1DA8">
        <w:t xml:space="preserve"> Rather, consider simulations of this sort as a lower limit that these CE definitions are capable of – they are always expected to detect some degree of CE even when </w:t>
      </w:r>
      <w:proofErr w:type="gramStart"/>
      <w:r w:rsidR="007E1DA8">
        <w:t>in reality none</w:t>
      </w:r>
      <w:proofErr w:type="gramEnd"/>
      <w:r w:rsidR="007E1DA8">
        <w:t xml:space="preserve"> is present.</w:t>
      </w:r>
    </w:p>
    <w:p w14:paraId="14337F9B" w14:textId="77777777" w:rsidR="004B250B" w:rsidRDefault="00000000">
      <w:r>
        <w:t>Several design implications follow.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 2004 benchmark is aligned with the exact three-complete-cycle rule, not a random three-calendar-month window.</w:t>
      </w:r>
    </w:p>
    <w:p w14:paraId="16B31788"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122398">
        <w:instrText xml:space="preserve"> ADDIN ZOTERO_ITEM CSL_CITATION {"citationID":"DW9Ll3k3","properties":{"unsorted":false,"formattedCitation":"\\super 16\\nosupersub{}","plainCitation":"16","noteIndex":0},"citationItems":[{"id":849,"uris":["http://zotero.org/users/1538114/items/MT3JJG7G"],"itemData":{"id":849,"type":"article-journal","abstract":"Catamenial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122398" w:rsidRPr="00122398">
        <w:rPr>
          <w:rFonts w:eastAsiaTheme="minorEastAsia" w:cs="Times New Roman"/>
          <w:szCs w:val="24"/>
          <w:vertAlign w:val="superscript"/>
        </w:rPr>
        <w:t>16</w:t>
      </w:r>
      <w:r w:rsidR="00122398">
        <w:fldChar w:fldCharType="end"/>
      </w:r>
    </w:p>
    <w:p w14:paraId="6F9A750D" w14:textId="1E877D34" w:rsidR="004B250B" w:rsidRDefault="00000000">
      <w:r>
        <w:t xml:space="preserve">The study is limited by simulator and adapter assumptions. CHOCOLATES and HORMONE-CYCLE were calibrated to published features, but summary-level calibration does not substitute for external validation using paired real diaries. The configured heterogeneous-cohort modifiers are stress-test assumptions, the 5.0-ng/mL C3 rule operationalizes one historical definition, and no diary missingness was </w:t>
      </w:r>
      <w:r w:rsidR="007E1DA8">
        <w:t xml:space="preserve">explicitly </w:t>
      </w:r>
      <w:r>
        <w:t>simulated</w:t>
      </w:r>
      <w:r w:rsidR="007E1DA8">
        <w:t xml:space="preserve"> (with the caveat that both simulators were developed to match self-reported diary statistical features)</w:t>
      </w:r>
      <w:r>
        <w:t xml:space="preserve">. Monte Carlo intervals do not include model-form uncertainty. </w:t>
      </w:r>
      <w:proofErr w:type="spellStart"/>
      <w:r w:rsidR="009076FA">
        <w:t>Treatnents</w:t>
      </w:r>
      <w:proofErr w:type="spellEnd"/>
      <w:r>
        <w:t xml:space="preserve"> changes and secular seizure-rate trends were outside the scope of this paper and could invalidate stationarity assumptions or alter chance-alignment rates. The study does not evaluate false negatives or adjudicated seizure types.</w:t>
      </w:r>
    </w:p>
    <w:p w14:paraId="138959DA" w14:textId="63E764CD" w:rsidR="004B250B" w:rsidRDefault="00000000">
      <w:r>
        <w:t xml:space="preserve">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w:t>
      </w:r>
    </w:p>
    <w:p w14:paraId="1748C9DA" w14:textId="3D16177E" w:rsidR="004B250B" w:rsidRDefault="00000000">
      <w:r>
        <w:t xml:space="preserve">In conclusion, catamenial epilepsy </w:t>
      </w:r>
      <w:r w:rsidR="009076FA">
        <w:t>mis</w:t>
      </w:r>
      <w:r>
        <w:t xml:space="preserve">classification can 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E7478E0" w14:textId="77777777" w:rsidR="004B250B" w:rsidRDefault="00000000">
      <w:pPr>
        <w:pStyle w:val="Heading1"/>
      </w:pPr>
      <w:r>
        <w:lastRenderedPageBreak/>
        <w:t>Acknowledgments</w:t>
      </w:r>
    </w:p>
    <w:p w14:paraId="354E0A8F" w14:textId="77777777" w:rsidR="004B250B" w:rsidRDefault="00000000">
      <w:r>
        <w:t xml:space="preserve">The authors thank the people </w:t>
      </w:r>
      <w:proofErr w:type="gramStart"/>
      <w:r>
        <w:t>whose</w:t>
      </w:r>
      <w:proofErr w:type="gramEnd"/>
      <w:r>
        <w:t xml:space="preserve"> menstrual and seizure diaries contributed to the published statistical targets used by the two simulators.</w:t>
      </w:r>
    </w:p>
    <w:p w14:paraId="0DF7D9FB" w14:textId="77777777" w:rsidR="004B250B" w:rsidRDefault="00000000">
      <w:pPr>
        <w:pStyle w:val="Heading1"/>
      </w:pPr>
      <w:r>
        <w:t>Study Funding</w:t>
      </w:r>
    </w:p>
    <w:p w14:paraId="7872375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50C1F78B" w14:textId="77777777" w:rsidR="004B250B" w:rsidRDefault="00000000">
      <w:pPr>
        <w:pStyle w:val="Heading1"/>
      </w:pPr>
      <w:r>
        <w:t>Conflict of Interest</w:t>
      </w:r>
    </w:p>
    <w:p w14:paraId="3C4281C3" w14:textId="77777777" w:rsidR="004B250B" w:rsidRDefault="00000000">
      <w:r>
        <w:t>DMG reports funding from NIH K23NS124656, NIH R21NS142800, and the American Board of Psychiatry and Neurology. SC, WTK, and RLS report no disclosures relevant to the manuscript. MBW disclosure confirmation is pending.</w:t>
      </w:r>
    </w:p>
    <w:p w14:paraId="5E78EFC1" w14:textId="77777777" w:rsidR="004B250B" w:rsidRDefault="00000000">
      <w:pPr>
        <w:pStyle w:val="Heading1"/>
      </w:pPr>
      <w:r>
        <w:t>Author Contributions</w:t>
      </w:r>
    </w:p>
    <w:p w14:paraId="609297C0" w14:textId="77777777" w:rsidR="004B250B" w:rsidRDefault="00000000">
      <w:r>
        <w:t>Daniel M. Goldenholz: Conceptualization, methodology, software, formal analysis, visualization, writing—original draft, writing—review and editing, funding acquisition. Wesley T. Kerr: Conceptualization, methodology, clinical interpretation, writing—review and editing. Sharon Chiang: Methodology, statistical interpretation, writing—review and editing. M. Brandon Westover: Methodology, software concept, clinical interpretation, writing—review and editing. Rachael L. Sumner: Methodology, reproductive neuroendocrinology interpretation, writing—review and editing.</w:t>
      </w:r>
    </w:p>
    <w:p w14:paraId="72D49C61" w14:textId="77777777" w:rsidR="004B250B" w:rsidRDefault="00000000">
      <w:pPr>
        <w:pStyle w:val="Heading1"/>
      </w:pPr>
      <w:r>
        <w:t>Data and Code Availability</w:t>
      </w:r>
    </w:p>
    <w:p w14:paraId="61802A33" w14:textId="77777777" w:rsidR="004B250B" w:rsidRDefault="00000000">
      <w:r>
        <w:t>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Appendix S1 tables were derived from those primary outputs.</w:t>
      </w:r>
    </w:p>
    <w:p w14:paraId="0CDFD533" w14:textId="77777777" w:rsidR="004B250B" w:rsidRDefault="00000000">
      <w:pPr>
        <w:pStyle w:val="Heading1"/>
      </w:pPr>
      <w:r>
        <w:t>Ethical Publication Statement</w:t>
      </w:r>
    </w:p>
    <w:p w14:paraId="0202C3DF" w14:textId="77777777" w:rsidR="004B250B" w:rsidRDefault="00000000">
      <w:r>
        <w:t>We confirm that we have read the Journal’s position on issues involved in ethical publication and affirm that this report is consistent with those guidelines.</w:t>
      </w:r>
    </w:p>
    <w:p w14:paraId="3F20FA49" w14:textId="77777777" w:rsidR="004B250B" w:rsidRDefault="00000000">
      <w:pPr>
        <w:pStyle w:val="Heading1"/>
      </w:pPr>
      <w:r>
        <w:t>Supporting Information</w:t>
      </w:r>
    </w:p>
    <w:p w14:paraId="6F2E85CE" w14:textId="77777777" w:rsidR="004B250B" w:rsidRDefault="00000000">
      <w:r>
        <w:t>Appendix S1 contains the simulator source-to-parameter map, assumption review, C3 algorithm, cumulative simulated Herzog-ratio panels, window and minimum-data sensitivities, exploratory C3 negative-binomial calibration check, pattern decomposition, feature associations, and Supplementary Figures S1–S5.</w:t>
      </w:r>
    </w:p>
    <w:p w14:paraId="66D02506" w14:textId="77777777" w:rsidR="004B250B" w:rsidRDefault="00000000">
      <w:pPr>
        <w:pStyle w:val="Heading1"/>
      </w:pPr>
      <w:r>
        <w:t>References</w:t>
      </w:r>
    </w:p>
    <w:p w14:paraId="5A293450" w14:textId="77777777" w:rsidR="00E24A71" w:rsidRPr="00E24A71" w:rsidRDefault="00E24A71" w:rsidP="00E24A71">
      <w:pPr>
        <w:pStyle w:val="Bibliography"/>
        <w:rPr>
          <w:rFonts w:eastAsiaTheme="minorEastAsia" w:cs="Times New Roman"/>
        </w:rPr>
      </w:pPr>
      <w:r>
        <w:fldChar w:fldCharType="begin"/>
      </w:r>
      <w:r>
        <w:instrText xml:space="preserve"> ADDIN ZOTERO_BIBL {"uncited":[],"omitted":[],"custom":[]} CSL_BIBLIOGRAPHY </w:instrText>
      </w:r>
      <w:r>
        <w:fldChar w:fldCharType="separate"/>
      </w:r>
      <w:r w:rsidRPr="00E24A71">
        <w:rPr>
          <w:rFonts w:eastAsiaTheme="minorEastAsia" w:cs="Times New Roman"/>
        </w:rPr>
        <w:t xml:space="preserve">1. </w:t>
      </w:r>
      <w:r w:rsidRPr="00E24A71">
        <w:rPr>
          <w:rFonts w:eastAsiaTheme="minorEastAsia" w:cs="Times New Roman"/>
        </w:rPr>
        <w:tab/>
        <w:t xml:space="preserve">Herzog AG, Harden CL, Liporace J, Pennell P, Schomer DL, Sperling M, et al. Frequency of catamenial seizure exacerbation in women with localization-related epilepsy. Ann Neurol. 2004; 56(3):431–4. </w:t>
      </w:r>
    </w:p>
    <w:p w14:paraId="79C8D8CB"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2. </w:t>
      </w:r>
      <w:r w:rsidRPr="00E24A71">
        <w:rPr>
          <w:rFonts w:eastAsiaTheme="minorEastAsia" w:cs="Times New Roman"/>
        </w:rPr>
        <w:tab/>
        <w:t xml:space="preserve">Herzog AG. Catamenial epilepsy: Update on prevalence, pathophysiology and treatment from the findings of the NIH Progesterone Treatment Trial. Seizure. 2015; 28:18–25. </w:t>
      </w:r>
    </w:p>
    <w:p w14:paraId="2931EDFE"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3. </w:t>
      </w:r>
      <w:r w:rsidRPr="00E24A71">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7B83E1B1"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4. </w:t>
      </w:r>
      <w:r w:rsidRPr="00E24A71">
        <w:rPr>
          <w:rFonts w:eastAsiaTheme="minorEastAsia" w:cs="Times New Roman"/>
        </w:rPr>
        <w:tab/>
        <w:t xml:space="preserve">Karoly PJ, Cook MJ, Maturana M, Nurse ES, Payne D, Brinkmann BH, et al. Forecasting cycles of seizure likelihood. Epilepsia. 2020; 61(4):776–86. </w:t>
      </w:r>
    </w:p>
    <w:p w14:paraId="0D763AE4" w14:textId="77777777" w:rsidR="00E24A71" w:rsidRPr="00E24A71" w:rsidRDefault="00E24A71" w:rsidP="00E24A71">
      <w:pPr>
        <w:pStyle w:val="Bibliography"/>
        <w:rPr>
          <w:rFonts w:eastAsiaTheme="minorEastAsia" w:cs="Times New Roman"/>
        </w:rPr>
      </w:pPr>
      <w:r w:rsidRPr="00E24A71">
        <w:rPr>
          <w:rFonts w:eastAsiaTheme="minorEastAsia" w:cs="Times New Roman"/>
        </w:rPr>
        <w:lastRenderedPageBreak/>
        <w:t xml:space="preserve">5. </w:t>
      </w:r>
      <w:r w:rsidRPr="00E24A71">
        <w:rPr>
          <w:rFonts w:eastAsiaTheme="minorEastAsia" w:cs="Times New Roman"/>
        </w:rPr>
        <w:tab/>
        <w:t xml:space="preserve">Karoly PJ, Rao VR, Gregg NM, Worrell GA, Bernard C, Cook MJ, et al. Cycles in epilepsy. Nat Rev Neurol. 2021; 17(5):267–84. </w:t>
      </w:r>
    </w:p>
    <w:p w14:paraId="0BBDEC69"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6. </w:t>
      </w:r>
      <w:r w:rsidRPr="00E24A71">
        <w:rPr>
          <w:rFonts w:eastAsiaTheme="minorEastAsia" w:cs="Times New Roman"/>
        </w:rPr>
        <w:tab/>
        <w:t xml:space="preserve">Baud MO, Kleen JK, Mirro EA, Andrechak JC, King-Stephens D, Chang EF, et al. Multi-day rhythms modulate seizure risk in epilepsy. Nat Commun. 2018; 9(1):88. </w:t>
      </w:r>
    </w:p>
    <w:p w14:paraId="102338BC"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7. </w:t>
      </w:r>
      <w:r w:rsidRPr="00E24A71">
        <w:rPr>
          <w:rFonts w:eastAsiaTheme="minorEastAsia" w:cs="Times New Roman"/>
        </w:rPr>
        <w:tab/>
        <w:t xml:space="preserve">Goldenholz DM, Westover MB. Flexible realistic simulation of seizure occurrence recapitulating statistical properties of seizure diaries. Epilepsia. 2023; 64(2):396–405. </w:t>
      </w:r>
    </w:p>
    <w:p w14:paraId="32444DCD"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8. </w:t>
      </w:r>
      <w:r w:rsidRPr="00E24A71">
        <w:rPr>
          <w:rFonts w:eastAsiaTheme="minorEastAsia" w:cs="Times New Roman"/>
        </w:rPr>
        <w:tab/>
        <w:t>Daniel Goldenholz. HORMONE-CYCLE [Internet]. GoldenholzLab; 2026. Available from: https://github.com/GoldenholzLab/catamenial-epilepsy-sim.git</w:t>
      </w:r>
    </w:p>
    <w:p w14:paraId="01699295"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9. </w:t>
      </w:r>
      <w:r w:rsidRPr="00E24A71">
        <w:rPr>
          <w:rFonts w:eastAsiaTheme="minorEastAsia" w:cs="Times New Roman"/>
        </w:rPr>
        <w:tab/>
        <w:t xml:space="preserve">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4A292130"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10. </w:t>
      </w:r>
      <w:r w:rsidRPr="00E24A71">
        <w:rPr>
          <w:rFonts w:eastAsiaTheme="minorEastAsia" w:cs="Times New Roman"/>
        </w:rPr>
        <w:tab/>
        <w:t xml:space="preserve">Bull JR, Rowland SP, Scherwitzl EB, Scherwitzl R, Danielsson KG, Harper J. Real-world menstrual cycle characteristics of more than 600,000 menstrual cycles. NPJ Digit Med. 2019; 2:83. </w:t>
      </w:r>
    </w:p>
    <w:p w14:paraId="26EB1E15"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11. </w:t>
      </w:r>
      <w:r w:rsidRPr="00E24A71">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24EDE34C"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12. </w:t>
      </w:r>
      <w:r w:rsidRPr="00E24A71">
        <w:rPr>
          <w:rFonts w:eastAsiaTheme="minorEastAsia" w:cs="Times New Roman"/>
        </w:rPr>
        <w:tab/>
        <w:t xml:space="preserve">Monks T, Currie CSM, Onggo BS, Robinson S, Kunc M, Taylor SJE. Strengthening the reporting of empirical simulation studies: introducing the STRESS guidelines. J Simul. 2019; 13(1):55–67. </w:t>
      </w:r>
    </w:p>
    <w:p w14:paraId="5535A204"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13. </w:t>
      </w:r>
      <w:r w:rsidRPr="00E24A71">
        <w:rPr>
          <w:rFonts w:eastAsiaTheme="minorEastAsia" w:cs="Times New Roman"/>
        </w:rPr>
        <w:tab/>
        <w:t xml:space="preserve">Herzog AG, Klein P, Ransil BJ. Three patterns of catamenial epilepsy. Epilepsia. 1997; 38(10):1082–8. </w:t>
      </w:r>
    </w:p>
    <w:p w14:paraId="05955144"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14. </w:t>
      </w:r>
      <w:r w:rsidRPr="00E24A71">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4C5B6110"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15. </w:t>
      </w:r>
      <w:r w:rsidRPr="00E24A71">
        <w:rPr>
          <w:rFonts w:eastAsiaTheme="minorEastAsia" w:cs="Times New Roman"/>
        </w:rPr>
        <w:tab/>
        <w:t xml:space="preserve">Maguire MJ, Nevitt SJ. Treatments for seizures in catamenial (menstrual-related) epilepsy. Cochrane Database Syst Rev. 2021; 9(9):CD013225. </w:t>
      </w:r>
    </w:p>
    <w:p w14:paraId="68A787F7"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16. </w:t>
      </w:r>
      <w:r w:rsidRPr="00E24A71">
        <w:rPr>
          <w:rFonts w:eastAsiaTheme="minorEastAsia" w:cs="Times New Roman"/>
        </w:rPr>
        <w:tab/>
        <w:t xml:space="preserve">Alshakhouri M, Sharpe C, Bergin P, Sumner RL. Female sex steroids and epilepsy: Part 2. A practical and human focus on catamenial epilepsy. Epilepsia. 2024; 65(3):569–82. </w:t>
      </w:r>
    </w:p>
    <w:p w14:paraId="7E17F0CF" w14:textId="77777777" w:rsidR="004B250B" w:rsidRDefault="00E24A71">
      <w:r>
        <w:fldChar w:fldCharType="end"/>
      </w:r>
    </w:p>
    <w:p w14:paraId="777E2C7B" w14:textId="77777777" w:rsidR="004B250B" w:rsidRDefault="00000000">
      <w:r>
        <w:br w:type="page"/>
      </w:r>
    </w:p>
    <w:p w14:paraId="3E7D717B" w14:textId="77777777" w:rsidR="004B250B" w:rsidRDefault="00000000">
      <w:pPr>
        <w:pStyle w:val="Heading1"/>
      </w:pPr>
      <w:r>
        <w:lastRenderedPageBreak/>
        <w:t>Tables</w:t>
      </w:r>
    </w:p>
    <w:p w14:paraId="6D774CD4"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177"/>
        <w:gridCol w:w="1002"/>
        <w:gridCol w:w="996"/>
        <w:gridCol w:w="984"/>
        <w:gridCol w:w="1019"/>
        <w:gridCol w:w="1019"/>
        <w:gridCol w:w="1063"/>
        <w:gridCol w:w="1114"/>
        <w:gridCol w:w="1408"/>
      </w:tblGrid>
      <w:tr w:rsidR="004B250B" w14:paraId="1F757EFE" w14:textId="77777777">
        <w:trPr>
          <w:tblHeader/>
          <w:jc w:val="center"/>
        </w:trPr>
        <w:tc>
          <w:tcPr>
            <w:tcW w:w="1088" w:type="dxa"/>
            <w:shd w:val="clear" w:color="auto" w:fill="D9EAF7"/>
            <w:vAlign w:val="center"/>
          </w:tcPr>
          <w:p w14:paraId="14CB565B" w14:textId="77777777" w:rsidR="004B250B" w:rsidRDefault="00000000">
            <w:pPr>
              <w:jc w:val="center"/>
            </w:pPr>
            <w:r>
              <w:rPr>
                <w:rFonts w:ascii="Arial" w:hAnsi="Arial"/>
                <w:b/>
                <w:sz w:val="16"/>
              </w:rPr>
              <w:t>Cohort</w:t>
            </w:r>
          </w:p>
        </w:tc>
        <w:tc>
          <w:tcPr>
            <w:tcW w:w="1088" w:type="dxa"/>
            <w:shd w:val="clear" w:color="auto" w:fill="D9EAF7"/>
            <w:vAlign w:val="center"/>
          </w:tcPr>
          <w:p w14:paraId="57BCA5C4" w14:textId="77777777" w:rsidR="004B250B" w:rsidRDefault="00000000">
            <w:pPr>
              <w:jc w:val="center"/>
            </w:pPr>
            <w:r>
              <w:rPr>
                <w:rFonts w:ascii="Arial" w:hAnsi="Arial"/>
                <w:b/>
                <w:sz w:val="16"/>
              </w:rPr>
              <w:t>N</w:t>
            </w:r>
          </w:p>
        </w:tc>
        <w:tc>
          <w:tcPr>
            <w:tcW w:w="1088" w:type="dxa"/>
            <w:shd w:val="clear" w:color="auto" w:fill="D9EAF7"/>
            <w:vAlign w:val="center"/>
          </w:tcPr>
          <w:p w14:paraId="7B303FB1"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0508744C"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306238FD"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43311049"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C4A9A35" w14:textId="77777777" w:rsidR="004B250B" w:rsidRDefault="00000000">
            <w:pPr>
              <w:jc w:val="center"/>
            </w:pPr>
            <w:r>
              <w:rPr>
                <w:rFonts w:ascii="Arial" w:hAnsi="Arial"/>
                <w:b/>
                <w:sz w:val="16"/>
              </w:rPr>
              <w:t>Ovulatory cycles</w:t>
            </w:r>
          </w:p>
        </w:tc>
        <w:tc>
          <w:tcPr>
            <w:tcW w:w="1088" w:type="dxa"/>
            <w:shd w:val="clear" w:color="auto" w:fill="D9EAF7"/>
            <w:vAlign w:val="center"/>
          </w:tcPr>
          <w:p w14:paraId="650ACD5A" w14:textId="77777777" w:rsidR="004B250B" w:rsidRDefault="00000000">
            <w:pPr>
              <w:jc w:val="center"/>
            </w:pPr>
            <w:r>
              <w:rPr>
                <w:rFonts w:ascii="Arial" w:hAnsi="Arial"/>
                <w:b/>
                <w:sz w:val="16"/>
              </w:rPr>
              <w:t>Seizure days/month</w:t>
            </w:r>
          </w:p>
        </w:tc>
        <w:tc>
          <w:tcPr>
            <w:tcW w:w="1088" w:type="dxa"/>
            <w:shd w:val="clear" w:color="auto" w:fill="D9EAF7"/>
            <w:vAlign w:val="center"/>
          </w:tcPr>
          <w:p w14:paraId="6A74D753" w14:textId="77777777" w:rsidR="004B250B" w:rsidRDefault="00000000">
            <w:pPr>
              <w:jc w:val="center"/>
            </w:pPr>
            <w:r>
              <w:rPr>
                <w:rFonts w:ascii="Arial" w:hAnsi="Arial"/>
                <w:b/>
                <w:sz w:val="16"/>
              </w:rPr>
              <w:t>Seizures/month</w:t>
            </w:r>
          </w:p>
        </w:tc>
      </w:tr>
      <w:tr w:rsidR="004B250B" w14:paraId="5C718681" w14:textId="77777777">
        <w:trPr>
          <w:jc w:val="center"/>
        </w:trPr>
        <w:tc>
          <w:tcPr>
            <w:tcW w:w="1088" w:type="dxa"/>
            <w:vAlign w:val="center"/>
          </w:tcPr>
          <w:p w14:paraId="7995A911" w14:textId="77777777" w:rsidR="004B250B" w:rsidRDefault="00000000">
            <w:pPr>
              <w:keepLines/>
              <w:spacing w:after="0"/>
            </w:pPr>
            <w:r>
              <w:rPr>
                <w:sz w:val="16"/>
              </w:rPr>
              <w:t>Healthy ovulatory</w:t>
            </w:r>
          </w:p>
        </w:tc>
        <w:tc>
          <w:tcPr>
            <w:tcW w:w="1088" w:type="dxa"/>
            <w:vAlign w:val="center"/>
          </w:tcPr>
          <w:p w14:paraId="7D83E65C" w14:textId="77777777" w:rsidR="004B250B" w:rsidRDefault="00000000">
            <w:pPr>
              <w:keepLines/>
              <w:spacing w:after="0"/>
            </w:pPr>
            <w:r>
              <w:rPr>
                <w:sz w:val="16"/>
              </w:rPr>
              <w:t>50,000</w:t>
            </w:r>
          </w:p>
        </w:tc>
        <w:tc>
          <w:tcPr>
            <w:tcW w:w="1088" w:type="dxa"/>
            <w:vAlign w:val="center"/>
          </w:tcPr>
          <w:p w14:paraId="48295AEC" w14:textId="77777777" w:rsidR="004B250B" w:rsidRDefault="00000000">
            <w:pPr>
              <w:keepLines/>
              <w:spacing w:after="0"/>
            </w:pPr>
            <w:r>
              <w:rPr>
                <w:sz w:val="16"/>
              </w:rPr>
              <w:t>31.5</w:t>
            </w:r>
          </w:p>
        </w:tc>
        <w:tc>
          <w:tcPr>
            <w:tcW w:w="1088" w:type="dxa"/>
            <w:vAlign w:val="center"/>
          </w:tcPr>
          <w:p w14:paraId="7591E12E" w14:textId="77777777" w:rsidR="004B250B" w:rsidRDefault="00000000">
            <w:pPr>
              <w:keepLines/>
              <w:spacing w:after="0"/>
            </w:pPr>
            <w:r>
              <w:rPr>
                <w:sz w:val="16"/>
              </w:rPr>
              <w:t>7.8</w:t>
            </w:r>
          </w:p>
        </w:tc>
        <w:tc>
          <w:tcPr>
            <w:tcW w:w="1088" w:type="dxa"/>
            <w:vAlign w:val="center"/>
          </w:tcPr>
          <w:p w14:paraId="78788C8E" w14:textId="77777777" w:rsidR="004B250B" w:rsidRDefault="00000000">
            <w:pPr>
              <w:keepLines/>
              <w:spacing w:after="0"/>
            </w:pPr>
            <w:r>
              <w:rPr>
                <w:sz w:val="16"/>
              </w:rPr>
              <w:t>29.15</w:t>
            </w:r>
          </w:p>
        </w:tc>
        <w:tc>
          <w:tcPr>
            <w:tcW w:w="1088" w:type="dxa"/>
            <w:vAlign w:val="center"/>
          </w:tcPr>
          <w:p w14:paraId="43B5248A" w14:textId="77777777" w:rsidR="004B250B" w:rsidRDefault="00000000">
            <w:pPr>
              <w:keepLines/>
              <w:spacing w:after="0"/>
            </w:pPr>
            <w:r>
              <w:rPr>
                <w:sz w:val="16"/>
              </w:rPr>
              <w:t>3.39</w:t>
            </w:r>
          </w:p>
        </w:tc>
        <w:tc>
          <w:tcPr>
            <w:tcW w:w="1088" w:type="dxa"/>
            <w:vAlign w:val="center"/>
          </w:tcPr>
          <w:p w14:paraId="17478CD7" w14:textId="77777777" w:rsidR="004B250B" w:rsidRDefault="00000000">
            <w:pPr>
              <w:keepLines/>
              <w:spacing w:after="0"/>
            </w:pPr>
            <w:r>
              <w:rPr>
                <w:sz w:val="16"/>
              </w:rPr>
              <w:t>100.0%</w:t>
            </w:r>
          </w:p>
        </w:tc>
        <w:tc>
          <w:tcPr>
            <w:tcW w:w="1088" w:type="dxa"/>
            <w:vAlign w:val="center"/>
          </w:tcPr>
          <w:p w14:paraId="2EF2CB41" w14:textId="77777777" w:rsidR="004B250B" w:rsidRDefault="00000000">
            <w:pPr>
              <w:keepLines/>
              <w:spacing w:after="0"/>
            </w:pPr>
            <w:r>
              <w:rPr>
                <w:sz w:val="16"/>
              </w:rPr>
              <w:t>2.46</w:t>
            </w:r>
          </w:p>
        </w:tc>
        <w:tc>
          <w:tcPr>
            <w:tcW w:w="1088" w:type="dxa"/>
            <w:vAlign w:val="center"/>
          </w:tcPr>
          <w:p w14:paraId="336C4A77" w14:textId="77777777" w:rsidR="004B250B" w:rsidRDefault="00000000">
            <w:pPr>
              <w:keepLines/>
              <w:spacing w:after="0"/>
            </w:pPr>
            <w:r>
              <w:rPr>
                <w:sz w:val="16"/>
              </w:rPr>
              <w:t>6.83</w:t>
            </w:r>
          </w:p>
        </w:tc>
      </w:tr>
      <w:tr w:rsidR="004B250B" w14:paraId="03F4B2BA" w14:textId="77777777">
        <w:trPr>
          <w:jc w:val="center"/>
        </w:trPr>
        <w:tc>
          <w:tcPr>
            <w:tcW w:w="1088" w:type="dxa"/>
            <w:vAlign w:val="center"/>
          </w:tcPr>
          <w:p w14:paraId="0A41E373" w14:textId="77777777" w:rsidR="004B250B" w:rsidRDefault="00000000">
            <w:pPr>
              <w:keepLines/>
              <w:spacing w:after="0"/>
            </w:pPr>
            <w:r>
              <w:rPr>
                <w:sz w:val="16"/>
              </w:rPr>
              <w:t>Heterogeneous menstruating-age</w:t>
            </w:r>
          </w:p>
        </w:tc>
        <w:tc>
          <w:tcPr>
            <w:tcW w:w="1088" w:type="dxa"/>
            <w:vAlign w:val="center"/>
          </w:tcPr>
          <w:p w14:paraId="1CBF6B6D" w14:textId="77777777" w:rsidR="004B250B" w:rsidRDefault="00000000">
            <w:pPr>
              <w:keepLines/>
              <w:spacing w:after="0"/>
            </w:pPr>
            <w:r>
              <w:rPr>
                <w:sz w:val="16"/>
              </w:rPr>
              <w:t>50,000</w:t>
            </w:r>
          </w:p>
        </w:tc>
        <w:tc>
          <w:tcPr>
            <w:tcW w:w="1088" w:type="dxa"/>
            <w:vAlign w:val="center"/>
          </w:tcPr>
          <w:p w14:paraId="7688F45C" w14:textId="77777777" w:rsidR="004B250B" w:rsidRDefault="00000000">
            <w:pPr>
              <w:keepLines/>
              <w:spacing w:after="0"/>
            </w:pPr>
            <w:r>
              <w:rPr>
                <w:sz w:val="16"/>
              </w:rPr>
              <w:t>34.0</w:t>
            </w:r>
          </w:p>
        </w:tc>
        <w:tc>
          <w:tcPr>
            <w:tcW w:w="1088" w:type="dxa"/>
            <w:vAlign w:val="center"/>
          </w:tcPr>
          <w:p w14:paraId="7F135D5C" w14:textId="77777777" w:rsidR="004B250B" w:rsidRDefault="00000000">
            <w:pPr>
              <w:keepLines/>
              <w:spacing w:after="0"/>
            </w:pPr>
            <w:r>
              <w:rPr>
                <w:sz w:val="16"/>
              </w:rPr>
              <w:t>12.1</w:t>
            </w:r>
          </w:p>
        </w:tc>
        <w:tc>
          <w:tcPr>
            <w:tcW w:w="1088" w:type="dxa"/>
            <w:vAlign w:val="center"/>
          </w:tcPr>
          <w:p w14:paraId="24F1A0DD" w14:textId="77777777" w:rsidR="004B250B" w:rsidRDefault="00000000">
            <w:pPr>
              <w:keepLines/>
              <w:spacing w:after="0"/>
            </w:pPr>
            <w:r>
              <w:rPr>
                <w:sz w:val="16"/>
              </w:rPr>
              <w:t>30.92</w:t>
            </w:r>
          </w:p>
        </w:tc>
        <w:tc>
          <w:tcPr>
            <w:tcW w:w="1088" w:type="dxa"/>
            <w:vAlign w:val="center"/>
          </w:tcPr>
          <w:p w14:paraId="64B4FD4C" w14:textId="77777777" w:rsidR="004B250B" w:rsidRDefault="00000000">
            <w:pPr>
              <w:keepLines/>
              <w:spacing w:after="0"/>
            </w:pPr>
            <w:r>
              <w:rPr>
                <w:sz w:val="16"/>
              </w:rPr>
              <w:t>4.74</w:t>
            </w:r>
          </w:p>
        </w:tc>
        <w:tc>
          <w:tcPr>
            <w:tcW w:w="1088" w:type="dxa"/>
            <w:vAlign w:val="center"/>
          </w:tcPr>
          <w:p w14:paraId="0E664399" w14:textId="77777777" w:rsidR="004B250B" w:rsidRDefault="00000000">
            <w:pPr>
              <w:keepLines/>
              <w:spacing w:after="0"/>
            </w:pPr>
            <w:r>
              <w:rPr>
                <w:sz w:val="16"/>
              </w:rPr>
              <w:t>79.0%</w:t>
            </w:r>
          </w:p>
        </w:tc>
        <w:tc>
          <w:tcPr>
            <w:tcW w:w="1088" w:type="dxa"/>
            <w:vAlign w:val="center"/>
          </w:tcPr>
          <w:p w14:paraId="043C0925" w14:textId="77777777" w:rsidR="004B250B" w:rsidRDefault="00000000">
            <w:pPr>
              <w:keepLines/>
              <w:spacing w:after="0"/>
            </w:pPr>
            <w:r>
              <w:rPr>
                <w:sz w:val="16"/>
              </w:rPr>
              <w:t>2.45</w:t>
            </w:r>
          </w:p>
        </w:tc>
        <w:tc>
          <w:tcPr>
            <w:tcW w:w="1088" w:type="dxa"/>
            <w:vAlign w:val="center"/>
          </w:tcPr>
          <w:p w14:paraId="0E378BA3" w14:textId="77777777" w:rsidR="004B250B" w:rsidRDefault="00000000">
            <w:pPr>
              <w:keepLines/>
              <w:spacing w:after="0"/>
            </w:pPr>
            <w:r>
              <w:rPr>
                <w:sz w:val="16"/>
              </w:rPr>
              <w:t>6.80</w:t>
            </w:r>
          </w:p>
        </w:tc>
      </w:tr>
    </w:tbl>
    <w:p w14:paraId="5D793A1F" w14:textId="77777777" w:rsidR="004B250B" w:rsidRDefault="004B250B">
      <w:pPr>
        <w:spacing w:after="0"/>
      </w:pPr>
    </w:p>
    <w:p w14:paraId="0EB7AC14"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37513590" w14:textId="77777777" w:rsidR="004B250B" w:rsidRDefault="00000000">
      <w:r>
        <w:br w:type="page"/>
      </w:r>
    </w:p>
    <w:p w14:paraId="418094ED"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398"/>
        <w:gridCol w:w="1397"/>
        <w:gridCol w:w="1397"/>
        <w:gridCol w:w="1397"/>
        <w:gridCol w:w="1398"/>
        <w:gridCol w:w="1397"/>
        <w:gridCol w:w="1398"/>
      </w:tblGrid>
      <w:tr w:rsidR="004B250B" w14:paraId="5155C0FC" w14:textId="77777777">
        <w:trPr>
          <w:tblHeader/>
          <w:jc w:val="center"/>
        </w:trPr>
        <w:tc>
          <w:tcPr>
            <w:tcW w:w="1399" w:type="dxa"/>
            <w:shd w:val="clear" w:color="auto" w:fill="D9EAF7"/>
            <w:vAlign w:val="center"/>
          </w:tcPr>
          <w:p w14:paraId="7CDE2A1A" w14:textId="77777777" w:rsidR="004B250B" w:rsidRDefault="00000000">
            <w:pPr>
              <w:jc w:val="center"/>
            </w:pPr>
            <w:r>
              <w:rPr>
                <w:rFonts w:ascii="Arial" w:hAnsi="Arial"/>
                <w:b/>
                <w:sz w:val="14"/>
              </w:rPr>
              <w:t>Cohort</w:t>
            </w:r>
          </w:p>
        </w:tc>
        <w:tc>
          <w:tcPr>
            <w:tcW w:w="1399" w:type="dxa"/>
            <w:shd w:val="clear" w:color="auto" w:fill="D9EAF7"/>
            <w:vAlign w:val="center"/>
          </w:tcPr>
          <w:p w14:paraId="720217C3" w14:textId="77777777" w:rsidR="004B250B" w:rsidRDefault="00000000">
            <w:pPr>
              <w:jc w:val="center"/>
            </w:pPr>
            <w:r>
              <w:rPr>
                <w:rFonts w:ascii="Arial" w:hAnsi="Arial"/>
                <w:b/>
                <w:sz w:val="14"/>
              </w:rPr>
              <w:t>Analysis window</w:t>
            </w:r>
          </w:p>
        </w:tc>
        <w:tc>
          <w:tcPr>
            <w:tcW w:w="1399" w:type="dxa"/>
            <w:shd w:val="clear" w:color="auto" w:fill="D9EAF7"/>
            <w:vAlign w:val="center"/>
          </w:tcPr>
          <w:p w14:paraId="55567878" w14:textId="77777777" w:rsidR="004B250B" w:rsidRDefault="00000000">
            <w:pPr>
              <w:jc w:val="center"/>
            </w:pPr>
            <w:r>
              <w:rPr>
                <w:rFonts w:ascii="Arial" w:hAnsi="Arial"/>
                <w:b/>
                <w:sz w:val="14"/>
              </w:rPr>
              <w:t>Definition</w:t>
            </w:r>
          </w:p>
        </w:tc>
        <w:tc>
          <w:tcPr>
            <w:tcW w:w="1399" w:type="dxa"/>
            <w:shd w:val="clear" w:color="auto" w:fill="D9EAF7"/>
            <w:vAlign w:val="center"/>
          </w:tcPr>
          <w:p w14:paraId="71586B55"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681A909D"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5E2AD716" w14:textId="77777777" w:rsidR="004B250B" w:rsidRDefault="00000000">
            <w:pPr>
              <w:jc w:val="center"/>
            </w:pPr>
            <w:r>
              <w:rPr>
                <w:rFonts w:ascii="Arial" w:hAnsi="Arial"/>
                <w:b/>
                <w:sz w:val="14"/>
              </w:rPr>
              <w:t>All attempted, %</w:t>
            </w:r>
          </w:p>
        </w:tc>
        <w:tc>
          <w:tcPr>
            <w:tcW w:w="1399" w:type="dxa"/>
            <w:shd w:val="clear" w:color="auto" w:fill="D9EAF7"/>
            <w:vAlign w:val="center"/>
          </w:tcPr>
          <w:p w14:paraId="2C8A5118" w14:textId="77777777" w:rsidR="004B250B" w:rsidRDefault="00000000">
            <w:pPr>
              <w:jc w:val="center"/>
            </w:pPr>
            <w:r>
              <w:rPr>
                <w:rFonts w:ascii="Arial" w:hAnsi="Arial"/>
                <w:b/>
                <w:sz w:val="14"/>
              </w:rPr>
              <w:t>Indeterminate, %</w:t>
            </w:r>
          </w:p>
        </w:tc>
      </w:tr>
      <w:tr w:rsidR="004B250B" w14:paraId="3F55C7D8" w14:textId="77777777">
        <w:trPr>
          <w:jc w:val="center"/>
        </w:trPr>
        <w:tc>
          <w:tcPr>
            <w:tcW w:w="1399" w:type="dxa"/>
            <w:vAlign w:val="center"/>
          </w:tcPr>
          <w:p w14:paraId="61D97762" w14:textId="77777777" w:rsidR="004B250B" w:rsidRDefault="00000000">
            <w:pPr>
              <w:keepLines/>
              <w:spacing w:after="0"/>
            </w:pPr>
            <w:r>
              <w:rPr>
                <w:sz w:val="14"/>
              </w:rPr>
              <w:t>Healthy ovulatory</w:t>
            </w:r>
          </w:p>
        </w:tc>
        <w:tc>
          <w:tcPr>
            <w:tcW w:w="1399" w:type="dxa"/>
            <w:vAlign w:val="center"/>
          </w:tcPr>
          <w:p w14:paraId="6EC5E3C2" w14:textId="77777777" w:rsidR="004B250B" w:rsidRDefault="00000000">
            <w:pPr>
              <w:keepLines/>
              <w:spacing w:after="0"/>
            </w:pPr>
            <w:r>
              <w:rPr>
                <w:sz w:val="14"/>
              </w:rPr>
              <w:t>36-month full diary</w:t>
            </w:r>
          </w:p>
        </w:tc>
        <w:tc>
          <w:tcPr>
            <w:tcW w:w="1399" w:type="dxa"/>
            <w:vAlign w:val="center"/>
          </w:tcPr>
          <w:p w14:paraId="38BF7EAA" w14:textId="77777777" w:rsidR="004B250B" w:rsidRDefault="00000000">
            <w:pPr>
              <w:keepLines/>
              <w:spacing w:after="0"/>
            </w:pPr>
            <w:r>
              <w:rPr>
                <w:sz w:val="14"/>
              </w:rPr>
              <w:t>Windowed Herzog thresholds</w:t>
            </w:r>
          </w:p>
        </w:tc>
        <w:tc>
          <w:tcPr>
            <w:tcW w:w="1399" w:type="dxa"/>
            <w:vAlign w:val="center"/>
          </w:tcPr>
          <w:p w14:paraId="256B1CE5" w14:textId="77777777" w:rsidR="004B250B" w:rsidRDefault="00000000">
            <w:pPr>
              <w:keepLines/>
              <w:spacing w:after="0"/>
            </w:pPr>
            <w:r>
              <w:rPr>
                <w:sz w:val="14"/>
              </w:rPr>
              <w:t>49,605 / 50,000</w:t>
            </w:r>
          </w:p>
        </w:tc>
        <w:tc>
          <w:tcPr>
            <w:tcW w:w="1399" w:type="dxa"/>
            <w:vAlign w:val="center"/>
          </w:tcPr>
          <w:p w14:paraId="19404E91" w14:textId="77777777" w:rsidR="004B250B" w:rsidRDefault="00000000">
            <w:pPr>
              <w:keepLines/>
              <w:spacing w:after="0"/>
            </w:pPr>
            <w:r>
              <w:rPr>
                <w:sz w:val="14"/>
              </w:rPr>
              <w:t>11.4 (11.1–11.7)</w:t>
            </w:r>
          </w:p>
        </w:tc>
        <w:tc>
          <w:tcPr>
            <w:tcW w:w="1399" w:type="dxa"/>
            <w:vAlign w:val="center"/>
          </w:tcPr>
          <w:p w14:paraId="5312CE31" w14:textId="77777777" w:rsidR="004B250B" w:rsidRDefault="00000000">
            <w:pPr>
              <w:keepLines/>
              <w:spacing w:after="0"/>
            </w:pPr>
            <w:r>
              <w:rPr>
                <w:sz w:val="14"/>
              </w:rPr>
              <w:t>11.3</w:t>
            </w:r>
          </w:p>
        </w:tc>
        <w:tc>
          <w:tcPr>
            <w:tcW w:w="1399" w:type="dxa"/>
            <w:vAlign w:val="center"/>
          </w:tcPr>
          <w:p w14:paraId="137D0C83" w14:textId="77777777" w:rsidR="004B250B" w:rsidRDefault="00000000">
            <w:pPr>
              <w:keepLines/>
              <w:spacing w:after="0"/>
            </w:pPr>
            <w:r>
              <w:rPr>
                <w:sz w:val="14"/>
              </w:rPr>
              <w:t>0.8</w:t>
            </w:r>
          </w:p>
        </w:tc>
      </w:tr>
      <w:tr w:rsidR="004B250B" w14:paraId="1C8F5AA8" w14:textId="77777777">
        <w:trPr>
          <w:jc w:val="center"/>
        </w:trPr>
        <w:tc>
          <w:tcPr>
            <w:tcW w:w="1399" w:type="dxa"/>
            <w:vAlign w:val="center"/>
          </w:tcPr>
          <w:p w14:paraId="58E08388" w14:textId="77777777" w:rsidR="004B250B" w:rsidRDefault="004B250B">
            <w:pPr>
              <w:keepLines/>
              <w:spacing w:after="0"/>
            </w:pPr>
          </w:p>
        </w:tc>
        <w:tc>
          <w:tcPr>
            <w:tcW w:w="1399" w:type="dxa"/>
            <w:vAlign w:val="center"/>
          </w:tcPr>
          <w:p w14:paraId="3822DEFC" w14:textId="77777777" w:rsidR="004B250B" w:rsidRDefault="004B250B">
            <w:pPr>
              <w:keepLines/>
              <w:spacing w:after="0"/>
            </w:pPr>
          </w:p>
        </w:tc>
        <w:tc>
          <w:tcPr>
            <w:tcW w:w="1399" w:type="dxa"/>
            <w:vAlign w:val="center"/>
          </w:tcPr>
          <w:p w14:paraId="2CD13693" w14:textId="77777777" w:rsidR="004B250B" w:rsidRDefault="00000000">
            <w:pPr>
              <w:keepLines/>
              <w:spacing w:after="0"/>
            </w:pPr>
            <w:r>
              <w:rPr>
                <w:sz w:val="14"/>
              </w:rPr>
              <w:t>Windowed Herzog C1/C2 union</w:t>
            </w:r>
          </w:p>
        </w:tc>
        <w:tc>
          <w:tcPr>
            <w:tcW w:w="1399" w:type="dxa"/>
            <w:vAlign w:val="center"/>
          </w:tcPr>
          <w:p w14:paraId="712774C0" w14:textId="77777777" w:rsidR="004B250B" w:rsidRDefault="00000000">
            <w:pPr>
              <w:keepLines/>
              <w:spacing w:after="0"/>
            </w:pPr>
            <w:r>
              <w:rPr>
                <w:sz w:val="14"/>
              </w:rPr>
              <w:t>49,605 / 50,000</w:t>
            </w:r>
          </w:p>
        </w:tc>
        <w:tc>
          <w:tcPr>
            <w:tcW w:w="1399" w:type="dxa"/>
            <w:vAlign w:val="center"/>
          </w:tcPr>
          <w:p w14:paraId="11B6D14E" w14:textId="77777777" w:rsidR="004B250B" w:rsidRDefault="00000000">
            <w:pPr>
              <w:keepLines/>
              <w:spacing w:after="0"/>
            </w:pPr>
            <w:r>
              <w:rPr>
                <w:sz w:val="14"/>
              </w:rPr>
              <w:t>11.4 (11.1–11.7)</w:t>
            </w:r>
          </w:p>
        </w:tc>
        <w:tc>
          <w:tcPr>
            <w:tcW w:w="1399" w:type="dxa"/>
            <w:vAlign w:val="center"/>
          </w:tcPr>
          <w:p w14:paraId="2D8851DD" w14:textId="77777777" w:rsidR="004B250B" w:rsidRDefault="00000000">
            <w:pPr>
              <w:keepLines/>
              <w:spacing w:after="0"/>
            </w:pPr>
            <w:r>
              <w:rPr>
                <w:sz w:val="14"/>
              </w:rPr>
              <w:t>11.3</w:t>
            </w:r>
          </w:p>
        </w:tc>
        <w:tc>
          <w:tcPr>
            <w:tcW w:w="1399" w:type="dxa"/>
            <w:vAlign w:val="center"/>
          </w:tcPr>
          <w:p w14:paraId="61B94B6C" w14:textId="77777777" w:rsidR="004B250B" w:rsidRDefault="00000000">
            <w:pPr>
              <w:keepLines/>
              <w:spacing w:after="0"/>
            </w:pPr>
            <w:r>
              <w:rPr>
                <w:sz w:val="14"/>
              </w:rPr>
              <w:t>0.8</w:t>
            </w:r>
          </w:p>
        </w:tc>
      </w:tr>
      <w:tr w:rsidR="004B250B" w14:paraId="3E939E1B" w14:textId="77777777">
        <w:trPr>
          <w:jc w:val="center"/>
        </w:trPr>
        <w:tc>
          <w:tcPr>
            <w:tcW w:w="1399" w:type="dxa"/>
            <w:vAlign w:val="center"/>
          </w:tcPr>
          <w:p w14:paraId="4295B280" w14:textId="77777777" w:rsidR="004B250B" w:rsidRDefault="004B250B">
            <w:pPr>
              <w:keepLines/>
              <w:spacing w:after="0"/>
            </w:pPr>
          </w:p>
        </w:tc>
        <w:tc>
          <w:tcPr>
            <w:tcW w:w="1399" w:type="dxa"/>
            <w:vAlign w:val="center"/>
          </w:tcPr>
          <w:p w14:paraId="03EDBFAE" w14:textId="77777777" w:rsidR="004B250B" w:rsidRDefault="004B250B">
            <w:pPr>
              <w:keepLines/>
              <w:spacing w:after="0"/>
            </w:pPr>
          </w:p>
        </w:tc>
        <w:tc>
          <w:tcPr>
            <w:tcW w:w="1399" w:type="dxa"/>
            <w:vAlign w:val="center"/>
          </w:tcPr>
          <w:p w14:paraId="52DF2E42" w14:textId="77777777" w:rsidR="004B250B" w:rsidRDefault="00000000">
            <w:pPr>
              <w:keepLines/>
              <w:spacing w:after="0"/>
            </w:pPr>
            <w:r>
              <w:rPr>
                <w:sz w:val="14"/>
              </w:rPr>
              <w:t>Herzog C1/C2 + ≥4 seizure-day minimum</w:t>
            </w:r>
          </w:p>
        </w:tc>
        <w:tc>
          <w:tcPr>
            <w:tcW w:w="1399" w:type="dxa"/>
            <w:vAlign w:val="center"/>
          </w:tcPr>
          <w:p w14:paraId="56FE6EB8" w14:textId="77777777" w:rsidR="004B250B" w:rsidRDefault="00000000">
            <w:pPr>
              <w:keepLines/>
              <w:spacing w:after="0"/>
            </w:pPr>
            <w:r>
              <w:rPr>
                <w:sz w:val="14"/>
              </w:rPr>
              <w:t>48,359 / 50,000</w:t>
            </w:r>
          </w:p>
        </w:tc>
        <w:tc>
          <w:tcPr>
            <w:tcW w:w="1399" w:type="dxa"/>
            <w:vAlign w:val="center"/>
          </w:tcPr>
          <w:p w14:paraId="79EA7363" w14:textId="77777777" w:rsidR="004B250B" w:rsidRDefault="00000000">
            <w:pPr>
              <w:keepLines/>
              <w:spacing w:after="0"/>
            </w:pPr>
            <w:r>
              <w:rPr>
                <w:sz w:val="14"/>
              </w:rPr>
              <w:t>10.4 (10.1–10.6)</w:t>
            </w:r>
          </w:p>
        </w:tc>
        <w:tc>
          <w:tcPr>
            <w:tcW w:w="1399" w:type="dxa"/>
            <w:vAlign w:val="center"/>
          </w:tcPr>
          <w:p w14:paraId="3259A868" w14:textId="77777777" w:rsidR="004B250B" w:rsidRDefault="00000000">
            <w:pPr>
              <w:keepLines/>
              <w:spacing w:after="0"/>
            </w:pPr>
            <w:r>
              <w:rPr>
                <w:sz w:val="14"/>
              </w:rPr>
              <w:t>10.0</w:t>
            </w:r>
          </w:p>
        </w:tc>
        <w:tc>
          <w:tcPr>
            <w:tcW w:w="1399" w:type="dxa"/>
            <w:vAlign w:val="center"/>
          </w:tcPr>
          <w:p w14:paraId="349E78F8" w14:textId="77777777" w:rsidR="004B250B" w:rsidRDefault="00000000">
            <w:pPr>
              <w:keepLines/>
              <w:spacing w:after="0"/>
            </w:pPr>
            <w:r>
              <w:rPr>
                <w:sz w:val="14"/>
              </w:rPr>
              <w:t>3.3</w:t>
            </w:r>
          </w:p>
        </w:tc>
      </w:tr>
      <w:tr w:rsidR="004B250B" w14:paraId="47FBAD71" w14:textId="77777777">
        <w:trPr>
          <w:jc w:val="center"/>
        </w:trPr>
        <w:tc>
          <w:tcPr>
            <w:tcW w:w="1399" w:type="dxa"/>
            <w:vAlign w:val="center"/>
          </w:tcPr>
          <w:p w14:paraId="40254DBF" w14:textId="77777777" w:rsidR="004B250B" w:rsidRDefault="004B250B">
            <w:pPr>
              <w:keepLines/>
              <w:spacing w:after="0"/>
            </w:pPr>
          </w:p>
        </w:tc>
        <w:tc>
          <w:tcPr>
            <w:tcW w:w="1399" w:type="dxa"/>
            <w:vAlign w:val="center"/>
          </w:tcPr>
          <w:p w14:paraId="72246D5A" w14:textId="77777777" w:rsidR="004B250B" w:rsidRDefault="004B250B">
            <w:pPr>
              <w:keepLines/>
              <w:spacing w:after="0"/>
            </w:pPr>
          </w:p>
        </w:tc>
        <w:tc>
          <w:tcPr>
            <w:tcW w:w="1399" w:type="dxa"/>
            <w:vAlign w:val="center"/>
          </w:tcPr>
          <w:p w14:paraId="7A841525" w14:textId="77777777" w:rsidR="004B250B" w:rsidRDefault="00000000">
            <w:pPr>
              <w:keepLines/>
              <w:spacing w:after="0"/>
            </w:pPr>
            <w:r>
              <w:rPr>
                <w:sz w:val="14"/>
              </w:rPr>
              <w:t>Negative-binomial C1/C2 calibration</w:t>
            </w:r>
          </w:p>
        </w:tc>
        <w:tc>
          <w:tcPr>
            <w:tcW w:w="1399" w:type="dxa"/>
            <w:vAlign w:val="center"/>
          </w:tcPr>
          <w:p w14:paraId="382C2B98" w14:textId="77777777" w:rsidR="004B250B" w:rsidRDefault="00000000">
            <w:pPr>
              <w:keepLines/>
              <w:spacing w:after="0"/>
            </w:pPr>
            <w:r>
              <w:rPr>
                <w:sz w:val="14"/>
              </w:rPr>
              <w:t>48,359 / 50,000</w:t>
            </w:r>
          </w:p>
        </w:tc>
        <w:tc>
          <w:tcPr>
            <w:tcW w:w="1399" w:type="dxa"/>
            <w:vAlign w:val="center"/>
          </w:tcPr>
          <w:p w14:paraId="11914980" w14:textId="77777777" w:rsidR="004B250B" w:rsidRDefault="00000000">
            <w:pPr>
              <w:keepLines/>
              <w:spacing w:after="0"/>
            </w:pPr>
            <w:r>
              <w:rPr>
                <w:sz w:val="14"/>
              </w:rPr>
              <w:t>4.2 (4.0–4.4)</w:t>
            </w:r>
          </w:p>
        </w:tc>
        <w:tc>
          <w:tcPr>
            <w:tcW w:w="1399" w:type="dxa"/>
            <w:vAlign w:val="center"/>
          </w:tcPr>
          <w:p w14:paraId="0DBD80D4" w14:textId="77777777" w:rsidR="004B250B" w:rsidRDefault="00000000">
            <w:pPr>
              <w:keepLines/>
              <w:spacing w:after="0"/>
            </w:pPr>
            <w:r>
              <w:rPr>
                <w:sz w:val="14"/>
              </w:rPr>
              <w:t>4.0</w:t>
            </w:r>
          </w:p>
        </w:tc>
        <w:tc>
          <w:tcPr>
            <w:tcW w:w="1399" w:type="dxa"/>
            <w:vAlign w:val="center"/>
          </w:tcPr>
          <w:p w14:paraId="3A0409E0" w14:textId="77777777" w:rsidR="004B250B" w:rsidRDefault="00000000">
            <w:pPr>
              <w:keepLines/>
              <w:spacing w:after="0"/>
            </w:pPr>
            <w:r>
              <w:rPr>
                <w:sz w:val="14"/>
              </w:rPr>
              <w:t>3.3</w:t>
            </w:r>
          </w:p>
        </w:tc>
      </w:tr>
      <w:tr w:rsidR="004B250B" w14:paraId="64FB3262" w14:textId="77777777">
        <w:trPr>
          <w:jc w:val="center"/>
        </w:trPr>
        <w:tc>
          <w:tcPr>
            <w:tcW w:w="1399" w:type="dxa"/>
            <w:vAlign w:val="center"/>
          </w:tcPr>
          <w:p w14:paraId="1D39A471" w14:textId="77777777" w:rsidR="004B250B" w:rsidRDefault="004B250B">
            <w:pPr>
              <w:keepLines/>
              <w:spacing w:after="0"/>
            </w:pPr>
          </w:p>
        </w:tc>
        <w:tc>
          <w:tcPr>
            <w:tcW w:w="1399" w:type="dxa"/>
            <w:vAlign w:val="center"/>
          </w:tcPr>
          <w:p w14:paraId="4766351A" w14:textId="77777777" w:rsidR="004B250B" w:rsidRDefault="00000000">
            <w:pPr>
              <w:keepLines/>
              <w:spacing w:after="0"/>
            </w:pPr>
            <w:r>
              <w:rPr>
                <w:sz w:val="14"/>
              </w:rPr>
              <w:t>3-month calendar</w:t>
            </w:r>
          </w:p>
        </w:tc>
        <w:tc>
          <w:tcPr>
            <w:tcW w:w="1399" w:type="dxa"/>
            <w:vAlign w:val="center"/>
          </w:tcPr>
          <w:p w14:paraId="37100D2C" w14:textId="77777777" w:rsidR="004B250B" w:rsidRDefault="00000000">
            <w:pPr>
              <w:keepLines/>
              <w:spacing w:after="0"/>
            </w:pPr>
            <w:r>
              <w:rPr>
                <w:sz w:val="14"/>
              </w:rPr>
              <w:t>Windowed Herzog thresholds</w:t>
            </w:r>
          </w:p>
        </w:tc>
        <w:tc>
          <w:tcPr>
            <w:tcW w:w="1399" w:type="dxa"/>
            <w:vAlign w:val="center"/>
          </w:tcPr>
          <w:p w14:paraId="7DD62BF2" w14:textId="77777777" w:rsidR="004B250B" w:rsidRDefault="00000000">
            <w:pPr>
              <w:keepLines/>
              <w:spacing w:after="0"/>
            </w:pPr>
            <w:r>
              <w:rPr>
                <w:sz w:val="14"/>
              </w:rPr>
              <w:t>45,321 / 50,000</w:t>
            </w:r>
          </w:p>
        </w:tc>
        <w:tc>
          <w:tcPr>
            <w:tcW w:w="1399" w:type="dxa"/>
            <w:vAlign w:val="center"/>
          </w:tcPr>
          <w:p w14:paraId="1C60D063" w14:textId="77777777" w:rsidR="004B250B" w:rsidRDefault="00000000">
            <w:pPr>
              <w:keepLines/>
              <w:spacing w:after="0"/>
            </w:pPr>
            <w:r>
              <w:rPr>
                <w:sz w:val="14"/>
              </w:rPr>
              <w:t>41.9 (41.5–42.4)</w:t>
            </w:r>
          </w:p>
        </w:tc>
        <w:tc>
          <w:tcPr>
            <w:tcW w:w="1399" w:type="dxa"/>
            <w:vAlign w:val="center"/>
          </w:tcPr>
          <w:p w14:paraId="492727FA" w14:textId="77777777" w:rsidR="004B250B" w:rsidRDefault="00000000">
            <w:pPr>
              <w:keepLines/>
              <w:spacing w:after="0"/>
            </w:pPr>
            <w:r>
              <w:rPr>
                <w:sz w:val="14"/>
              </w:rPr>
              <w:t>38.0</w:t>
            </w:r>
          </w:p>
        </w:tc>
        <w:tc>
          <w:tcPr>
            <w:tcW w:w="1399" w:type="dxa"/>
            <w:vAlign w:val="center"/>
          </w:tcPr>
          <w:p w14:paraId="7E357CA1" w14:textId="77777777" w:rsidR="004B250B" w:rsidRDefault="00000000">
            <w:pPr>
              <w:keepLines/>
              <w:spacing w:after="0"/>
            </w:pPr>
            <w:r>
              <w:rPr>
                <w:sz w:val="14"/>
              </w:rPr>
              <w:t>9.4</w:t>
            </w:r>
          </w:p>
        </w:tc>
      </w:tr>
      <w:tr w:rsidR="004B250B" w14:paraId="5CE41D4C" w14:textId="77777777">
        <w:trPr>
          <w:jc w:val="center"/>
        </w:trPr>
        <w:tc>
          <w:tcPr>
            <w:tcW w:w="1399" w:type="dxa"/>
            <w:vAlign w:val="center"/>
          </w:tcPr>
          <w:p w14:paraId="13C8CA39" w14:textId="77777777" w:rsidR="004B250B" w:rsidRDefault="004B250B">
            <w:pPr>
              <w:keepLines/>
              <w:spacing w:after="0"/>
            </w:pPr>
          </w:p>
        </w:tc>
        <w:tc>
          <w:tcPr>
            <w:tcW w:w="1399" w:type="dxa"/>
            <w:vAlign w:val="center"/>
          </w:tcPr>
          <w:p w14:paraId="1902A069" w14:textId="77777777" w:rsidR="004B250B" w:rsidRDefault="00000000">
            <w:pPr>
              <w:keepLines/>
              <w:spacing w:after="0"/>
            </w:pPr>
            <w:r>
              <w:rPr>
                <w:sz w:val="14"/>
              </w:rPr>
              <w:t>3 complete cycles</w:t>
            </w:r>
          </w:p>
        </w:tc>
        <w:tc>
          <w:tcPr>
            <w:tcW w:w="1399" w:type="dxa"/>
            <w:vAlign w:val="center"/>
          </w:tcPr>
          <w:p w14:paraId="14D09C5C" w14:textId="77777777" w:rsidR="004B250B" w:rsidRDefault="00000000">
            <w:pPr>
              <w:keepLines/>
              <w:spacing w:after="0"/>
            </w:pPr>
            <w:r>
              <w:rPr>
                <w:sz w:val="14"/>
              </w:rPr>
              <w:t>Exact Herzog 2004, any pattern</w:t>
            </w:r>
          </w:p>
        </w:tc>
        <w:tc>
          <w:tcPr>
            <w:tcW w:w="1399" w:type="dxa"/>
            <w:vAlign w:val="center"/>
          </w:tcPr>
          <w:p w14:paraId="220B4273" w14:textId="77777777" w:rsidR="004B250B" w:rsidRDefault="00000000">
            <w:pPr>
              <w:keepLines/>
              <w:spacing w:after="0"/>
            </w:pPr>
            <w:r>
              <w:rPr>
                <w:sz w:val="14"/>
              </w:rPr>
              <w:t>23,122 / 50,000</w:t>
            </w:r>
          </w:p>
        </w:tc>
        <w:tc>
          <w:tcPr>
            <w:tcW w:w="1399" w:type="dxa"/>
            <w:vAlign w:val="center"/>
          </w:tcPr>
          <w:p w14:paraId="25010521" w14:textId="77777777" w:rsidR="004B250B" w:rsidRDefault="00000000">
            <w:pPr>
              <w:keepLines/>
              <w:spacing w:after="0"/>
            </w:pPr>
            <w:r>
              <w:rPr>
                <w:sz w:val="14"/>
              </w:rPr>
              <w:t>50.0 (49.3–50.6)</w:t>
            </w:r>
          </w:p>
        </w:tc>
        <w:tc>
          <w:tcPr>
            <w:tcW w:w="1399" w:type="dxa"/>
            <w:vAlign w:val="center"/>
          </w:tcPr>
          <w:p w14:paraId="332E842D" w14:textId="77777777" w:rsidR="004B250B" w:rsidRDefault="00000000">
            <w:pPr>
              <w:keepLines/>
              <w:spacing w:after="0"/>
            </w:pPr>
            <w:r>
              <w:rPr>
                <w:sz w:val="14"/>
              </w:rPr>
              <w:t>23.1</w:t>
            </w:r>
          </w:p>
        </w:tc>
        <w:tc>
          <w:tcPr>
            <w:tcW w:w="1399" w:type="dxa"/>
            <w:vAlign w:val="center"/>
          </w:tcPr>
          <w:p w14:paraId="1A918D3D" w14:textId="77777777" w:rsidR="004B250B" w:rsidRDefault="00000000">
            <w:pPr>
              <w:keepLines/>
              <w:spacing w:after="0"/>
            </w:pPr>
            <w:r>
              <w:rPr>
                <w:sz w:val="14"/>
              </w:rPr>
              <w:t>53.8</w:t>
            </w:r>
          </w:p>
        </w:tc>
      </w:tr>
      <w:tr w:rsidR="004B250B" w14:paraId="628176C4" w14:textId="77777777">
        <w:trPr>
          <w:jc w:val="center"/>
        </w:trPr>
        <w:tc>
          <w:tcPr>
            <w:tcW w:w="1399" w:type="dxa"/>
            <w:vAlign w:val="center"/>
          </w:tcPr>
          <w:p w14:paraId="3644D908" w14:textId="77777777" w:rsidR="004B250B" w:rsidRDefault="00000000">
            <w:pPr>
              <w:keepLines/>
              <w:spacing w:after="0"/>
            </w:pPr>
            <w:r>
              <w:rPr>
                <w:sz w:val="14"/>
              </w:rPr>
              <w:t>Heterogeneous menstruating-age</w:t>
            </w:r>
          </w:p>
        </w:tc>
        <w:tc>
          <w:tcPr>
            <w:tcW w:w="1399" w:type="dxa"/>
            <w:vAlign w:val="center"/>
          </w:tcPr>
          <w:p w14:paraId="0A46DB61" w14:textId="77777777" w:rsidR="004B250B" w:rsidRDefault="00000000">
            <w:pPr>
              <w:keepLines/>
              <w:spacing w:after="0"/>
            </w:pPr>
            <w:r>
              <w:rPr>
                <w:sz w:val="14"/>
              </w:rPr>
              <w:t>36-month full diary</w:t>
            </w:r>
          </w:p>
        </w:tc>
        <w:tc>
          <w:tcPr>
            <w:tcW w:w="1399" w:type="dxa"/>
            <w:vAlign w:val="center"/>
          </w:tcPr>
          <w:p w14:paraId="5B5AD90D" w14:textId="77777777" w:rsidR="004B250B" w:rsidRDefault="00000000">
            <w:pPr>
              <w:keepLines/>
              <w:spacing w:after="0"/>
            </w:pPr>
            <w:r>
              <w:rPr>
                <w:sz w:val="14"/>
              </w:rPr>
              <w:t>Windowed Herzog thresholds</w:t>
            </w:r>
          </w:p>
        </w:tc>
        <w:tc>
          <w:tcPr>
            <w:tcW w:w="1399" w:type="dxa"/>
            <w:vAlign w:val="center"/>
          </w:tcPr>
          <w:p w14:paraId="4745A622" w14:textId="77777777" w:rsidR="004B250B" w:rsidRDefault="00000000">
            <w:pPr>
              <w:keepLines/>
              <w:spacing w:after="0"/>
            </w:pPr>
            <w:r>
              <w:rPr>
                <w:sz w:val="14"/>
              </w:rPr>
              <w:t>49,587 / 50,000</w:t>
            </w:r>
          </w:p>
        </w:tc>
        <w:tc>
          <w:tcPr>
            <w:tcW w:w="1399" w:type="dxa"/>
            <w:vAlign w:val="center"/>
          </w:tcPr>
          <w:p w14:paraId="56033B18" w14:textId="77777777" w:rsidR="004B250B" w:rsidRDefault="00000000">
            <w:pPr>
              <w:keepLines/>
              <w:spacing w:after="0"/>
            </w:pPr>
            <w:r>
              <w:rPr>
                <w:sz w:val="14"/>
              </w:rPr>
              <w:t>35.8 (35.4–36.2)</w:t>
            </w:r>
          </w:p>
        </w:tc>
        <w:tc>
          <w:tcPr>
            <w:tcW w:w="1399" w:type="dxa"/>
            <w:vAlign w:val="center"/>
          </w:tcPr>
          <w:p w14:paraId="54FEF244" w14:textId="77777777" w:rsidR="004B250B" w:rsidRDefault="00000000">
            <w:pPr>
              <w:keepLines/>
              <w:spacing w:after="0"/>
            </w:pPr>
            <w:r>
              <w:rPr>
                <w:sz w:val="14"/>
              </w:rPr>
              <w:t>35.5</w:t>
            </w:r>
          </w:p>
        </w:tc>
        <w:tc>
          <w:tcPr>
            <w:tcW w:w="1399" w:type="dxa"/>
            <w:vAlign w:val="center"/>
          </w:tcPr>
          <w:p w14:paraId="53A0FFC8" w14:textId="77777777" w:rsidR="004B250B" w:rsidRDefault="00000000">
            <w:pPr>
              <w:keepLines/>
              <w:spacing w:after="0"/>
            </w:pPr>
            <w:r>
              <w:rPr>
                <w:sz w:val="14"/>
              </w:rPr>
              <w:t>0.8</w:t>
            </w:r>
          </w:p>
        </w:tc>
      </w:tr>
      <w:tr w:rsidR="004B250B" w14:paraId="74EB13DB" w14:textId="77777777">
        <w:trPr>
          <w:jc w:val="center"/>
        </w:trPr>
        <w:tc>
          <w:tcPr>
            <w:tcW w:w="1399" w:type="dxa"/>
            <w:vAlign w:val="center"/>
          </w:tcPr>
          <w:p w14:paraId="1BB6389D" w14:textId="77777777" w:rsidR="004B250B" w:rsidRDefault="004B250B">
            <w:pPr>
              <w:keepLines/>
              <w:spacing w:after="0"/>
            </w:pPr>
          </w:p>
        </w:tc>
        <w:tc>
          <w:tcPr>
            <w:tcW w:w="1399" w:type="dxa"/>
            <w:vAlign w:val="center"/>
          </w:tcPr>
          <w:p w14:paraId="38A698BB" w14:textId="77777777" w:rsidR="004B250B" w:rsidRDefault="004B250B">
            <w:pPr>
              <w:keepLines/>
              <w:spacing w:after="0"/>
            </w:pPr>
          </w:p>
        </w:tc>
        <w:tc>
          <w:tcPr>
            <w:tcW w:w="1399" w:type="dxa"/>
            <w:vAlign w:val="center"/>
          </w:tcPr>
          <w:p w14:paraId="6A3E1286" w14:textId="77777777" w:rsidR="004B250B" w:rsidRDefault="00000000">
            <w:pPr>
              <w:keepLines/>
              <w:spacing w:after="0"/>
            </w:pPr>
            <w:r>
              <w:rPr>
                <w:sz w:val="14"/>
              </w:rPr>
              <w:t>Windowed Herzog C1/C2 union</w:t>
            </w:r>
          </w:p>
        </w:tc>
        <w:tc>
          <w:tcPr>
            <w:tcW w:w="1399" w:type="dxa"/>
            <w:vAlign w:val="center"/>
          </w:tcPr>
          <w:p w14:paraId="6A59A1A7" w14:textId="77777777" w:rsidR="004B250B" w:rsidRDefault="00000000">
            <w:pPr>
              <w:keepLines/>
              <w:spacing w:after="0"/>
            </w:pPr>
            <w:r>
              <w:rPr>
                <w:sz w:val="14"/>
              </w:rPr>
              <w:t>49,587 / 50,000</w:t>
            </w:r>
          </w:p>
        </w:tc>
        <w:tc>
          <w:tcPr>
            <w:tcW w:w="1399" w:type="dxa"/>
            <w:vAlign w:val="center"/>
          </w:tcPr>
          <w:p w14:paraId="0B9B70FE" w14:textId="77777777" w:rsidR="004B250B" w:rsidRDefault="00000000">
            <w:pPr>
              <w:keepLines/>
              <w:spacing w:after="0"/>
            </w:pPr>
            <w:r>
              <w:rPr>
                <w:sz w:val="14"/>
              </w:rPr>
              <w:t>11.7 (11.4–12.0)</w:t>
            </w:r>
          </w:p>
        </w:tc>
        <w:tc>
          <w:tcPr>
            <w:tcW w:w="1399" w:type="dxa"/>
            <w:vAlign w:val="center"/>
          </w:tcPr>
          <w:p w14:paraId="654A7446" w14:textId="77777777" w:rsidR="004B250B" w:rsidRDefault="00000000">
            <w:pPr>
              <w:keepLines/>
              <w:spacing w:after="0"/>
            </w:pPr>
            <w:r>
              <w:rPr>
                <w:sz w:val="14"/>
              </w:rPr>
              <w:t>11.6</w:t>
            </w:r>
          </w:p>
        </w:tc>
        <w:tc>
          <w:tcPr>
            <w:tcW w:w="1399" w:type="dxa"/>
            <w:vAlign w:val="center"/>
          </w:tcPr>
          <w:p w14:paraId="745B7D84" w14:textId="77777777" w:rsidR="004B250B" w:rsidRDefault="00000000">
            <w:pPr>
              <w:keepLines/>
              <w:spacing w:after="0"/>
            </w:pPr>
            <w:r>
              <w:rPr>
                <w:sz w:val="14"/>
              </w:rPr>
              <w:t>0.8</w:t>
            </w:r>
          </w:p>
        </w:tc>
      </w:tr>
      <w:tr w:rsidR="004B250B" w14:paraId="5234E095" w14:textId="77777777">
        <w:trPr>
          <w:jc w:val="center"/>
        </w:trPr>
        <w:tc>
          <w:tcPr>
            <w:tcW w:w="1399" w:type="dxa"/>
            <w:vAlign w:val="center"/>
          </w:tcPr>
          <w:p w14:paraId="7965AFC4" w14:textId="77777777" w:rsidR="004B250B" w:rsidRDefault="004B250B">
            <w:pPr>
              <w:keepLines/>
              <w:spacing w:after="0"/>
            </w:pPr>
          </w:p>
        </w:tc>
        <w:tc>
          <w:tcPr>
            <w:tcW w:w="1399" w:type="dxa"/>
            <w:vAlign w:val="center"/>
          </w:tcPr>
          <w:p w14:paraId="4D14F21B" w14:textId="77777777" w:rsidR="004B250B" w:rsidRDefault="004B250B">
            <w:pPr>
              <w:keepLines/>
              <w:spacing w:after="0"/>
            </w:pPr>
          </w:p>
        </w:tc>
        <w:tc>
          <w:tcPr>
            <w:tcW w:w="1399" w:type="dxa"/>
            <w:vAlign w:val="center"/>
          </w:tcPr>
          <w:p w14:paraId="3798D20C" w14:textId="77777777" w:rsidR="004B250B" w:rsidRDefault="00000000">
            <w:pPr>
              <w:keepLines/>
              <w:spacing w:after="0"/>
            </w:pPr>
            <w:r>
              <w:rPr>
                <w:sz w:val="14"/>
              </w:rPr>
              <w:t>Windowed Herzog C3 only</w:t>
            </w:r>
          </w:p>
        </w:tc>
        <w:tc>
          <w:tcPr>
            <w:tcW w:w="1399" w:type="dxa"/>
            <w:vAlign w:val="center"/>
          </w:tcPr>
          <w:p w14:paraId="7CBEE0D6" w14:textId="77777777" w:rsidR="004B250B" w:rsidRDefault="00000000">
            <w:pPr>
              <w:keepLines/>
              <w:spacing w:after="0"/>
            </w:pPr>
            <w:r>
              <w:rPr>
                <w:sz w:val="14"/>
              </w:rPr>
              <w:t>38,879 / 50,000</w:t>
            </w:r>
          </w:p>
        </w:tc>
        <w:tc>
          <w:tcPr>
            <w:tcW w:w="1399" w:type="dxa"/>
            <w:vAlign w:val="center"/>
          </w:tcPr>
          <w:p w14:paraId="41C460B6" w14:textId="77777777" w:rsidR="004B250B" w:rsidRDefault="00000000">
            <w:pPr>
              <w:keepLines/>
              <w:spacing w:after="0"/>
            </w:pPr>
            <w:r>
              <w:rPr>
                <w:sz w:val="14"/>
              </w:rPr>
              <w:t>36.7 (36.2–37.1)</w:t>
            </w:r>
          </w:p>
        </w:tc>
        <w:tc>
          <w:tcPr>
            <w:tcW w:w="1399" w:type="dxa"/>
            <w:vAlign w:val="center"/>
          </w:tcPr>
          <w:p w14:paraId="25BF0068" w14:textId="77777777" w:rsidR="004B250B" w:rsidRDefault="00000000">
            <w:pPr>
              <w:keepLines/>
              <w:spacing w:after="0"/>
            </w:pPr>
            <w:r>
              <w:rPr>
                <w:sz w:val="14"/>
              </w:rPr>
              <w:t>28.5</w:t>
            </w:r>
          </w:p>
        </w:tc>
        <w:tc>
          <w:tcPr>
            <w:tcW w:w="1399" w:type="dxa"/>
            <w:vAlign w:val="center"/>
          </w:tcPr>
          <w:p w14:paraId="2B7F6AE7" w14:textId="77777777" w:rsidR="004B250B" w:rsidRDefault="00000000">
            <w:pPr>
              <w:keepLines/>
              <w:spacing w:after="0"/>
            </w:pPr>
            <w:r>
              <w:rPr>
                <w:sz w:val="14"/>
              </w:rPr>
              <w:t>22.2</w:t>
            </w:r>
          </w:p>
        </w:tc>
      </w:tr>
      <w:tr w:rsidR="004B250B" w14:paraId="2FE83B91" w14:textId="77777777">
        <w:trPr>
          <w:jc w:val="center"/>
        </w:trPr>
        <w:tc>
          <w:tcPr>
            <w:tcW w:w="1399" w:type="dxa"/>
            <w:vAlign w:val="center"/>
          </w:tcPr>
          <w:p w14:paraId="5198849A" w14:textId="77777777" w:rsidR="004B250B" w:rsidRDefault="004B250B">
            <w:pPr>
              <w:keepLines/>
              <w:spacing w:after="0"/>
            </w:pPr>
          </w:p>
        </w:tc>
        <w:tc>
          <w:tcPr>
            <w:tcW w:w="1399" w:type="dxa"/>
            <w:vAlign w:val="center"/>
          </w:tcPr>
          <w:p w14:paraId="6323E4EE" w14:textId="77777777" w:rsidR="004B250B" w:rsidRDefault="004B250B">
            <w:pPr>
              <w:keepLines/>
              <w:spacing w:after="0"/>
            </w:pPr>
          </w:p>
        </w:tc>
        <w:tc>
          <w:tcPr>
            <w:tcW w:w="1399" w:type="dxa"/>
            <w:vAlign w:val="center"/>
          </w:tcPr>
          <w:p w14:paraId="73126842" w14:textId="77777777" w:rsidR="004B250B" w:rsidRDefault="00000000">
            <w:pPr>
              <w:keepLines/>
              <w:spacing w:after="0"/>
            </w:pPr>
            <w:r>
              <w:rPr>
                <w:sz w:val="14"/>
              </w:rPr>
              <w:t>Herzog C1/C2 + ≥4 seizure-day minimum</w:t>
            </w:r>
          </w:p>
        </w:tc>
        <w:tc>
          <w:tcPr>
            <w:tcW w:w="1399" w:type="dxa"/>
            <w:vAlign w:val="center"/>
          </w:tcPr>
          <w:p w14:paraId="2436981A" w14:textId="77777777" w:rsidR="004B250B" w:rsidRDefault="00000000">
            <w:pPr>
              <w:keepLines/>
              <w:spacing w:after="0"/>
            </w:pPr>
            <w:r>
              <w:rPr>
                <w:sz w:val="14"/>
              </w:rPr>
              <w:t>48,333 / 50,000</w:t>
            </w:r>
          </w:p>
        </w:tc>
        <w:tc>
          <w:tcPr>
            <w:tcW w:w="1399" w:type="dxa"/>
            <w:vAlign w:val="center"/>
          </w:tcPr>
          <w:p w14:paraId="5D75D51E" w14:textId="77777777" w:rsidR="004B250B" w:rsidRDefault="00000000">
            <w:pPr>
              <w:keepLines/>
              <w:spacing w:after="0"/>
            </w:pPr>
            <w:r>
              <w:rPr>
                <w:sz w:val="14"/>
              </w:rPr>
              <w:t>10.7 (10.4–11.0)</w:t>
            </w:r>
          </w:p>
        </w:tc>
        <w:tc>
          <w:tcPr>
            <w:tcW w:w="1399" w:type="dxa"/>
            <w:vAlign w:val="center"/>
          </w:tcPr>
          <w:p w14:paraId="0C7DB82B" w14:textId="77777777" w:rsidR="004B250B" w:rsidRDefault="00000000">
            <w:pPr>
              <w:keepLines/>
              <w:spacing w:after="0"/>
            </w:pPr>
            <w:r>
              <w:rPr>
                <w:sz w:val="14"/>
              </w:rPr>
              <w:t>10.3</w:t>
            </w:r>
          </w:p>
        </w:tc>
        <w:tc>
          <w:tcPr>
            <w:tcW w:w="1399" w:type="dxa"/>
            <w:vAlign w:val="center"/>
          </w:tcPr>
          <w:p w14:paraId="4E0EFC0C" w14:textId="77777777" w:rsidR="004B250B" w:rsidRDefault="00000000">
            <w:pPr>
              <w:keepLines/>
              <w:spacing w:after="0"/>
            </w:pPr>
            <w:r>
              <w:rPr>
                <w:sz w:val="14"/>
              </w:rPr>
              <w:t>3.3</w:t>
            </w:r>
          </w:p>
        </w:tc>
      </w:tr>
      <w:tr w:rsidR="004B250B" w14:paraId="7F849339" w14:textId="77777777">
        <w:trPr>
          <w:jc w:val="center"/>
        </w:trPr>
        <w:tc>
          <w:tcPr>
            <w:tcW w:w="1399" w:type="dxa"/>
            <w:vAlign w:val="center"/>
          </w:tcPr>
          <w:p w14:paraId="7B41F008" w14:textId="77777777" w:rsidR="004B250B" w:rsidRDefault="004B250B">
            <w:pPr>
              <w:keepLines/>
              <w:spacing w:after="0"/>
            </w:pPr>
          </w:p>
        </w:tc>
        <w:tc>
          <w:tcPr>
            <w:tcW w:w="1399" w:type="dxa"/>
            <w:vAlign w:val="center"/>
          </w:tcPr>
          <w:p w14:paraId="2BA25240" w14:textId="77777777" w:rsidR="004B250B" w:rsidRDefault="004B250B">
            <w:pPr>
              <w:keepLines/>
              <w:spacing w:after="0"/>
            </w:pPr>
          </w:p>
        </w:tc>
        <w:tc>
          <w:tcPr>
            <w:tcW w:w="1399" w:type="dxa"/>
            <w:vAlign w:val="center"/>
          </w:tcPr>
          <w:p w14:paraId="0D3A37F2" w14:textId="77777777" w:rsidR="004B250B" w:rsidRDefault="00000000">
            <w:pPr>
              <w:keepLines/>
              <w:spacing w:after="0"/>
            </w:pPr>
            <w:r>
              <w:rPr>
                <w:sz w:val="14"/>
              </w:rPr>
              <w:t>Negative-binomial C1/C2 calibration</w:t>
            </w:r>
          </w:p>
        </w:tc>
        <w:tc>
          <w:tcPr>
            <w:tcW w:w="1399" w:type="dxa"/>
            <w:vAlign w:val="center"/>
          </w:tcPr>
          <w:p w14:paraId="0D80F876" w14:textId="77777777" w:rsidR="004B250B" w:rsidRDefault="00000000">
            <w:pPr>
              <w:keepLines/>
              <w:spacing w:after="0"/>
            </w:pPr>
            <w:r>
              <w:rPr>
                <w:sz w:val="14"/>
              </w:rPr>
              <w:t>48,333 / 50,000</w:t>
            </w:r>
          </w:p>
        </w:tc>
        <w:tc>
          <w:tcPr>
            <w:tcW w:w="1399" w:type="dxa"/>
            <w:vAlign w:val="center"/>
          </w:tcPr>
          <w:p w14:paraId="27C88D87" w14:textId="77777777" w:rsidR="004B250B" w:rsidRDefault="00000000">
            <w:pPr>
              <w:keepLines/>
              <w:spacing w:after="0"/>
            </w:pPr>
            <w:r>
              <w:rPr>
                <w:sz w:val="14"/>
              </w:rPr>
              <w:t>4.1 (3.9–4.3)</w:t>
            </w:r>
          </w:p>
        </w:tc>
        <w:tc>
          <w:tcPr>
            <w:tcW w:w="1399" w:type="dxa"/>
            <w:vAlign w:val="center"/>
          </w:tcPr>
          <w:p w14:paraId="53EA3288" w14:textId="77777777" w:rsidR="004B250B" w:rsidRDefault="00000000">
            <w:pPr>
              <w:keepLines/>
              <w:spacing w:after="0"/>
            </w:pPr>
            <w:r>
              <w:rPr>
                <w:sz w:val="14"/>
              </w:rPr>
              <w:t>4.0</w:t>
            </w:r>
          </w:p>
        </w:tc>
        <w:tc>
          <w:tcPr>
            <w:tcW w:w="1399" w:type="dxa"/>
            <w:vAlign w:val="center"/>
          </w:tcPr>
          <w:p w14:paraId="5AA177FA" w14:textId="77777777" w:rsidR="004B250B" w:rsidRDefault="00000000">
            <w:pPr>
              <w:keepLines/>
              <w:spacing w:after="0"/>
            </w:pPr>
            <w:r>
              <w:rPr>
                <w:sz w:val="14"/>
              </w:rPr>
              <w:t>3.3</w:t>
            </w:r>
          </w:p>
        </w:tc>
      </w:tr>
      <w:tr w:rsidR="004B250B" w14:paraId="12B99B73" w14:textId="77777777">
        <w:trPr>
          <w:jc w:val="center"/>
        </w:trPr>
        <w:tc>
          <w:tcPr>
            <w:tcW w:w="1399" w:type="dxa"/>
            <w:vAlign w:val="center"/>
          </w:tcPr>
          <w:p w14:paraId="1C10F702" w14:textId="77777777" w:rsidR="004B250B" w:rsidRDefault="004B250B">
            <w:pPr>
              <w:keepLines/>
              <w:spacing w:after="0"/>
            </w:pPr>
          </w:p>
        </w:tc>
        <w:tc>
          <w:tcPr>
            <w:tcW w:w="1399" w:type="dxa"/>
            <w:vAlign w:val="center"/>
          </w:tcPr>
          <w:p w14:paraId="51E0C099" w14:textId="77777777" w:rsidR="004B250B" w:rsidRDefault="00000000">
            <w:pPr>
              <w:keepLines/>
              <w:spacing w:after="0"/>
            </w:pPr>
            <w:r>
              <w:rPr>
                <w:sz w:val="14"/>
              </w:rPr>
              <w:t>3-month calendar</w:t>
            </w:r>
          </w:p>
        </w:tc>
        <w:tc>
          <w:tcPr>
            <w:tcW w:w="1399" w:type="dxa"/>
            <w:vAlign w:val="center"/>
          </w:tcPr>
          <w:p w14:paraId="36498240" w14:textId="77777777" w:rsidR="004B250B" w:rsidRDefault="00000000">
            <w:pPr>
              <w:keepLines/>
              <w:spacing w:after="0"/>
            </w:pPr>
            <w:r>
              <w:rPr>
                <w:sz w:val="14"/>
              </w:rPr>
              <w:t>Windowed Herzog thresholds</w:t>
            </w:r>
          </w:p>
        </w:tc>
        <w:tc>
          <w:tcPr>
            <w:tcW w:w="1399" w:type="dxa"/>
            <w:vAlign w:val="center"/>
          </w:tcPr>
          <w:p w14:paraId="3D16B4D5" w14:textId="77777777" w:rsidR="004B250B" w:rsidRDefault="00000000">
            <w:pPr>
              <w:keepLines/>
              <w:spacing w:after="0"/>
            </w:pPr>
            <w:r>
              <w:rPr>
                <w:sz w:val="14"/>
              </w:rPr>
              <w:t>45,198 / 50,000</w:t>
            </w:r>
          </w:p>
        </w:tc>
        <w:tc>
          <w:tcPr>
            <w:tcW w:w="1399" w:type="dxa"/>
            <w:vAlign w:val="center"/>
          </w:tcPr>
          <w:p w14:paraId="2B241237" w14:textId="77777777" w:rsidR="004B250B" w:rsidRDefault="00000000">
            <w:pPr>
              <w:keepLines/>
              <w:spacing w:after="0"/>
            </w:pPr>
            <w:r>
              <w:rPr>
                <w:sz w:val="14"/>
              </w:rPr>
              <w:t>50.8 (50.4–51.3)</w:t>
            </w:r>
          </w:p>
        </w:tc>
        <w:tc>
          <w:tcPr>
            <w:tcW w:w="1399" w:type="dxa"/>
            <w:vAlign w:val="center"/>
          </w:tcPr>
          <w:p w14:paraId="21DBA2B9" w14:textId="77777777" w:rsidR="004B250B" w:rsidRDefault="00000000">
            <w:pPr>
              <w:keepLines/>
              <w:spacing w:after="0"/>
            </w:pPr>
            <w:r>
              <w:rPr>
                <w:sz w:val="14"/>
              </w:rPr>
              <w:t>46.0</w:t>
            </w:r>
          </w:p>
        </w:tc>
        <w:tc>
          <w:tcPr>
            <w:tcW w:w="1399" w:type="dxa"/>
            <w:vAlign w:val="center"/>
          </w:tcPr>
          <w:p w14:paraId="01FE456A" w14:textId="77777777" w:rsidR="004B250B" w:rsidRDefault="00000000">
            <w:pPr>
              <w:keepLines/>
              <w:spacing w:after="0"/>
            </w:pPr>
            <w:r>
              <w:rPr>
                <w:sz w:val="14"/>
              </w:rPr>
              <w:t>9.6</w:t>
            </w:r>
          </w:p>
        </w:tc>
      </w:tr>
      <w:tr w:rsidR="004B250B" w14:paraId="5D4D9B76" w14:textId="77777777">
        <w:trPr>
          <w:jc w:val="center"/>
        </w:trPr>
        <w:tc>
          <w:tcPr>
            <w:tcW w:w="1399" w:type="dxa"/>
            <w:vAlign w:val="center"/>
          </w:tcPr>
          <w:p w14:paraId="758D3722" w14:textId="77777777" w:rsidR="004B250B" w:rsidRDefault="004B250B">
            <w:pPr>
              <w:keepLines/>
              <w:spacing w:after="0"/>
            </w:pPr>
          </w:p>
        </w:tc>
        <w:tc>
          <w:tcPr>
            <w:tcW w:w="1399" w:type="dxa"/>
            <w:vAlign w:val="center"/>
          </w:tcPr>
          <w:p w14:paraId="45891893" w14:textId="77777777" w:rsidR="004B250B" w:rsidRDefault="00000000">
            <w:pPr>
              <w:keepLines/>
              <w:spacing w:after="0"/>
            </w:pPr>
            <w:r>
              <w:rPr>
                <w:sz w:val="14"/>
              </w:rPr>
              <w:t>3 complete cycles</w:t>
            </w:r>
          </w:p>
        </w:tc>
        <w:tc>
          <w:tcPr>
            <w:tcW w:w="1399" w:type="dxa"/>
            <w:vAlign w:val="center"/>
          </w:tcPr>
          <w:p w14:paraId="37809798" w14:textId="77777777" w:rsidR="004B250B" w:rsidRDefault="00000000">
            <w:pPr>
              <w:keepLines/>
              <w:spacing w:after="0"/>
            </w:pPr>
            <w:r>
              <w:rPr>
                <w:sz w:val="14"/>
              </w:rPr>
              <w:t>Exact Herzog 2004, any pattern</w:t>
            </w:r>
          </w:p>
        </w:tc>
        <w:tc>
          <w:tcPr>
            <w:tcW w:w="1399" w:type="dxa"/>
            <w:vAlign w:val="center"/>
          </w:tcPr>
          <w:p w14:paraId="5B44740A" w14:textId="77777777" w:rsidR="004B250B" w:rsidRDefault="00000000">
            <w:pPr>
              <w:keepLines/>
              <w:spacing w:after="0"/>
            </w:pPr>
            <w:r>
              <w:rPr>
                <w:sz w:val="14"/>
              </w:rPr>
              <w:t>16,640 / 50,000</w:t>
            </w:r>
          </w:p>
        </w:tc>
        <w:tc>
          <w:tcPr>
            <w:tcW w:w="1399" w:type="dxa"/>
            <w:vAlign w:val="center"/>
          </w:tcPr>
          <w:p w14:paraId="6C248AF5" w14:textId="77777777" w:rsidR="004B250B" w:rsidRDefault="00000000">
            <w:pPr>
              <w:keepLines/>
              <w:spacing w:after="0"/>
            </w:pPr>
            <w:r>
              <w:rPr>
                <w:sz w:val="14"/>
              </w:rPr>
              <w:t>51.7 (51.0–52.5)</w:t>
            </w:r>
          </w:p>
        </w:tc>
        <w:tc>
          <w:tcPr>
            <w:tcW w:w="1399" w:type="dxa"/>
            <w:vAlign w:val="center"/>
          </w:tcPr>
          <w:p w14:paraId="50F3C559" w14:textId="77777777" w:rsidR="004B250B" w:rsidRDefault="00000000">
            <w:pPr>
              <w:keepLines/>
              <w:spacing w:after="0"/>
            </w:pPr>
            <w:r>
              <w:rPr>
                <w:sz w:val="14"/>
              </w:rPr>
              <w:t>17.2</w:t>
            </w:r>
          </w:p>
        </w:tc>
        <w:tc>
          <w:tcPr>
            <w:tcW w:w="1399" w:type="dxa"/>
            <w:vAlign w:val="center"/>
          </w:tcPr>
          <w:p w14:paraId="32E6DA33" w14:textId="77777777" w:rsidR="004B250B" w:rsidRDefault="00000000">
            <w:pPr>
              <w:keepLines/>
              <w:spacing w:after="0"/>
            </w:pPr>
            <w:r>
              <w:rPr>
                <w:sz w:val="14"/>
              </w:rPr>
              <w:t>66.7</w:t>
            </w:r>
          </w:p>
        </w:tc>
      </w:tr>
    </w:tbl>
    <w:p w14:paraId="0551DBE8" w14:textId="77777777" w:rsidR="004B250B" w:rsidRDefault="004B250B">
      <w:pPr>
        <w:spacing w:after="0"/>
      </w:pPr>
    </w:p>
    <w:p w14:paraId="306E052F"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07C9B4DE" w14:textId="77777777" w:rsidR="004B250B" w:rsidRDefault="00000000">
      <w:r>
        <w:br w:type="page"/>
      </w:r>
    </w:p>
    <w:p w14:paraId="602C657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397"/>
        <w:gridCol w:w="1397"/>
        <w:gridCol w:w="1397"/>
        <w:gridCol w:w="1397"/>
        <w:gridCol w:w="1398"/>
        <w:gridCol w:w="1398"/>
        <w:gridCol w:w="1398"/>
      </w:tblGrid>
      <w:tr w:rsidR="004B250B" w14:paraId="2427E948" w14:textId="77777777">
        <w:trPr>
          <w:tblHeader/>
          <w:jc w:val="center"/>
        </w:trPr>
        <w:tc>
          <w:tcPr>
            <w:tcW w:w="1399" w:type="dxa"/>
            <w:shd w:val="clear" w:color="auto" w:fill="D9EAF7"/>
            <w:vAlign w:val="center"/>
          </w:tcPr>
          <w:p w14:paraId="223E5922" w14:textId="77777777" w:rsidR="004B250B" w:rsidRDefault="00000000">
            <w:pPr>
              <w:jc w:val="center"/>
            </w:pPr>
            <w:r>
              <w:rPr>
                <w:rFonts w:ascii="Arial" w:hAnsi="Arial"/>
                <w:b/>
                <w:sz w:val="15"/>
              </w:rPr>
              <w:t>Cohort</w:t>
            </w:r>
          </w:p>
        </w:tc>
        <w:tc>
          <w:tcPr>
            <w:tcW w:w="1399" w:type="dxa"/>
            <w:shd w:val="clear" w:color="auto" w:fill="D9EAF7"/>
            <w:vAlign w:val="center"/>
          </w:tcPr>
          <w:p w14:paraId="4CEE3655" w14:textId="77777777" w:rsidR="004B250B" w:rsidRDefault="00000000">
            <w:pPr>
              <w:jc w:val="center"/>
            </w:pPr>
            <w:r>
              <w:rPr>
                <w:rFonts w:ascii="Arial" w:hAnsi="Arial"/>
                <w:b/>
                <w:sz w:val="15"/>
              </w:rPr>
              <w:t>N/study</w:t>
            </w:r>
          </w:p>
        </w:tc>
        <w:tc>
          <w:tcPr>
            <w:tcW w:w="1399" w:type="dxa"/>
            <w:shd w:val="clear" w:color="auto" w:fill="D9EAF7"/>
            <w:vAlign w:val="center"/>
          </w:tcPr>
          <w:p w14:paraId="69A73192" w14:textId="77777777" w:rsidR="004B250B" w:rsidRDefault="00000000">
            <w:pPr>
              <w:jc w:val="center"/>
            </w:pPr>
            <w:r>
              <w:rPr>
                <w:rFonts w:ascii="Arial" w:hAnsi="Arial"/>
                <w:b/>
                <w:sz w:val="15"/>
              </w:rPr>
              <w:t>Definition</w:t>
            </w:r>
          </w:p>
        </w:tc>
        <w:tc>
          <w:tcPr>
            <w:tcW w:w="1399" w:type="dxa"/>
            <w:shd w:val="clear" w:color="auto" w:fill="D9EAF7"/>
            <w:vAlign w:val="center"/>
          </w:tcPr>
          <w:p w14:paraId="4E258DF2"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11C369F0"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10C3DAAE"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44A90B6B"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5EC45B5B" w14:textId="77777777">
        <w:trPr>
          <w:jc w:val="center"/>
        </w:trPr>
        <w:tc>
          <w:tcPr>
            <w:tcW w:w="1399" w:type="dxa"/>
            <w:vAlign w:val="center"/>
          </w:tcPr>
          <w:p w14:paraId="2A2D27BB" w14:textId="77777777" w:rsidR="004B250B" w:rsidRDefault="00000000">
            <w:pPr>
              <w:keepLines/>
              <w:spacing w:after="0"/>
            </w:pPr>
            <w:r>
              <w:rPr>
                <w:sz w:val="15"/>
              </w:rPr>
              <w:t>Healthy ovulatory</w:t>
            </w:r>
          </w:p>
        </w:tc>
        <w:tc>
          <w:tcPr>
            <w:tcW w:w="1399" w:type="dxa"/>
            <w:vAlign w:val="center"/>
          </w:tcPr>
          <w:p w14:paraId="2159E9BB" w14:textId="77777777" w:rsidR="004B250B" w:rsidRDefault="00000000">
            <w:pPr>
              <w:keepLines/>
              <w:spacing w:after="0"/>
            </w:pPr>
            <w:r>
              <w:rPr>
                <w:sz w:val="15"/>
              </w:rPr>
              <w:t>30</w:t>
            </w:r>
          </w:p>
        </w:tc>
        <w:tc>
          <w:tcPr>
            <w:tcW w:w="1399" w:type="dxa"/>
            <w:vAlign w:val="center"/>
          </w:tcPr>
          <w:p w14:paraId="116878A3" w14:textId="77777777" w:rsidR="004B250B" w:rsidRDefault="00000000">
            <w:pPr>
              <w:keepLines/>
              <w:spacing w:after="0"/>
            </w:pPr>
            <w:r>
              <w:rPr>
                <w:sz w:val="15"/>
              </w:rPr>
              <w:t>Windowed Herzog thresholds</w:t>
            </w:r>
          </w:p>
        </w:tc>
        <w:tc>
          <w:tcPr>
            <w:tcW w:w="1399" w:type="dxa"/>
            <w:vAlign w:val="center"/>
          </w:tcPr>
          <w:p w14:paraId="6FE8C68D" w14:textId="77777777" w:rsidR="004B250B" w:rsidRDefault="00000000">
            <w:pPr>
              <w:keepLines/>
              <w:spacing w:after="0"/>
            </w:pPr>
            <w:r>
              <w:rPr>
                <w:sz w:val="15"/>
              </w:rPr>
              <w:t>37.6%</w:t>
            </w:r>
          </w:p>
        </w:tc>
        <w:tc>
          <w:tcPr>
            <w:tcW w:w="1399" w:type="dxa"/>
            <w:vAlign w:val="center"/>
          </w:tcPr>
          <w:p w14:paraId="5015F80C" w14:textId="77777777" w:rsidR="004B250B" w:rsidRDefault="00000000">
            <w:pPr>
              <w:keepLines/>
              <w:spacing w:after="0"/>
            </w:pPr>
            <w:r>
              <w:rPr>
                <w:sz w:val="15"/>
              </w:rPr>
              <w:t>20.0%–56.7%</w:t>
            </w:r>
          </w:p>
        </w:tc>
        <w:tc>
          <w:tcPr>
            <w:tcW w:w="1399" w:type="dxa"/>
            <w:vAlign w:val="center"/>
          </w:tcPr>
          <w:p w14:paraId="75D9C2B1" w14:textId="77777777" w:rsidR="004B250B" w:rsidRDefault="00000000">
            <w:pPr>
              <w:keepLines/>
              <w:spacing w:after="0"/>
            </w:pPr>
            <w:r>
              <w:rPr>
                <w:sz w:val="15"/>
              </w:rPr>
              <w:t>45.8%</w:t>
            </w:r>
          </w:p>
        </w:tc>
        <w:tc>
          <w:tcPr>
            <w:tcW w:w="1399" w:type="dxa"/>
            <w:vAlign w:val="center"/>
          </w:tcPr>
          <w:p w14:paraId="3E0EF471" w14:textId="77777777" w:rsidR="004B250B" w:rsidRDefault="00000000">
            <w:pPr>
              <w:keepLines/>
              <w:spacing w:after="0"/>
            </w:pPr>
            <w:r>
              <w:rPr>
                <w:sz w:val="15"/>
              </w:rPr>
              <w:t>19.6%</w:t>
            </w:r>
          </w:p>
        </w:tc>
      </w:tr>
      <w:tr w:rsidR="004B250B" w14:paraId="75CD931F" w14:textId="77777777">
        <w:trPr>
          <w:jc w:val="center"/>
        </w:trPr>
        <w:tc>
          <w:tcPr>
            <w:tcW w:w="1399" w:type="dxa"/>
            <w:vAlign w:val="center"/>
          </w:tcPr>
          <w:p w14:paraId="2DF196C3" w14:textId="77777777" w:rsidR="004B250B" w:rsidRDefault="004B250B">
            <w:pPr>
              <w:keepLines/>
              <w:spacing w:after="0"/>
            </w:pPr>
          </w:p>
        </w:tc>
        <w:tc>
          <w:tcPr>
            <w:tcW w:w="1399" w:type="dxa"/>
            <w:vAlign w:val="center"/>
          </w:tcPr>
          <w:p w14:paraId="2831957A" w14:textId="77777777" w:rsidR="004B250B" w:rsidRDefault="00000000">
            <w:pPr>
              <w:keepLines/>
              <w:spacing w:after="0"/>
            </w:pPr>
            <w:r>
              <w:rPr>
                <w:sz w:val="15"/>
              </w:rPr>
              <w:t>30</w:t>
            </w:r>
          </w:p>
        </w:tc>
        <w:tc>
          <w:tcPr>
            <w:tcW w:w="1399" w:type="dxa"/>
            <w:vAlign w:val="center"/>
          </w:tcPr>
          <w:p w14:paraId="11402C9C" w14:textId="77777777" w:rsidR="004B250B" w:rsidRDefault="00000000">
            <w:pPr>
              <w:keepLines/>
              <w:spacing w:after="0"/>
            </w:pPr>
            <w:r>
              <w:rPr>
                <w:sz w:val="15"/>
              </w:rPr>
              <w:t>Windowed Herzog C1/C2 union</w:t>
            </w:r>
          </w:p>
        </w:tc>
        <w:tc>
          <w:tcPr>
            <w:tcW w:w="1399" w:type="dxa"/>
            <w:vAlign w:val="center"/>
          </w:tcPr>
          <w:p w14:paraId="65FC147E" w14:textId="77777777" w:rsidR="004B250B" w:rsidRDefault="00000000">
            <w:pPr>
              <w:keepLines/>
              <w:spacing w:after="0"/>
            </w:pPr>
            <w:r>
              <w:rPr>
                <w:sz w:val="15"/>
              </w:rPr>
              <w:t>37.6%</w:t>
            </w:r>
          </w:p>
        </w:tc>
        <w:tc>
          <w:tcPr>
            <w:tcW w:w="1399" w:type="dxa"/>
            <w:vAlign w:val="center"/>
          </w:tcPr>
          <w:p w14:paraId="12AB0BFB" w14:textId="77777777" w:rsidR="004B250B" w:rsidRDefault="00000000">
            <w:pPr>
              <w:keepLines/>
              <w:spacing w:after="0"/>
            </w:pPr>
            <w:r>
              <w:rPr>
                <w:sz w:val="15"/>
              </w:rPr>
              <w:t>20.0%–56.7%</w:t>
            </w:r>
          </w:p>
        </w:tc>
        <w:tc>
          <w:tcPr>
            <w:tcW w:w="1399" w:type="dxa"/>
            <w:vAlign w:val="center"/>
          </w:tcPr>
          <w:p w14:paraId="46F7465E" w14:textId="77777777" w:rsidR="004B250B" w:rsidRDefault="00000000">
            <w:pPr>
              <w:keepLines/>
              <w:spacing w:after="0"/>
            </w:pPr>
            <w:r>
              <w:rPr>
                <w:sz w:val="15"/>
              </w:rPr>
              <w:t>45.8%</w:t>
            </w:r>
          </w:p>
        </w:tc>
        <w:tc>
          <w:tcPr>
            <w:tcW w:w="1399" w:type="dxa"/>
            <w:vAlign w:val="center"/>
          </w:tcPr>
          <w:p w14:paraId="1753681B" w14:textId="77777777" w:rsidR="004B250B" w:rsidRDefault="00000000">
            <w:pPr>
              <w:keepLines/>
              <w:spacing w:after="0"/>
            </w:pPr>
            <w:r>
              <w:rPr>
                <w:sz w:val="15"/>
              </w:rPr>
              <w:t>19.6%</w:t>
            </w:r>
          </w:p>
        </w:tc>
      </w:tr>
      <w:tr w:rsidR="004B250B" w14:paraId="57294564" w14:textId="77777777">
        <w:trPr>
          <w:jc w:val="center"/>
        </w:trPr>
        <w:tc>
          <w:tcPr>
            <w:tcW w:w="1399" w:type="dxa"/>
            <w:vAlign w:val="center"/>
          </w:tcPr>
          <w:p w14:paraId="6A91F8C1" w14:textId="77777777" w:rsidR="004B250B" w:rsidRDefault="004B250B">
            <w:pPr>
              <w:keepLines/>
              <w:spacing w:after="0"/>
            </w:pPr>
          </w:p>
        </w:tc>
        <w:tc>
          <w:tcPr>
            <w:tcW w:w="1399" w:type="dxa"/>
            <w:vAlign w:val="center"/>
          </w:tcPr>
          <w:p w14:paraId="7D0104E9" w14:textId="77777777" w:rsidR="004B250B" w:rsidRDefault="00000000">
            <w:pPr>
              <w:keepLines/>
              <w:spacing w:after="0"/>
            </w:pPr>
            <w:r>
              <w:rPr>
                <w:sz w:val="15"/>
              </w:rPr>
              <w:t>50</w:t>
            </w:r>
          </w:p>
        </w:tc>
        <w:tc>
          <w:tcPr>
            <w:tcW w:w="1399" w:type="dxa"/>
            <w:vAlign w:val="center"/>
          </w:tcPr>
          <w:p w14:paraId="2B266811" w14:textId="77777777" w:rsidR="004B250B" w:rsidRDefault="00000000">
            <w:pPr>
              <w:keepLines/>
              <w:spacing w:after="0"/>
            </w:pPr>
            <w:r>
              <w:rPr>
                <w:sz w:val="15"/>
              </w:rPr>
              <w:t>Windowed Herzog thresholds</w:t>
            </w:r>
          </w:p>
        </w:tc>
        <w:tc>
          <w:tcPr>
            <w:tcW w:w="1399" w:type="dxa"/>
            <w:vAlign w:val="center"/>
          </w:tcPr>
          <w:p w14:paraId="7B730C98" w14:textId="77777777" w:rsidR="004B250B" w:rsidRDefault="00000000">
            <w:pPr>
              <w:keepLines/>
              <w:spacing w:after="0"/>
            </w:pPr>
            <w:r>
              <w:rPr>
                <w:sz w:val="15"/>
              </w:rPr>
              <w:t>37.5%</w:t>
            </w:r>
          </w:p>
        </w:tc>
        <w:tc>
          <w:tcPr>
            <w:tcW w:w="1399" w:type="dxa"/>
            <w:vAlign w:val="center"/>
          </w:tcPr>
          <w:p w14:paraId="07B71ACF" w14:textId="77777777" w:rsidR="004B250B" w:rsidRDefault="00000000">
            <w:pPr>
              <w:keepLines/>
              <w:spacing w:after="0"/>
            </w:pPr>
            <w:r>
              <w:rPr>
                <w:sz w:val="15"/>
              </w:rPr>
              <w:t>24.0%–52.0%</w:t>
            </w:r>
          </w:p>
        </w:tc>
        <w:tc>
          <w:tcPr>
            <w:tcW w:w="1399" w:type="dxa"/>
            <w:vAlign w:val="center"/>
          </w:tcPr>
          <w:p w14:paraId="168C26C8" w14:textId="77777777" w:rsidR="004B250B" w:rsidRDefault="00000000">
            <w:pPr>
              <w:keepLines/>
              <w:spacing w:after="0"/>
            </w:pPr>
            <w:r>
              <w:rPr>
                <w:sz w:val="15"/>
              </w:rPr>
              <w:t>41.2%</w:t>
            </w:r>
          </w:p>
        </w:tc>
        <w:tc>
          <w:tcPr>
            <w:tcW w:w="1399" w:type="dxa"/>
            <w:vAlign w:val="center"/>
          </w:tcPr>
          <w:p w14:paraId="19B8873F" w14:textId="77777777" w:rsidR="004B250B" w:rsidRDefault="00000000">
            <w:pPr>
              <w:keepLines/>
              <w:spacing w:after="0"/>
            </w:pPr>
            <w:r>
              <w:rPr>
                <w:sz w:val="15"/>
              </w:rPr>
              <w:t>13.8%</w:t>
            </w:r>
          </w:p>
        </w:tc>
      </w:tr>
      <w:tr w:rsidR="004B250B" w14:paraId="33ECEE7A" w14:textId="77777777">
        <w:trPr>
          <w:jc w:val="center"/>
        </w:trPr>
        <w:tc>
          <w:tcPr>
            <w:tcW w:w="1399" w:type="dxa"/>
            <w:vAlign w:val="center"/>
          </w:tcPr>
          <w:p w14:paraId="6557EE6F" w14:textId="77777777" w:rsidR="004B250B" w:rsidRDefault="004B250B">
            <w:pPr>
              <w:keepLines/>
              <w:spacing w:after="0"/>
            </w:pPr>
          </w:p>
        </w:tc>
        <w:tc>
          <w:tcPr>
            <w:tcW w:w="1399" w:type="dxa"/>
            <w:vAlign w:val="center"/>
          </w:tcPr>
          <w:p w14:paraId="796301BF" w14:textId="77777777" w:rsidR="004B250B" w:rsidRDefault="00000000">
            <w:pPr>
              <w:keepLines/>
              <w:spacing w:after="0"/>
            </w:pPr>
            <w:r>
              <w:rPr>
                <w:sz w:val="15"/>
              </w:rPr>
              <w:t>50</w:t>
            </w:r>
          </w:p>
        </w:tc>
        <w:tc>
          <w:tcPr>
            <w:tcW w:w="1399" w:type="dxa"/>
            <w:vAlign w:val="center"/>
          </w:tcPr>
          <w:p w14:paraId="6646EC07" w14:textId="77777777" w:rsidR="004B250B" w:rsidRDefault="00000000">
            <w:pPr>
              <w:keepLines/>
              <w:spacing w:after="0"/>
            </w:pPr>
            <w:r>
              <w:rPr>
                <w:sz w:val="15"/>
              </w:rPr>
              <w:t>Windowed Herzog C1/C2 union</w:t>
            </w:r>
          </w:p>
        </w:tc>
        <w:tc>
          <w:tcPr>
            <w:tcW w:w="1399" w:type="dxa"/>
            <w:vAlign w:val="center"/>
          </w:tcPr>
          <w:p w14:paraId="49D9BB1C" w14:textId="77777777" w:rsidR="004B250B" w:rsidRDefault="00000000">
            <w:pPr>
              <w:keepLines/>
              <w:spacing w:after="0"/>
            </w:pPr>
            <w:r>
              <w:rPr>
                <w:sz w:val="15"/>
              </w:rPr>
              <w:t>37.5%</w:t>
            </w:r>
          </w:p>
        </w:tc>
        <w:tc>
          <w:tcPr>
            <w:tcW w:w="1399" w:type="dxa"/>
            <w:vAlign w:val="center"/>
          </w:tcPr>
          <w:p w14:paraId="40EBF099" w14:textId="77777777" w:rsidR="004B250B" w:rsidRDefault="00000000">
            <w:pPr>
              <w:keepLines/>
              <w:spacing w:after="0"/>
            </w:pPr>
            <w:r>
              <w:rPr>
                <w:sz w:val="15"/>
              </w:rPr>
              <w:t>24.0%–52.0%</w:t>
            </w:r>
          </w:p>
        </w:tc>
        <w:tc>
          <w:tcPr>
            <w:tcW w:w="1399" w:type="dxa"/>
            <w:vAlign w:val="center"/>
          </w:tcPr>
          <w:p w14:paraId="3679E5BD" w14:textId="77777777" w:rsidR="004B250B" w:rsidRDefault="00000000">
            <w:pPr>
              <w:keepLines/>
              <w:spacing w:after="0"/>
            </w:pPr>
            <w:r>
              <w:rPr>
                <w:sz w:val="15"/>
              </w:rPr>
              <w:t>41.2%</w:t>
            </w:r>
          </w:p>
        </w:tc>
        <w:tc>
          <w:tcPr>
            <w:tcW w:w="1399" w:type="dxa"/>
            <w:vAlign w:val="center"/>
          </w:tcPr>
          <w:p w14:paraId="7D6F5A6C" w14:textId="77777777" w:rsidR="004B250B" w:rsidRDefault="00000000">
            <w:pPr>
              <w:keepLines/>
              <w:spacing w:after="0"/>
            </w:pPr>
            <w:r>
              <w:rPr>
                <w:sz w:val="15"/>
              </w:rPr>
              <w:t>13.8%</w:t>
            </w:r>
          </w:p>
        </w:tc>
      </w:tr>
      <w:tr w:rsidR="004B250B" w14:paraId="3E5EE99C" w14:textId="77777777">
        <w:trPr>
          <w:jc w:val="center"/>
        </w:trPr>
        <w:tc>
          <w:tcPr>
            <w:tcW w:w="1399" w:type="dxa"/>
            <w:vAlign w:val="center"/>
          </w:tcPr>
          <w:p w14:paraId="238580EF" w14:textId="77777777" w:rsidR="004B250B" w:rsidRDefault="004B250B">
            <w:pPr>
              <w:keepLines/>
              <w:spacing w:after="0"/>
            </w:pPr>
          </w:p>
        </w:tc>
        <w:tc>
          <w:tcPr>
            <w:tcW w:w="1399" w:type="dxa"/>
            <w:vAlign w:val="center"/>
          </w:tcPr>
          <w:p w14:paraId="53B016A8" w14:textId="77777777" w:rsidR="004B250B" w:rsidRDefault="00000000">
            <w:pPr>
              <w:keepLines/>
              <w:spacing w:after="0"/>
            </w:pPr>
            <w:r>
              <w:rPr>
                <w:sz w:val="15"/>
              </w:rPr>
              <w:t>100</w:t>
            </w:r>
          </w:p>
        </w:tc>
        <w:tc>
          <w:tcPr>
            <w:tcW w:w="1399" w:type="dxa"/>
            <w:vAlign w:val="center"/>
          </w:tcPr>
          <w:p w14:paraId="25620FF6" w14:textId="77777777" w:rsidR="004B250B" w:rsidRDefault="00000000">
            <w:pPr>
              <w:keepLines/>
              <w:spacing w:after="0"/>
            </w:pPr>
            <w:r>
              <w:rPr>
                <w:sz w:val="15"/>
              </w:rPr>
              <w:t>Windowed Herzog thresholds</w:t>
            </w:r>
          </w:p>
        </w:tc>
        <w:tc>
          <w:tcPr>
            <w:tcW w:w="1399" w:type="dxa"/>
            <w:vAlign w:val="center"/>
          </w:tcPr>
          <w:p w14:paraId="3E0B1D8B" w14:textId="77777777" w:rsidR="004B250B" w:rsidRDefault="00000000">
            <w:pPr>
              <w:keepLines/>
              <w:spacing w:after="0"/>
            </w:pPr>
            <w:r>
              <w:rPr>
                <w:sz w:val="15"/>
              </w:rPr>
              <w:t>37.5%</w:t>
            </w:r>
          </w:p>
        </w:tc>
        <w:tc>
          <w:tcPr>
            <w:tcW w:w="1399" w:type="dxa"/>
            <w:vAlign w:val="center"/>
          </w:tcPr>
          <w:p w14:paraId="4B793AC8" w14:textId="77777777" w:rsidR="004B250B" w:rsidRDefault="00000000">
            <w:pPr>
              <w:keepLines/>
              <w:spacing w:after="0"/>
            </w:pPr>
            <w:r>
              <w:rPr>
                <w:sz w:val="15"/>
              </w:rPr>
              <w:t>28.0%–47.0%</w:t>
            </w:r>
          </w:p>
        </w:tc>
        <w:tc>
          <w:tcPr>
            <w:tcW w:w="1399" w:type="dxa"/>
            <w:vAlign w:val="center"/>
          </w:tcPr>
          <w:p w14:paraId="04D0E9F8" w14:textId="77777777" w:rsidR="004B250B" w:rsidRDefault="00000000">
            <w:pPr>
              <w:keepLines/>
              <w:spacing w:after="0"/>
            </w:pPr>
            <w:r>
              <w:rPr>
                <w:sz w:val="15"/>
              </w:rPr>
              <w:t>33.3%</w:t>
            </w:r>
          </w:p>
        </w:tc>
        <w:tc>
          <w:tcPr>
            <w:tcW w:w="1399" w:type="dxa"/>
            <w:vAlign w:val="center"/>
          </w:tcPr>
          <w:p w14:paraId="5DAC845E" w14:textId="77777777" w:rsidR="004B250B" w:rsidRDefault="00000000">
            <w:pPr>
              <w:keepLines/>
              <w:spacing w:after="0"/>
            </w:pPr>
            <w:r>
              <w:rPr>
                <w:sz w:val="15"/>
              </w:rPr>
              <w:t>7.2%</w:t>
            </w:r>
          </w:p>
        </w:tc>
      </w:tr>
      <w:tr w:rsidR="004B250B" w14:paraId="4141F173" w14:textId="77777777">
        <w:trPr>
          <w:jc w:val="center"/>
        </w:trPr>
        <w:tc>
          <w:tcPr>
            <w:tcW w:w="1399" w:type="dxa"/>
            <w:vAlign w:val="center"/>
          </w:tcPr>
          <w:p w14:paraId="5A34C8E2" w14:textId="77777777" w:rsidR="004B250B" w:rsidRDefault="004B250B">
            <w:pPr>
              <w:keepLines/>
              <w:spacing w:after="0"/>
            </w:pPr>
          </w:p>
        </w:tc>
        <w:tc>
          <w:tcPr>
            <w:tcW w:w="1399" w:type="dxa"/>
            <w:vAlign w:val="center"/>
          </w:tcPr>
          <w:p w14:paraId="360B5D52" w14:textId="77777777" w:rsidR="004B250B" w:rsidRDefault="00000000">
            <w:pPr>
              <w:keepLines/>
              <w:spacing w:after="0"/>
            </w:pPr>
            <w:r>
              <w:rPr>
                <w:sz w:val="15"/>
              </w:rPr>
              <w:t>100</w:t>
            </w:r>
          </w:p>
        </w:tc>
        <w:tc>
          <w:tcPr>
            <w:tcW w:w="1399" w:type="dxa"/>
            <w:vAlign w:val="center"/>
          </w:tcPr>
          <w:p w14:paraId="6D07D6BF" w14:textId="77777777" w:rsidR="004B250B" w:rsidRDefault="00000000">
            <w:pPr>
              <w:keepLines/>
              <w:spacing w:after="0"/>
            </w:pPr>
            <w:r>
              <w:rPr>
                <w:sz w:val="15"/>
              </w:rPr>
              <w:t>Windowed Herzog C1/C2 union</w:t>
            </w:r>
          </w:p>
        </w:tc>
        <w:tc>
          <w:tcPr>
            <w:tcW w:w="1399" w:type="dxa"/>
            <w:vAlign w:val="center"/>
          </w:tcPr>
          <w:p w14:paraId="60C653EC" w14:textId="77777777" w:rsidR="004B250B" w:rsidRDefault="00000000">
            <w:pPr>
              <w:keepLines/>
              <w:spacing w:after="0"/>
            </w:pPr>
            <w:r>
              <w:rPr>
                <w:sz w:val="15"/>
              </w:rPr>
              <w:t>37.5%</w:t>
            </w:r>
          </w:p>
        </w:tc>
        <w:tc>
          <w:tcPr>
            <w:tcW w:w="1399" w:type="dxa"/>
            <w:vAlign w:val="center"/>
          </w:tcPr>
          <w:p w14:paraId="338E6C36" w14:textId="77777777" w:rsidR="004B250B" w:rsidRDefault="00000000">
            <w:pPr>
              <w:keepLines/>
              <w:spacing w:after="0"/>
            </w:pPr>
            <w:r>
              <w:rPr>
                <w:sz w:val="15"/>
              </w:rPr>
              <w:t>28.0%–47.0%</w:t>
            </w:r>
          </w:p>
        </w:tc>
        <w:tc>
          <w:tcPr>
            <w:tcW w:w="1399" w:type="dxa"/>
            <w:vAlign w:val="center"/>
          </w:tcPr>
          <w:p w14:paraId="79DA2789" w14:textId="77777777" w:rsidR="004B250B" w:rsidRDefault="00000000">
            <w:pPr>
              <w:keepLines/>
              <w:spacing w:after="0"/>
            </w:pPr>
            <w:r>
              <w:rPr>
                <w:sz w:val="15"/>
              </w:rPr>
              <w:t>33.3%</w:t>
            </w:r>
          </w:p>
        </w:tc>
        <w:tc>
          <w:tcPr>
            <w:tcW w:w="1399" w:type="dxa"/>
            <w:vAlign w:val="center"/>
          </w:tcPr>
          <w:p w14:paraId="412B9D65" w14:textId="77777777" w:rsidR="004B250B" w:rsidRDefault="00000000">
            <w:pPr>
              <w:keepLines/>
              <w:spacing w:after="0"/>
            </w:pPr>
            <w:r>
              <w:rPr>
                <w:sz w:val="15"/>
              </w:rPr>
              <w:t>7.2%</w:t>
            </w:r>
          </w:p>
        </w:tc>
      </w:tr>
      <w:tr w:rsidR="004B250B" w14:paraId="10426D24" w14:textId="77777777">
        <w:trPr>
          <w:jc w:val="center"/>
        </w:trPr>
        <w:tc>
          <w:tcPr>
            <w:tcW w:w="1399" w:type="dxa"/>
            <w:vAlign w:val="center"/>
          </w:tcPr>
          <w:p w14:paraId="19D8A6BD" w14:textId="77777777" w:rsidR="004B250B" w:rsidRDefault="00000000">
            <w:pPr>
              <w:keepLines/>
              <w:spacing w:after="0"/>
            </w:pPr>
            <w:r>
              <w:rPr>
                <w:sz w:val="15"/>
              </w:rPr>
              <w:t>Heterogeneous menstruating-age</w:t>
            </w:r>
          </w:p>
        </w:tc>
        <w:tc>
          <w:tcPr>
            <w:tcW w:w="1399" w:type="dxa"/>
            <w:vAlign w:val="center"/>
          </w:tcPr>
          <w:p w14:paraId="278171F6" w14:textId="77777777" w:rsidR="004B250B" w:rsidRDefault="00000000">
            <w:pPr>
              <w:keepLines/>
              <w:spacing w:after="0"/>
            </w:pPr>
            <w:r>
              <w:rPr>
                <w:sz w:val="15"/>
              </w:rPr>
              <w:t>30</w:t>
            </w:r>
          </w:p>
        </w:tc>
        <w:tc>
          <w:tcPr>
            <w:tcW w:w="1399" w:type="dxa"/>
            <w:vAlign w:val="center"/>
          </w:tcPr>
          <w:p w14:paraId="2BFDA0EB" w14:textId="77777777" w:rsidR="004B250B" w:rsidRDefault="00000000">
            <w:pPr>
              <w:keepLines/>
              <w:spacing w:after="0"/>
            </w:pPr>
            <w:r>
              <w:rPr>
                <w:sz w:val="15"/>
              </w:rPr>
              <w:t>Windowed Herzog thresholds</w:t>
            </w:r>
          </w:p>
        </w:tc>
        <w:tc>
          <w:tcPr>
            <w:tcW w:w="1399" w:type="dxa"/>
            <w:vAlign w:val="center"/>
          </w:tcPr>
          <w:p w14:paraId="3C1313D7" w14:textId="77777777" w:rsidR="004B250B" w:rsidRDefault="00000000">
            <w:pPr>
              <w:keepLines/>
              <w:spacing w:after="0"/>
            </w:pPr>
            <w:r>
              <w:rPr>
                <w:sz w:val="15"/>
              </w:rPr>
              <w:t>46.0%</w:t>
            </w:r>
          </w:p>
        </w:tc>
        <w:tc>
          <w:tcPr>
            <w:tcW w:w="1399" w:type="dxa"/>
            <w:vAlign w:val="center"/>
          </w:tcPr>
          <w:p w14:paraId="42ECE8FC" w14:textId="77777777" w:rsidR="004B250B" w:rsidRDefault="00000000">
            <w:pPr>
              <w:keepLines/>
              <w:spacing w:after="0"/>
            </w:pPr>
            <w:r>
              <w:rPr>
                <w:sz w:val="15"/>
              </w:rPr>
              <w:t>29.9%–63.3%</w:t>
            </w:r>
          </w:p>
        </w:tc>
        <w:tc>
          <w:tcPr>
            <w:tcW w:w="1399" w:type="dxa"/>
            <w:vAlign w:val="center"/>
          </w:tcPr>
          <w:p w14:paraId="15B2E923" w14:textId="77777777" w:rsidR="004B250B" w:rsidRDefault="00000000">
            <w:pPr>
              <w:keepLines/>
              <w:spacing w:after="0"/>
            </w:pPr>
            <w:r>
              <w:rPr>
                <w:sz w:val="15"/>
              </w:rPr>
              <w:t>80.0%</w:t>
            </w:r>
          </w:p>
        </w:tc>
        <w:tc>
          <w:tcPr>
            <w:tcW w:w="1399" w:type="dxa"/>
            <w:vAlign w:val="center"/>
          </w:tcPr>
          <w:p w14:paraId="0BA6922D" w14:textId="77777777" w:rsidR="004B250B" w:rsidRDefault="00000000">
            <w:pPr>
              <w:keepLines/>
              <w:spacing w:after="0"/>
            </w:pPr>
            <w:r>
              <w:rPr>
                <w:sz w:val="15"/>
              </w:rPr>
              <w:t>53.8%</w:t>
            </w:r>
          </w:p>
        </w:tc>
      </w:tr>
      <w:tr w:rsidR="004B250B" w14:paraId="328FBBC0" w14:textId="77777777">
        <w:trPr>
          <w:jc w:val="center"/>
        </w:trPr>
        <w:tc>
          <w:tcPr>
            <w:tcW w:w="1399" w:type="dxa"/>
            <w:vAlign w:val="center"/>
          </w:tcPr>
          <w:p w14:paraId="5F61B8AC" w14:textId="77777777" w:rsidR="004B250B" w:rsidRDefault="004B250B">
            <w:pPr>
              <w:keepLines/>
              <w:spacing w:after="0"/>
            </w:pPr>
          </w:p>
        </w:tc>
        <w:tc>
          <w:tcPr>
            <w:tcW w:w="1399" w:type="dxa"/>
            <w:vAlign w:val="center"/>
          </w:tcPr>
          <w:p w14:paraId="42F679F9" w14:textId="77777777" w:rsidR="004B250B" w:rsidRDefault="00000000">
            <w:pPr>
              <w:keepLines/>
              <w:spacing w:after="0"/>
            </w:pPr>
            <w:r>
              <w:rPr>
                <w:sz w:val="15"/>
              </w:rPr>
              <w:t>30</w:t>
            </w:r>
          </w:p>
        </w:tc>
        <w:tc>
          <w:tcPr>
            <w:tcW w:w="1399" w:type="dxa"/>
            <w:vAlign w:val="center"/>
          </w:tcPr>
          <w:p w14:paraId="04B216FC" w14:textId="77777777" w:rsidR="004B250B" w:rsidRDefault="00000000">
            <w:pPr>
              <w:keepLines/>
              <w:spacing w:after="0"/>
            </w:pPr>
            <w:r>
              <w:rPr>
                <w:sz w:val="15"/>
              </w:rPr>
              <w:t>Windowed Herzog C1/C2 union</w:t>
            </w:r>
          </w:p>
        </w:tc>
        <w:tc>
          <w:tcPr>
            <w:tcW w:w="1399" w:type="dxa"/>
            <w:vAlign w:val="center"/>
          </w:tcPr>
          <w:p w14:paraId="3F2866A3" w14:textId="77777777" w:rsidR="004B250B" w:rsidRDefault="00000000">
            <w:pPr>
              <w:keepLines/>
              <w:spacing w:after="0"/>
            </w:pPr>
            <w:r>
              <w:rPr>
                <w:sz w:val="15"/>
              </w:rPr>
              <w:t>38.1%</w:t>
            </w:r>
          </w:p>
        </w:tc>
        <w:tc>
          <w:tcPr>
            <w:tcW w:w="1399" w:type="dxa"/>
            <w:vAlign w:val="center"/>
          </w:tcPr>
          <w:p w14:paraId="0BF651B0" w14:textId="77777777" w:rsidR="004B250B" w:rsidRDefault="00000000">
            <w:pPr>
              <w:keepLines/>
              <w:spacing w:after="0"/>
            </w:pPr>
            <w:r>
              <w:rPr>
                <w:sz w:val="15"/>
              </w:rPr>
              <w:t>20.0%–56.7%</w:t>
            </w:r>
          </w:p>
        </w:tc>
        <w:tc>
          <w:tcPr>
            <w:tcW w:w="1399" w:type="dxa"/>
            <w:vAlign w:val="center"/>
          </w:tcPr>
          <w:p w14:paraId="03A87195" w14:textId="77777777" w:rsidR="004B250B" w:rsidRDefault="00000000">
            <w:pPr>
              <w:keepLines/>
              <w:spacing w:after="0"/>
            </w:pPr>
            <w:r>
              <w:rPr>
                <w:sz w:val="15"/>
              </w:rPr>
              <w:t>48.2%</w:t>
            </w:r>
          </w:p>
        </w:tc>
        <w:tc>
          <w:tcPr>
            <w:tcW w:w="1399" w:type="dxa"/>
            <w:vAlign w:val="center"/>
          </w:tcPr>
          <w:p w14:paraId="701A0DC9" w14:textId="77777777" w:rsidR="004B250B" w:rsidRDefault="00000000">
            <w:pPr>
              <w:keepLines/>
              <w:spacing w:after="0"/>
            </w:pPr>
            <w:r>
              <w:rPr>
                <w:sz w:val="15"/>
              </w:rPr>
              <w:t>21.7%</w:t>
            </w:r>
          </w:p>
        </w:tc>
      </w:tr>
      <w:tr w:rsidR="004B250B" w14:paraId="538E4163" w14:textId="77777777">
        <w:trPr>
          <w:jc w:val="center"/>
        </w:trPr>
        <w:tc>
          <w:tcPr>
            <w:tcW w:w="1399" w:type="dxa"/>
            <w:vAlign w:val="center"/>
          </w:tcPr>
          <w:p w14:paraId="4F228599" w14:textId="77777777" w:rsidR="004B250B" w:rsidRDefault="004B250B">
            <w:pPr>
              <w:keepLines/>
              <w:spacing w:after="0"/>
            </w:pPr>
          </w:p>
        </w:tc>
        <w:tc>
          <w:tcPr>
            <w:tcW w:w="1399" w:type="dxa"/>
            <w:vAlign w:val="center"/>
          </w:tcPr>
          <w:p w14:paraId="7A6C180B" w14:textId="77777777" w:rsidR="004B250B" w:rsidRDefault="00000000">
            <w:pPr>
              <w:keepLines/>
              <w:spacing w:after="0"/>
            </w:pPr>
            <w:r>
              <w:rPr>
                <w:sz w:val="15"/>
              </w:rPr>
              <w:t>50</w:t>
            </w:r>
          </w:p>
        </w:tc>
        <w:tc>
          <w:tcPr>
            <w:tcW w:w="1399" w:type="dxa"/>
            <w:vAlign w:val="center"/>
          </w:tcPr>
          <w:p w14:paraId="1FE3598E" w14:textId="77777777" w:rsidR="004B250B" w:rsidRDefault="00000000">
            <w:pPr>
              <w:keepLines/>
              <w:spacing w:after="0"/>
            </w:pPr>
            <w:r>
              <w:rPr>
                <w:sz w:val="15"/>
              </w:rPr>
              <w:t>Windowed Herzog thresholds</w:t>
            </w:r>
          </w:p>
        </w:tc>
        <w:tc>
          <w:tcPr>
            <w:tcW w:w="1399" w:type="dxa"/>
            <w:vAlign w:val="center"/>
          </w:tcPr>
          <w:p w14:paraId="6FEF644A" w14:textId="77777777" w:rsidR="004B250B" w:rsidRDefault="00000000">
            <w:pPr>
              <w:keepLines/>
              <w:spacing w:after="0"/>
            </w:pPr>
            <w:r>
              <w:rPr>
                <w:sz w:val="15"/>
              </w:rPr>
              <w:t>46.2%</w:t>
            </w:r>
          </w:p>
        </w:tc>
        <w:tc>
          <w:tcPr>
            <w:tcW w:w="1399" w:type="dxa"/>
            <w:vAlign w:val="center"/>
          </w:tcPr>
          <w:p w14:paraId="4DE76491" w14:textId="77777777" w:rsidR="004B250B" w:rsidRDefault="00000000">
            <w:pPr>
              <w:keepLines/>
              <w:spacing w:after="0"/>
            </w:pPr>
            <w:r>
              <w:rPr>
                <w:sz w:val="15"/>
              </w:rPr>
              <w:t>32.0%–60.0%</w:t>
            </w:r>
          </w:p>
        </w:tc>
        <w:tc>
          <w:tcPr>
            <w:tcW w:w="1399" w:type="dxa"/>
            <w:vAlign w:val="center"/>
          </w:tcPr>
          <w:p w14:paraId="4109E7EA" w14:textId="77777777" w:rsidR="004B250B" w:rsidRDefault="00000000">
            <w:pPr>
              <w:keepLines/>
              <w:spacing w:after="0"/>
            </w:pPr>
            <w:r>
              <w:rPr>
                <w:sz w:val="15"/>
              </w:rPr>
              <w:t>84.7%</w:t>
            </w:r>
          </w:p>
        </w:tc>
        <w:tc>
          <w:tcPr>
            <w:tcW w:w="1399" w:type="dxa"/>
            <w:vAlign w:val="center"/>
          </w:tcPr>
          <w:p w14:paraId="3412E2A9" w14:textId="77777777" w:rsidR="004B250B" w:rsidRDefault="00000000">
            <w:pPr>
              <w:keepLines/>
              <w:spacing w:after="0"/>
            </w:pPr>
            <w:r>
              <w:rPr>
                <w:sz w:val="15"/>
              </w:rPr>
              <w:t>56.5%</w:t>
            </w:r>
          </w:p>
        </w:tc>
      </w:tr>
      <w:tr w:rsidR="004B250B" w14:paraId="222E2CEE" w14:textId="77777777">
        <w:trPr>
          <w:jc w:val="center"/>
        </w:trPr>
        <w:tc>
          <w:tcPr>
            <w:tcW w:w="1399" w:type="dxa"/>
            <w:vAlign w:val="center"/>
          </w:tcPr>
          <w:p w14:paraId="136F648F" w14:textId="77777777" w:rsidR="004B250B" w:rsidRDefault="004B250B">
            <w:pPr>
              <w:keepLines/>
              <w:spacing w:after="0"/>
            </w:pPr>
          </w:p>
        </w:tc>
        <w:tc>
          <w:tcPr>
            <w:tcW w:w="1399" w:type="dxa"/>
            <w:vAlign w:val="center"/>
          </w:tcPr>
          <w:p w14:paraId="33718383" w14:textId="77777777" w:rsidR="004B250B" w:rsidRDefault="00000000">
            <w:pPr>
              <w:keepLines/>
              <w:spacing w:after="0"/>
            </w:pPr>
            <w:r>
              <w:rPr>
                <w:sz w:val="15"/>
              </w:rPr>
              <w:t>50</w:t>
            </w:r>
          </w:p>
        </w:tc>
        <w:tc>
          <w:tcPr>
            <w:tcW w:w="1399" w:type="dxa"/>
            <w:vAlign w:val="center"/>
          </w:tcPr>
          <w:p w14:paraId="24CF0FF5" w14:textId="77777777" w:rsidR="004B250B" w:rsidRDefault="00000000">
            <w:pPr>
              <w:keepLines/>
              <w:spacing w:after="0"/>
            </w:pPr>
            <w:r>
              <w:rPr>
                <w:sz w:val="15"/>
              </w:rPr>
              <w:t>Windowed Herzog C1/C2 union</w:t>
            </w:r>
          </w:p>
        </w:tc>
        <w:tc>
          <w:tcPr>
            <w:tcW w:w="1399" w:type="dxa"/>
            <w:vAlign w:val="center"/>
          </w:tcPr>
          <w:p w14:paraId="36A3FBE7" w14:textId="77777777" w:rsidR="004B250B" w:rsidRDefault="00000000">
            <w:pPr>
              <w:keepLines/>
              <w:spacing w:after="0"/>
            </w:pPr>
            <w:r>
              <w:rPr>
                <w:sz w:val="15"/>
              </w:rPr>
              <w:t>38.2%</w:t>
            </w:r>
          </w:p>
        </w:tc>
        <w:tc>
          <w:tcPr>
            <w:tcW w:w="1399" w:type="dxa"/>
            <w:vAlign w:val="center"/>
          </w:tcPr>
          <w:p w14:paraId="4C0394D9" w14:textId="77777777" w:rsidR="004B250B" w:rsidRDefault="00000000">
            <w:pPr>
              <w:keepLines/>
              <w:spacing w:after="0"/>
            </w:pPr>
            <w:r>
              <w:rPr>
                <w:sz w:val="15"/>
              </w:rPr>
              <w:t>24.0%–52.0%</w:t>
            </w:r>
          </w:p>
        </w:tc>
        <w:tc>
          <w:tcPr>
            <w:tcW w:w="1399" w:type="dxa"/>
            <w:vAlign w:val="center"/>
          </w:tcPr>
          <w:p w14:paraId="4072310F" w14:textId="77777777" w:rsidR="004B250B" w:rsidRDefault="00000000">
            <w:pPr>
              <w:keepLines/>
              <w:spacing w:after="0"/>
            </w:pPr>
            <w:r>
              <w:rPr>
                <w:sz w:val="15"/>
              </w:rPr>
              <w:t>45.2%</w:t>
            </w:r>
          </w:p>
        </w:tc>
        <w:tc>
          <w:tcPr>
            <w:tcW w:w="1399" w:type="dxa"/>
            <w:vAlign w:val="center"/>
          </w:tcPr>
          <w:p w14:paraId="77D0D953" w14:textId="77777777" w:rsidR="004B250B" w:rsidRDefault="00000000">
            <w:pPr>
              <w:keepLines/>
              <w:spacing w:after="0"/>
            </w:pPr>
            <w:r>
              <w:rPr>
                <w:sz w:val="15"/>
              </w:rPr>
              <w:t>16.0%</w:t>
            </w:r>
          </w:p>
        </w:tc>
      </w:tr>
      <w:tr w:rsidR="004B250B" w14:paraId="64B00CDA" w14:textId="77777777">
        <w:trPr>
          <w:jc w:val="center"/>
        </w:trPr>
        <w:tc>
          <w:tcPr>
            <w:tcW w:w="1399" w:type="dxa"/>
            <w:vAlign w:val="center"/>
          </w:tcPr>
          <w:p w14:paraId="607E6FF7" w14:textId="77777777" w:rsidR="004B250B" w:rsidRDefault="004B250B">
            <w:pPr>
              <w:keepLines/>
              <w:spacing w:after="0"/>
            </w:pPr>
          </w:p>
        </w:tc>
        <w:tc>
          <w:tcPr>
            <w:tcW w:w="1399" w:type="dxa"/>
            <w:vAlign w:val="center"/>
          </w:tcPr>
          <w:p w14:paraId="6D9A37D6" w14:textId="77777777" w:rsidR="004B250B" w:rsidRDefault="00000000">
            <w:pPr>
              <w:keepLines/>
              <w:spacing w:after="0"/>
            </w:pPr>
            <w:r>
              <w:rPr>
                <w:sz w:val="15"/>
              </w:rPr>
              <w:t>100</w:t>
            </w:r>
          </w:p>
        </w:tc>
        <w:tc>
          <w:tcPr>
            <w:tcW w:w="1399" w:type="dxa"/>
            <w:vAlign w:val="center"/>
          </w:tcPr>
          <w:p w14:paraId="505CF62A" w14:textId="77777777" w:rsidR="004B250B" w:rsidRDefault="00000000">
            <w:pPr>
              <w:keepLines/>
              <w:spacing w:after="0"/>
            </w:pPr>
            <w:r>
              <w:rPr>
                <w:sz w:val="15"/>
              </w:rPr>
              <w:t>Windowed Herzog thresholds</w:t>
            </w:r>
          </w:p>
        </w:tc>
        <w:tc>
          <w:tcPr>
            <w:tcW w:w="1399" w:type="dxa"/>
            <w:vAlign w:val="center"/>
          </w:tcPr>
          <w:p w14:paraId="195C98FB" w14:textId="77777777" w:rsidR="004B250B" w:rsidRDefault="00000000">
            <w:pPr>
              <w:keepLines/>
              <w:spacing w:after="0"/>
            </w:pPr>
            <w:r>
              <w:rPr>
                <w:sz w:val="15"/>
              </w:rPr>
              <w:t>46.0%</w:t>
            </w:r>
          </w:p>
        </w:tc>
        <w:tc>
          <w:tcPr>
            <w:tcW w:w="1399" w:type="dxa"/>
            <w:vAlign w:val="center"/>
          </w:tcPr>
          <w:p w14:paraId="106581FE" w14:textId="77777777" w:rsidR="004B250B" w:rsidRDefault="00000000">
            <w:pPr>
              <w:keepLines/>
              <w:spacing w:after="0"/>
            </w:pPr>
            <w:r>
              <w:rPr>
                <w:sz w:val="15"/>
              </w:rPr>
              <w:t>36.0%–56.0%</w:t>
            </w:r>
          </w:p>
        </w:tc>
        <w:tc>
          <w:tcPr>
            <w:tcW w:w="1399" w:type="dxa"/>
            <w:vAlign w:val="center"/>
          </w:tcPr>
          <w:p w14:paraId="2138B894" w14:textId="77777777" w:rsidR="004B250B" w:rsidRDefault="00000000">
            <w:pPr>
              <w:keepLines/>
              <w:spacing w:after="0"/>
            </w:pPr>
            <w:r>
              <w:rPr>
                <w:sz w:val="15"/>
              </w:rPr>
              <w:t>90.2%</w:t>
            </w:r>
          </w:p>
        </w:tc>
        <w:tc>
          <w:tcPr>
            <w:tcW w:w="1399" w:type="dxa"/>
            <w:vAlign w:val="center"/>
          </w:tcPr>
          <w:p w14:paraId="180DCE4D" w14:textId="77777777" w:rsidR="004B250B" w:rsidRDefault="00000000">
            <w:pPr>
              <w:keepLines/>
              <w:spacing w:after="0"/>
            </w:pPr>
            <w:r>
              <w:rPr>
                <w:sz w:val="15"/>
              </w:rPr>
              <w:t>62.0%</w:t>
            </w:r>
          </w:p>
        </w:tc>
      </w:tr>
      <w:tr w:rsidR="004B250B" w14:paraId="213C098B" w14:textId="77777777">
        <w:trPr>
          <w:jc w:val="center"/>
        </w:trPr>
        <w:tc>
          <w:tcPr>
            <w:tcW w:w="1399" w:type="dxa"/>
            <w:vAlign w:val="center"/>
          </w:tcPr>
          <w:p w14:paraId="50E9FFD4" w14:textId="77777777" w:rsidR="004B250B" w:rsidRDefault="004B250B">
            <w:pPr>
              <w:keepLines/>
              <w:spacing w:after="0"/>
            </w:pPr>
          </w:p>
        </w:tc>
        <w:tc>
          <w:tcPr>
            <w:tcW w:w="1399" w:type="dxa"/>
            <w:vAlign w:val="center"/>
          </w:tcPr>
          <w:p w14:paraId="3C0852CA" w14:textId="77777777" w:rsidR="004B250B" w:rsidRDefault="00000000">
            <w:pPr>
              <w:keepLines/>
              <w:spacing w:after="0"/>
            </w:pPr>
            <w:r>
              <w:rPr>
                <w:sz w:val="15"/>
              </w:rPr>
              <w:t>100</w:t>
            </w:r>
          </w:p>
        </w:tc>
        <w:tc>
          <w:tcPr>
            <w:tcW w:w="1399" w:type="dxa"/>
            <w:vAlign w:val="center"/>
          </w:tcPr>
          <w:p w14:paraId="265CE301" w14:textId="77777777" w:rsidR="004B250B" w:rsidRDefault="00000000">
            <w:pPr>
              <w:keepLines/>
              <w:spacing w:after="0"/>
            </w:pPr>
            <w:r>
              <w:rPr>
                <w:sz w:val="15"/>
              </w:rPr>
              <w:t>Windowed Herzog C1/C2 union</w:t>
            </w:r>
          </w:p>
        </w:tc>
        <w:tc>
          <w:tcPr>
            <w:tcW w:w="1399" w:type="dxa"/>
            <w:vAlign w:val="center"/>
          </w:tcPr>
          <w:p w14:paraId="547D6C1D" w14:textId="77777777" w:rsidR="004B250B" w:rsidRDefault="00000000">
            <w:pPr>
              <w:keepLines/>
              <w:spacing w:after="0"/>
            </w:pPr>
            <w:r>
              <w:rPr>
                <w:sz w:val="15"/>
              </w:rPr>
              <w:t>38.0%</w:t>
            </w:r>
          </w:p>
        </w:tc>
        <w:tc>
          <w:tcPr>
            <w:tcW w:w="1399" w:type="dxa"/>
            <w:vAlign w:val="center"/>
          </w:tcPr>
          <w:p w14:paraId="6AA96AB3" w14:textId="77777777" w:rsidR="004B250B" w:rsidRDefault="00000000">
            <w:pPr>
              <w:keepLines/>
              <w:spacing w:after="0"/>
            </w:pPr>
            <w:r>
              <w:rPr>
                <w:sz w:val="15"/>
              </w:rPr>
              <w:t>28.0%–47.0%</w:t>
            </w:r>
          </w:p>
        </w:tc>
        <w:tc>
          <w:tcPr>
            <w:tcW w:w="1399" w:type="dxa"/>
            <w:vAlign w:val="center"/>
          </w:tcPr>
          <w:p w14:paraId="006F50E3" w14:textId="77777777" w:rsidR="004B250B" w:rsidRDefault="00000000">
            <w:pPr>
              <w:keepLines/>
              <w:spacing w:after="0"/>
            </w:pPr>
            <w:r>
              <w:rPr>
                <w:sz w:val="15"/>
              </w:rPr>
              <w:t>37.8%</w:t>
            </w:r>
          </w:p>
        </w:tc>
        <w:tc>
          <w:tcPr>
            <w:tcW w:w="1399" w:type="dxa"/>
            <w:vAlign w:val="center"/>
          </w:tcPr>
          <w:p w14:paraId="497ED19B" w14:textId="77777777" w:rsidR="004B250B" w:rsidRDefault="00000000">
            <w:pPr>
              <w:keepLines/>
              <w:spacing w:after="0"/>
            </w:pPr>
            <w:r>
              <w:rPr>
                <w:sz w:val="15"/>
              </w:rPr>
              <w:t>9.4%</w:t>
            </w:r>
          </w:p>
        </w:tc>
      </w:tr>
    </w:tbl>
    <w:p w14:paraId="1746DD75" w14:textId="77777777" w:rsidR="004B250B" w:rsidRDefault="004B250B">
      <w:pPr>
        <w:spacing w:after="0"/>
      </w:pPr>
    </w:p>
    <w:p w14:paraId="14AAA1AE"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71095152" w14:textId="77777777" w:rsidR="004B250B" w:rsidRDefault="00000000">
      <w:r>
        <w:br w:type="page"/>
      </w:r>
    </w:p>
    <w:p w14:paraId="0D81B113" w14:textId="77777777" w:rsidR="004B250B" w:rsidRDefault="00000000">
      <w:pPr>
        <w:pStyle w:val="Heading1"/>
      </w:pPr>
      <w:r>
        <w:lastRenderedPageBreak/>
        <w:t>Figure Legends and Figures</w:t>
      </w:r>
    </w:p>
    <w:p w14:paraId="4372EA2A"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2A8E12F1" w14:textId="77777777" w:rsidR="004B250B" w:rsidRDefault="00000000">
      <w:pPr>
        <w:jc w:val="center"/>
      </w:pPr>
      <w:r>
        <w:rPr>
          <w:noProof/>
        </w:rPr>
        <w:drawing>
          <wp:inline distT="0" distB="0" distL="0" distR="0" wp14:anchorId="00391531" wp14:editId="28EEAA08">
            <wp:extent cx="6126480" cy="229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8015"/>
                    </a:xfrm>
                    <a:prstGeom prst="rect">
                      <a:avLst/>
                    </a:prstGeom>
                  </pic:spPr>
                </pic:pic>
              </a:graphicData>
            </a:graphic>
          </wp:inline>
        </w:drawing>
      </w:r>
    </w:p>
    <w:p w14:paraId="27797E8B"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7AF86FE9" w14:textId="77777777" w:rsidR="004B250B" w:rsidRDefault="00000000">
      <w:pPr>
        <w:jc w:val="center"/>
      </w:pPr>
      <w:r>
        <w:rPr>
          <w:noProof/>
        </w:rPr>
        <w:drawing>
          <wp:inline distT="0" distB="0" distL="0" distR="0" wp14:anchorId="66FDB558" wp14:editId="2E22E14A">
            <wp:extent cx="6126480" cy="394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49714"/>
                    </a:xfrm>
                    <a:prstGeom prst="rect">
                      <a:avLst/>
                    </a:prstGeom>
                  </pic:spPr>
                </pic:pic>
              </a:graphicData>
            </a:graphic>
          </wp:inline>
        </w:drawing>
      </w:r>
    </w:p>
    <w:p w14:paraId="27EA408C"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60BAFAEC" w14:textId="77777777" w:rsidR="004B250B" w:rsidRDefault="00000000">
      <w:pPr>
        <w:jc w:val="center"/>
      </w:pPr>
      <w:r>
        <w:rPr>
          <w:noProof/>
        </w:rPr>
        <w:drawing>
          <wp:inline distT="0" distB="0" distL="0" distR="0" wp14:anchorId="0B299214" wp14:editId="54D5B399">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7903"/>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6E072D" w14:textId="77777777" w:rsidR="00852DEF" w:rsidRDefault="00852DEF">
      <w:pPr>
        <w:spacing w:line="240" w:lineRule="auto"/>
      </w:pPr>
      <w:r>
        <w:separator/>
      </w:r>
    </w:p>
  </w:endnote>
  <w:endnote w:type="continuationSeparator" w:id="0">
    <w:p w14:paraId="66513CA3" w14:textId="77777777" w:rsidR="00852DEF" w:rsidRDefault="00852D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223CD"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8F6158" w14:textId="77777777" w:rsidR="00852DEF" w:rsidRDefault="00852DEF">
      <w:pPr>
        <w:spacing w:line="240" w:lineRule="auto"/>
      </w:pPr>
      <w:r>
        <w:separator/>
      </w:r>
    </w:p>
  </w:footnote>
  <w:footnote w:type="continuationSeparator" w:id="0">
    <w:p w14:paraId="6F8DE6AA" w14:textId="77777777" w:rsidR="00852DEF" w:rsidRDefault="00852D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DA40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34616"/>
    <w:rsid w:val="00035C0E"/>
    <w:rsid w:val="00053CE4"/>
    <w:rsid w:val="0006063C"/>
    <w:rsid w:val="000C6639"/>
    <w:rsid w:val="000C7F3A"/>
    <w:rsid w:val="000D4174"/>
    <w:rsid w:val="000D76B7"/>
    <w:rsid w:val="000E14BB"/>
    <w:rsid w:val="00122398"/>
    <w:rsid w:val="00124921"/>
    <w:rsid w:val="001343AF"/>
    <w:rsid w:val="001441D1"/>
    <w:rsid w:val="0015074B"/>
    <w:rsid w:val="001515C8"/>
    <w:rsid w:val="00162362"/>
    <w:rsid w:val="001661A1"/>
    <w:rsid w:val="00171C99"/>
    <w:rsid w:val="00171DB7"/>
    <w:rsid w:val="00181CFA"/>
    <w:rsid w:val="00187F55"/>
    <w:rsid w:val="00192EC0"/>
    <w:rsid w:val="001E7C9B"/>
    <w:rsid w:val="002214F1"/>
    <w:rsid w:val="002241AD"/>
    <w:rsid w:val="00245DC0"/>
    <w:rsid w:val="002468DF"/>
    <w:rsid w:val="00252310"/>
    <w:rsid w:val="00264E07"/>
    <w:rsid w:val="00273C26"/>
    <w:rsid w:val="002752EA"/>
    <w:rsid w:val="0029061E"/>
    <w:rsid w:val="00291B8A"/>
    <w:rsid w:val="0029639D"/>
    <w:rsid w:val="002B084B"/>
    <w:rsid w:val="002B448D"/>
    <w:rsid w:val="0031215A"/>
    <w:rsid w:val="00326F90"/>
    <w:rsid w:val="003470BE"/>
    <w:rsid w:val="00393AE2"/>
    <w:rsid w:val="003A1FE9"/>
    <w:rsid w:val="003A6960"/>
    <w:rsid w:val="004034AC"/>
    <w:rsid w:val="004317BD"/>
    <w:rsid w:val="004370B3"/>
    <w:rsid w:val="00461591"/>
    <w:rsid w:val="00462B1A"/>
    <w:rsid w:val="004A4F3D"/>
    <w:rsid w:val="004A6B28"/>
    <w:rsid w:val="004B250B"/>
    <w:rsid w:val="004D5618"/>
    <w:rsid w:val="004E0820"/>
    <w:rsid w:val="00527A3D"/>
    <w:rsid w:val="00550220"/>
    <w:rsid w:val="0055574E"/>
    <w:rsid w:val="005561B0"/>
    <w:rsid w:val="00584202"/>
    <w:rsid w:val="00596135"/>
    <w:rsid w:val="005D2486"/>
    <w:rsid w:val="005D648A"/>
    <w:rsid w:val="00695D97"/>
    <w:rsid w:val="006A3065"/>
    <w:rsid w:val="006A5650"/>
    <w:rsid w:val="006A7C0E"/>
    <w:rsid w:val="006F223B"/>
    <w:rsid w:val="006F2A3B"/>
    <w:rsid w:val="007073D1"/>
    <w:rsid w:val="00721572"/>
    <w:rsid w:val="00734262"/>
    <w:rsid w:val="0074441A"/>
    <w:rsid w:val="00766F8D"/>
    <w:rsid w:val="00793F4A"/>
    <w:rsid w:val="007D2872"/>
    <w:rsid w:val="007E1DA8"/>
    <w:rsid w:val="007E4B9C"/>
    <w:rsid w:val="007E64D8"/>
    <w:rsid w:val="00806295"/>
    <w:rsid w:val="00852DEF"/>
    <w:rsid w:val="00887623"/>
    <w:rsid w:val="008B766C"/>
    <w:rsid w:val="008E4D89"/>
    <w:rsid w:val="008F2692"/>
    <w:rsid w:val="009076FA"/>
    <w:rsid w:val="009325E3"/>
    <w:rsid w:val="009326FD"/>
    <w:rsid w:val="00932BEC"/>
    <w:rsid w:val="0093491F"/>
    <w:rsid w:val="00957D92"/>
    <w:rsid w:val="0098476B"/>
    <w:rsid w:val="009B00D6"/>
    <w:rsid w:val="009C7826"/>
    <w:rsid w:val="00A10598"/>
    <w:rsid w:val="00A22A73"/>
    <w:rsid w:val="00A65778"/>
    <w:rsid w:val="00AA1D8D"/>
    <w:rsid w:val="00AB7D70"/>
    <w:rsid w:val="00AC6858"/>
    <w:rsid w:val="00AD7D3C"/>
    <w:rsid w:val="00B0051E"/>
    <w:rsid w:val="00B033F7"/>
    <w:rsid w:val="00B248FE"/>
    <w:rsid w:val="00B25F86"/>
    <w:rsid w:val="00B35E5A"/>
    <w:rsid w:val="00B41555"/>
    <w:rsid w:val="00B47730"/>
    <w:rsid w:val="00B80FB5"/>
    <w:rsid w:val="00B9378A"/>
    <w:rsid w:val="00B972AA"/>
    <w:rsid w:val="00BA1FAB"/>
    <w:rsid w:val="00BA4574"/>
    <w:rsid w:val="00BA6609"/>
    <w:rsid w:val="00BC3FF5"/>
    <w:rsid w:val="00C223E7"/>
    <w:rsid w:val="00C3706C"/>
    <w:rsid w:val="00C406D1"/>
    <w:rsid w:val="00C460D2"/>
    <w:rsid w:val="00C94F0B"/>
    <w:rsid w:val="00CA5AF3"/>
    <w:rsid w:val="00CB0664"/>
    <w:rsid w:val="00CB1F27"/>
    <w:rsid w:val="00CB29DC"/>
    <w:rsid w:val="00CC486E"/>
    <w:rsid w:val="00D62C09"/>
    <w:rsid w:val="00D8577D"/>
    <w:rsid w:val="00D874AD"/>
    <w:rsid w:val="00DA0C79"/>
    <w:rsid w:val="00DA5F04"/>
    <w:rsid w:val="00DB69EF"/>
    <w:rsid w:val="00DF21FC"/>
    <w:rsid w:val="00E24A71"/>
    <w:rsid w:val="00E30C79"/>
    <w:rsid w:val="00E33554"/>
    <w:rsid w:val="00E55EDA"/>
    <w:rsid w:val="00E85A09"/>
    <w:rsid w:val="00E92E41"/>
    <w:rsid w:val="00EA795B"/>
    <w:rsid w:val="00EB299D"/>
    <w:rsid w:val="00EB4125"/>
    <w:rsid w:val="00F2119F"/>
    <w:rsid w:val="00F31434"/>
    <w:rsid w:val="00F416AF"/>
    <w:rsid w:val="00F503D2"/>
    <w:rsid w:val="00F527C8"/>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B3488"/>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79</TotalTime>
  <Pages>12</Pages>
  <Words>7478</Words>
  <Characters>42626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50004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27</cp:revision>
  <dcterms:created xsi:type="dcterms:W3CDTF">2026-07-25T11:50:00Z</dcterms:created>
  <dcterms:modified xsi:type="dcterms:W3CDTF">2026-07-30T20:52:00Z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id="DDpmQ3BF"/&gt;&lt;style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