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DA0BF4" w14:textId="77777777" w:rsidR="004B250B" w:rsidRDefault="00000000">
      <w:pPr>
        <w:pStyle w:val="Title"/>
        <w:jc w:val="center"/>
      </w:pPr>
      <w:r>
        <w:t>False Positive Catamenial Epilepsy Classification: A Simulation Study</w:t>
      </w:r>
    </w:p>
    <w:p w14:paraId="2609814F" w14:textId="77777777" w:rsidR="004B250B" w:rsidRDefault="00000000">
      <w:pPr>
        <w:jc w:val="center"/>
      </w:pPr>
      <w:r>
        <w:rPr>
          <w:b/>
        </w:rPr>
        <w:t>Research Article</w:t>
      </w:r>
    </w:p>
    <w:p w14:paraId="55B27C4E" w14:textId="77777777" w:rsidR="004B250B" w:rsidRDefault="00000000">
      <w:pPr>
        <w:jc w:val="center"/>
      </w:pPr>
      <w:r>
        <w:t>Daniel M. Goldenholz, MD, PhD¹; Wesley T. Kerr, MD, PhD²˒³˒⁴; Sharon Chiang, MD, PhD⁵; M. Brandon Westover, MD, PhD⁶; Rachael L. Sumner, PhD⁷˒⁸</w:t>
      </w:r>
    </w:p>
    <w:p w14:paraId="3B57968D" w14:textId="77777777" w:rsidR="004B250B" w:rsidRDefault="00000000">
      <w:r>
        <w:t>¹ Department of Neurology, Beth Israel Deaconess Medical Center, Harvard Medical School, Boston, Massachusetts, USA</w:t>
      </w:r>
    </w:p>
    <w:p w14:paraId="2A376D60" w14:textId="77777777" w:rsidR="004B250B" w:rsidRDefault="00000000">
      <w:r>
        <w:t>² Department of Neurology, University of Pittsburgh, Pittsburgh, Pennsylvania, USA</w:t>
      </w:r>
    </w:p>
    <w:p w14:paraId="2B6BC0A9" w14:textId="77777777" w:rsidR="004B250B" w:rsidRDefault="00000000">
      <w:r>
        <w:t>³ Department of Biomedical Informatics, University of Pittsburgh, Pittsburgh, Pennsylvania, USA</w:t>
      </w:r>
    </w:p>
    <w:p w14:paraId="5FCAE37E" w14:textId="77777777" w:rsidR="004B250B" w:rsidRDefault="00000000">
      <w:r>
        <w:t>⁴ Department of Psychiatry, University of Pittsburgh, Pittsburgh, Pennsylvania, USA</w:t>
      </w:r>
    </w:p>
    <w:p w14:paraId="05863949" w14:textId="77777777" w:rsidR="004B250B" w:rsidRDefault="00000000">
      <w:r>
        <w:t>⁵ Department of Neurology and Weill Institute for Neurosciences, University of California, San Francisco, San Francisco, California, USA</w:t>
      </w:r>
    </w:p>
    <w:p w14:paraId="09505733" w14:textId="77777777" w:rsidR="004B250B" w:rsidRDefault="00000000">
      <w:r>
        <w:t>⁶ Department of Neurology and Neurological Sciences, Stanford University School of Medicine, Stanford, California, USA</w:t>
      </w:r>
    </w:p>
    <w:p w14:paraId="6A2E0369" w14:textId="77777777" w:rsidR="004B250B" w:rsidRDefault="00000000">
      <w:r>
        <w:t>⁷ Department of Biomedicine and Medical Diagnostics, Auckland University of Technology, Auckland, New Zealand</w:t>
      </w:r>
    </w:p>
    <w:p w14:paraId="0245C2B8" w14:textId="77777777" w:rsidR="004B250B" w:rsidRDefault="00000000">
      <w:r>
        <w:t>⁸ School of Pharmacy, University of Auckland, Auckland, New Zealand</w:t>
      </w:r>
    </w:p>
    <w:p w14:paraId="494BABB7" w14:textId="72298605" w:rsidR="004B250B" w:rsidRDefault="00000000">
      <w:r>
        <w:rPr>
          <w:b/>
        </w:rPr>
        <w:t xml:space="preserve">Corresponding author: </w:t>
      </w:r>
      <w:r>
        <w:t xml:space="preserve">Daniel M. Goldenholz, MD, PhD, Department of Neurology, Beth Israel Deaconess Medical Center, 330 Brookline Avenue, Boston, MA 02215, USA. Email: </w:t>
      </w:r>
      <w:r w:rsidR="00DB69EF">
        <w:t>daniel.goldenholz@bidmc.harvard.edu</w:t>
      </w:r>
    </w:p>
    <w:p w14:paraId="77075F06" w14:textId="77777777" w:rsidR="004B250B" w:rsidRDefault="00000000">
      <w:r>
        <w:rPr>
          <w:b/>
        </w:rPr>
        <w:t xml:space="preserve">Running title: </w:t>
      </w:r>
      <w:r>
        <w:t>False Positive Catamenial Classification</w:t>
      </w:r>
    </w:p>
    <w:p w14:paraId="70D56E53" w14:textId="77777777" w:rsidR="004B250B" w:rsidRDefault="00000000">
      <w:r>
        <w:rPr>
          <w:b/>
        </w:rPr>
        <w:t xml:space="preserve">Title character count (including spaces): </w:t>
      </w:r>
      <w:r>
        <w:t>69</w:t>
      </w:r>
    </w:p>
    <w:p w14:paraId="46F65DD0" w14:textId="60C4557B" w:rsidR="004B250B" w:rsidRDefault="00000000">
      <w:r>
        <w:rPr>
          <w:b/>
        </w:rPr>
        <w:t xml:space="preserve">Abstract word count: </w:t>
      </w:r>
      <w:r w:rsidR="00DB69EF">
        <w:t>203</w:t>
      </w:r>
    </w:p>
    <w:p w14:paraId="7479D18C" w14:textId="77777777" w:rsidR="004B250B" w:rsidRDefault="00000000">
      <w:r>
        <w:rPr>
          <w:b/>
        </w:rPr>
        <w:t xml:space="preserve">Main-text word count (Introduction through Discussion): </w:t>
      </w:r>
      <w:r>
        <w:t>1941</w:t>
      </w:r>
    </w:p>
    <w:p w14:paraId="0068D1AA" w14:textId="77777777" w:rsidR="004B250B" w:rsidRDefault="00000000">
      <w:r>
        <w:rPr>
          <w:b/>
        </w:rPr>
        <w:t xml:space="preserve">References: </w:t>
      </w:r>
      <w:r>
        <w:t>16</w:t>
      </w:r>
    </w:p>
    <w:p w14:paraId="50400627" w14:textId="77777777" w:rsidR="004B250B" w:rsidRDefault="00000000">
      <w:r>
        <w:rPr>
          <w:b/>
        </w:rPr>
        <w:t xml:space="preserve">Main tables / figures: </w:t>
      </w:r>
      <w:r>
        <w:t>3 / 3 (6 combined)</w:t>
      </w:r>
    </w:p>
    <w:p w14:paraId="4338E421" w14:textId="77777777" w:rsidR="004B250B" w:rsidRDefault="00000000">
      <w:r>
        <w:rPr>
          <w:b/>
        </w:rPr>
        <w:t xml:space="preserve">Supporting information: </w:t>
      </w:r>
      <w:r>
        <w:t>Appendix S1; Tables S1–S4 and Figures S1–S5</w:t>
      </w:r>
    </w:p>
    <w:p w14:paraId="7894A5AB" w14:textId="77777777" w:rsidR="004B250B" w:rsidRDefault="00000000">
      <w:r>
        <w:br w:type="page"/>
      </w:r>
    </w:p>
    <w:p w14:paraId="79A48F99" w14:textId="77777777" w:rsidR="004B250B" w:rsidRDefault="00000000">
      <w:pPr>
        <w:pStyle w:val="Heading1"/>
      </w:pPr>
      <w:r>
        <w:lastRenderedPageBreak/>
        <w:t>Abstract</w:t>
      </w:r>
    </w:p>
    <w:p w14:paraId="3925D1CD" w14:textId="19C35B19" w:rsidR="004B250B" w:rsidRDefault="00000000">
      <w:r>
        <w:rPr>
          <w:b/>
        </w:rPr>
        <w:t xml:space="preserve">Objective: </w:t>
      </w:r>
      <w:r>
        <w:t>To quantify false-positive catamenial epilepsy</w:t>
      </w:r>
      <w:r w:rsidR="007E4B9C">
        <w:t xml:space="preserve"> (CE)</w:t>
      </w:r>
      <w:r>
        <w:t xml:space="preserve"> classification when seizure and menstrual-cycle diaries are independent.</w:t>
      </w:r>
    </w:p>
    <w:p w14:paraId="7AEE6AA1" w14:textId="3A9DB05C" w:rsidR="004B250B" w:rsidRDefault="00000000">
      <w:r>
        <w:rPr>
          <w:b/>
        </w:rPr>
        <w:t xml:space="preserve">Methods: </w:t>
      </w:r>
      <w:r>
        <w:t xml:space="preserve">We simulated 100,000 synthetic participants for 36 months in healthy ovulatory and heterogeneous menstruating-age cohorts. </w:t>
      </w:r>
      <w:proofErr w:type="gramStart"/>
      <w:r w:rsidR="00DB69EF">
        <w:t>Open source</w:t>
      </w:r>
      <w:proofErr w:type="gramEnd"/>
      <w:r w:rsidR="00DB69EF">
        <w:t xml:space="preserve"> simulators generated independent diaries: </w:t>
      </w:r>
      <w:r>
        <w:t xml:space="preserve">CHOCOLATES </w:t>
      </w:r>
      <w:r w:rsidR="00DB69EF">
        <w:t xml:space="preserve">for </w:t>
      </w:r>
      <w:r>
        <w:t>seizure</w:t>
      </w:r>
      <w:r w:rsidR="00DB69EF">
        <w:t xml:space="preserve">s </w:t>
      </w:r>
      <w:r>
        <w:t xml:space="preserve">HORMONE-CYCLE </w:t>
      </w:r>
      <w:r w:rsidR="00DB69EF">
        <w:t xml:space="preserve">for </w:t>
      </w:r>
      <w:r>
        <w:t xml:space="preserve">menstrual and hormone diaries. We applied the phase definitions and pattern-specific seizure-frequency ratio thresholds introduced by Herzog and colleagues (the Herzog criteria) across calendar, complete-cycle, and full-diary windows. A negative-binomial </w:t>
      </w:r>
      <w:r w:rsidR="00DB69EF">
        <w:t xml:space="preserve">analysis </w:t>
      </w:r>
      <w:r>
        <w:t>was</w:t>
      </w:r>
      <w:r w:rsidR="00DB69EF">
        <w:t xml:space="preserve"> used as</w:t>
      </w:r>
      <w:r>
        <w:t xml:space="preserve"> a model-concordant statistical calibration check. </w:t>
      </w:r>
    </w:p>
    <w:p w14:paraId="277D956E" w14:textId="455E237B" w:rsidR="004B250B" w:rsidRDefault="00000000">
      <w:r>
        <w:rPr>
          <w:b/>
        </w:rPr>
        <w:t xml:space="preserve">Results: In 36-month strict-Herzog windows, CE was classified in 11.7% of healthy ovulatory and 36.0% of heterogeneous-cohort participants. In the heterogeneous cohort, the C1/C2 union was 11.7%, whereas C3 positivity occurred in 37.0% of applicable windows. C1/C2 negative-binomial false-positive rates were 4.4% and 4.2%. The exploratory C3 model identified 3.4% (95% Wilson confidence interval, 1.7%–6.9%). Three-month windowed Herzog rates were 41.4% and 50.5%.</w:t>
      </w:r>
      <w:r>
        <w:t xml:space="preserve"/>
      </w:r>
      <w:r w:rsidR="007E4B9C">
        <w:t/>
      </w:r>
      <w:r>
        <w:t xml:space="preserve"/>
      </w:r>
      <w:r w:rsidR="007E4B9C">
        <w:t xml:space="preserve"/>
      </w:r>
      <w:r>
        <w:t xml:space="preserve"/>
      </w:r>
      <w:r w:rsidR="007E4B9C">
        <w:t xml:space="preserve"/>
      </w:r>
      <w:r>
        <w:t xml:space="preserve"/>
      </w:r>
      <w:r w:rsidR="00721572">
        <w:t xml:space="preserve"/>
      </w:r>
      <w:r>
        <w:t/>
      </w:r>
      <w:r w:rsidR="00721572">
        <w:t xml:space="preserve"/>
      </w:r>
      <w:r>
        <w:t/>
      </w:r>
    </w:p>
    <w:p w14:paraId="17DA68DE" w14:textId="08F35E26" w:rsidR="004B250B" w:rsidRDefault="00000000">
      <w:r>
        <w:rPr>
          <w:b/>
        </w:rPr>
        <w:t xml:space="preserve">Significance: </w:t>
      </w:r>
      <w:r>
        <w:t>False-positive classification can be common under independence, particularly when C3 logic is applied to heterogeneous cycles.</w:t>
      </w:r>
      <w:r w:rsidR="00DB69EF">
        <w:t xml:space="preserve"> I</w:t>
      </w:r>
      <w:r w:rsidR="00721572">
        <w:t xml:space="preserve">t is </w:t>
      </w:r>
      <w:r w:rsidR="00DB69EF">
        <w:t xml:space="preserve">therefore </w:t>
      </w:r>
      <w:r w:rsidR="00721572">
        <w:t xml:space="preserve">possible to </w:t>
      </w:r>
      <w:r w:rsidR="00DB69EF">
        <w:t>mis</w:t>
      </w:r>
      <w:r w:rsidR="00721572">
        <w:t>classify CE quite frequently</w:t>
      </w:r>
      <w:r w:rsidR="00DB69EF">
        <w:t xml:space="preserve"> under the current definitions</w:t>
      </w:r>
      <w:r w:rsidR="00721572">
        <w:t xml:space="preserve">. Details such as population type, observation period, and CE </w:t>
      </w:r>
      <w:r w:rsidR="00DB69EF">
        <w:t>criteria</w:t>
      </w:r>
      <w:r w:rsidR="00721572">
        <w:t xml:space="preserve"> carry important weight and should be approached thoughtfully.</w:t>
      </w:r>
    </w:p>
    <w:p w14:paraId="30F5C033" w14:textId="77777777" w:rsidR="004B250B" w:rsidRDefault="00000000">
      <w:r>
        <w:rPr>
          <w:b/>
        </w:rPr>
        <w:t xml:space="preserve">Keywords: </w:t>
      </w:r>
      <w:r>
        <w:t>catamenial epilepsy; false-positive classification; menstrual cycle; seizure diary; simulation</w:t>
      </w:r>
    </w:p>
    <w:p w14:paraId="5EDB3D2A" w14:textId="77777777" w:rsidR="004B250B" w:rsidRDefault="00000000">
      <w:pPr>
        <w:pStyle w:val="Heading1"/>
      </w:pPr>
      <w:r>
        <w:t>Key Points</w:t>
      </w:r>
    </w:p>
    <w:p w14:paraId="1BC66FE4" w14:textId="39D990FE" w:rsidR="004B250B" w:rsidRDefault="00000000">
      <w:pPr>
        <w:pStyle w:val="ListBullet"/>
      </w:pPr>
      <w:r>
        <w:t xml:space="preserve">Windowed Herzog criteria misclassified 11.7% of healthy and 36.0% of heterogeneous simulated participants in 36-month diaries.</w:t>
      </w:r>
      <w:r w:rsidR="00721572">
        <w:t/>
      </w:r>
      <w:r>
        <w:t/>
      </w:r>
    </w:p>
    <w:p w14:paraId="26BF4C6E" w14:textId="77777777" w:rsidR="004B250B" w:rsidRDefault="00000000">
      <w:pPr>
        <w:pStyle w:val="ListBullet"/>
      </w:pPr>
      <w:r>
        <w:t>The heterogeneous-cohort excess was primarily C3/inadequate-luteal-phase driven; C1/C2 rates were similar between cohorts.</w:t>
      </w:r>
    </w:p>
    <w:p w14:paraId="13E3E032" w14:textId="77777777" w:rsidR="004B250B" w:rsidRDefault="00000000">
      <w:pPr>
        <w:pStyle w:val="ListBullet"/>
      </w:pPr>
      <w:r>
        <w:t>Three-month observation windows produced substantially higher false-positive classification than longer monitoring.</w:t>
      </w:r>
    </w:p>
    <w:p w14:paraId="281C958A" w14:textId="77777777" w:rsidR="004B250B" w:rsidRDefault="00000000">
      <w:pPr>
        <w:pStyle w:val="ListBullet"/>
      </w:pPr>
      <w:r>
        <w:t>Pattern-specific reporting, transparent denominators, and prespecified minimum-data and phase-label rules are essential.</w:t>
      </w:r>
    </w:p>
    <w:p w14:paraId="6BA18B86" w14:textId="77777777" w:rsidR="004B250B" w:rsidRDefault="00000000">
      <w:pPr>
        <w:pStyle w:val="Heading1"/>
      </w:pPr>
      <w:r>
        <w:t>Introduction</w:t>
      </w:r>
    </w:p>
    <w:p w14:paraId="2F727CF5" w14:textId="499F2B05" w:rsidR="004B250B" w:rsidRDefault="00000000">
      <w:r>
        <w:t xml:space="preserve">Catamenial </w:t>
      </w:r>
      <w:r w:rsidR="004370B3">
        <w:t>epilepsy (CE)</w:t>
      </w:r>
      <w:r>
        <w:t xml:space="preserve"> describes seizure exacerbation in relation to the menstrual cycle. Perimenstrual (C1), periovulatory (C2), and inadequate-luteal-phase (C3) patterns are clinically recognized, but reported prevalence varies with phase definitions, ratio thresholds, diary duration, and eligibility rules. Herzog and colleagues reported </w:t>
      </w:r>
      <w:r w:rsidR="004370B3">
        <w:t xml:space="preserve">prevalence of </w:t>
      </w:r>
      <w:r>
        <w:t xml:space="preserve">39.1% using three complete cycles and a two-of-three-cycle rule, </w:t>
      </w:r>
      <w:r w:rsidR="004370B3">
        <w:t>while</w:t>
      </w:r>
      <w:r>
        <w:t xml:space="preserve"> 44.2% </w:t>
      </w:r>
      <w:r w:rsidR="004370B3">
        <w:t>was reported</w:t>
      </w:r>
      <w:r>
        <w:t xml:space="preserve"> in the NIH Progesterone Treatment Trial.</w:t>
      </w:r>
      <w:r w:rsidR="00053CE4">
        <w:fldChar w:fldCharType="begin"/>
      </w:r>
      <w:r w:rsidR="00053CE4">
        <w:instrText xml:space="preserve"> ADDIN ZOTERO_ITEM CSL_CITATION {"citationID":"o7wilabN","properties":{"unsorted":false,"formattedCitation":"\\super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053CE4">
        <w:fldChar w:fldCharType="separate"/>
      </w:r>
      <w:r w:rsidR="00053CE4" w:rsidRPr="00053CE4">
        <w:rPr>
          <w:rFonts w:eastAsiaTheme="minorEastAsia" w:cs="Times New Roman"/>
          <w:szCs w:val="24"/>
          <w:vertAlign w:val="superscript"/>
        </w:rPr>
        <w:t>1</w:t>
      </w:r>
      <w:r w:rsidR="00053CE4">
        <w:fldChar w:fldCharType="end"/>
      </w:r>
      <w:r>
        <w:t xml:space="preserve"> </w:t>
      </w:r>
      <w:r w:rsidR="00F503D2">
        <w:fldChar w:fldCharType="begin"/>
      </w:r>
      <w:r w:rsidR="00F503D2">
        <w:instrText xml:space="preserve"> ADDIN ZOTERO_ITEM CSL_CITATION {"citationID":"WWmTlzK0","properties":{"unsorted":false,"formattedCitation":"\\super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rsidR="00F503D2">
        <w:fldChar w:fldCharType="separate"/>
      </w:r>
      <w:r w:rsidR="00F503D2" w:rsidRPr="00F503D2">
        <w:rPr>
          <w:rFonts w:eastAsiaTheme="minorEastAsia" w:cs="Times New Roman"/>
          <w:szCs w:val="24"/>
          <w:vertAlign w:val="superscript"/>
        </w:rPr>
        <w:t>2</w:t>
      </w:r>
      <w:r w:rsidR="00F503D2">
        <w:fldChar w:fldCharType="end"/>
      </w:r>
    </w:p>
    <w:p w14:paraId="56307E6C" w14:textId="1060436C" w:rsidR="004B250B" w:rsidRDefault="00000000">
      <w:r>
        <w:t>Prospective diary classifications may disagree with participants’ prior reports of catamenial seizure exacerbation. Such discordance can reflect unrecognized diary-defined patterns,</w:t>
      </w:r>
      <w:r w:rsidR="00E55EDA">
        <w:t xml:space="preserve"> incomplete reporting,</w:t>
      </w:r>
      <w:r>
        <w:t xml:space="preserve"> perceived patterns not confirmed by the selected quantitative criterion, or instability across limited observation windows</w:t>
      </w:r>
      <w:r w:rsidR="00E55EDA">
        <w:t>. Both methods may be valid in the right conditions</w:t>
      </w:r>
      <w:r>
        <w:t>.</w:t>
      </w:r>
      <w:r w:rsidR="0098476B">
        <w:fldChar w:fldCharType="begin"/>
      </w:r>
      <w:r w:rsidR="0098476B">
        <w:instrText xml:space="preserve"> ADDIN ZOTERO_ITEM CSL_CITATION {"citationID":"sg4AwVM3","properties":{"unsorted":false,"formattedCitation":"\\super 3\\nosupersub{}","plainCitation":"3","noteIndex":0},"citationItems":[{"id":847,"uris":["http://zotero.org/users/1538114/items/LRGYB6PF"],"itemData":{"id":847,"type":"article-journal","abstract":"We evaluated the occurrence and distribution of patterns of catamenial epilepsy in a heterogenous cohort of women with epilepsy on no hormonal therapies, enrolled in a prospective, observational study. The primary aim of the study was pregnancy rate in women with epilepsy with no prior reproductive problems. In this analysis, we included women who recorded one or more menstrual cycles with one or more seizures. We measured progesterone concentrations for one to three cycles. We defined catamenial patterns as twofold or greater average daily seizure frequency around menstruation (C1), ovulation (C2), and for anovulatory cycles, from midcycle through menstruation (C3). Twenty-three of the 89 enrolled women with epilepsy were eligible for this analysis; 12 of 23 met criteria for catamenial epilepsy; five of 23 demonstrated only a C1 pattern, two of 23 only a C2 pattern, five of 23 a combined C1/C2 pattern, and the one woman with anovulatory cycles did not demonstrate a C3 pattern. There were no differences in likelihood of demonstrating a catamenial pattern between those who reported a prior catamenial pattern and those who did not (p = .855). This analysis demonstrates the utility of app-based tracking to determine a catamenial pattern. Larger prospective studies could confirm these findings and inform potential therapeutic trial designs for catamenial epilepsy.","container-title":"Epilepsia","DOI":"10.1111/epi.17718","ISSN":"1528-1167","issue":"9","journalAbbreviation":"Epilepsia","language":"eng","page":"e194-e199","PMID":"37452790","source":"PubMed","title":"Catamenial epilepsy occurrence and patterns in a mixed population of women with epilepsy","volume":"64","author":[{"family":"Voinescu","given":"P. Emanuela"},{"family":"Kelly","given":"McKenna"},{"family":"French","given":"Jacqueline A."},{"family":"Harden","given":"Cynthia"},{"family":"Davis","given":"Anne"},{"family":"Lau","given":"Connie"},{"family":"Ehlert","given":"Alexa"},{"family":"Allien","given":"Stephanie"},{"family":"Osterhaus","given":"Emma"},{"family":"Barnard","given":"Sarah"},{"family":"Jain","given":"Rishabh"},{"family":"Pennell","given":"Page B."}],"issued":{"date-parts":[["2023",9]]}}}],"schema":"https://github.com/citation-style-language/schema/raw/master/csl-citation.json"} </w:instrText>
      </w:r>
      <w:r w:rsidR="0098476B">
        <w:fldChar w:fldCharType="separate"/>
      </w:r>
      <w:r w:rsidR="0098476B" w:rsidRPr="0098476B">
        <w:rPr>
          <w:rFonts w:eastAsiaTheme="minorEastAsia" w:cs="Times New Roman"/>
          <w:szCs w:val="24"/>
          <w:vertAlign w:val="superscript"/>
        </w:rPr>
        <w:t>3</w:t>
      </w:r>
      <w:r w:rsidR="0098476B">
        <w:fldChar w:fldCharType="end"/>
      </w:r>
    </w:p>
    <w:p w14:paraId="1D6ED0A6" w14:textId="7DDAE18A" w:rsidR="004B250B" w:rsidRDefault="00000000">
      <w:r>
        <w:t>Seizures are</w:t>
      </w:r>
      <w:r w:rsidR="00E55EDA">
        <w:t xml:space="preserve"> sometimes</w:t>
      </w:r>
      <w:r>
        <w:t xml:space="preserve"> temporally structured through clustering, circadian rhythms, and </w:t>
      </w:r>
      <w:proofErr w:type="spellStart"/>
      <w:r>
        <w:t>multidien</w:t>
      </w:r>
      <w:proofErr w:type="spellEnd"/>
      <w:r>
        <w:t xml:space="preserve"> rhythms. When these processes are independent of menstrual cycling, </w:t>
      </w:r>
      <w:r w:rsidR="00E55EDA">
        <w:t>time</w:t>
      </w:r>
      <w:r>
        <w:t xml:space="preserve"> windows can still align by chance. </w:t>
      </w:r>
      <w:r w:rsidR="00E55EDA">
        <w:t xml:space="preserve">We would consider such chance occurrences to be a </w:t>
      </w:r>
      <w:r w:rsidR="00E55EDA" w:rsidRPr="00E55EDA">
        <w:rPr>
          <w:i/>
          <w:iCs/>
        </w:rPr>
        <w:t>CE misclassification</w:t>
      </w:r>
      <w:r w:rsidR="00252310">
        <w:rPr>
          <w:i/>
          <w:iCs/>
        </w:rPr>
        <w:t xml:space="preserve"> </w:t>
      </w:r>
      <w:r w:rsidR="00252310">
        <w:t xml:space="preserve">or </w:t>
      </w:r>
      <w:r w:rsidR="00252310" w:rsidRPr="00252310">
        <w:rPr>
          <w:i/>
          <w:iCs/>
        </w:rPr>
        <w:t>false-positive classification</w:t>
      </w:r>
      <w:r w:rsidR="00E55EDA">
        <w:t xml:space="preserve">. </w:t>
      </w:r>
      <w:r>
        <w:t xml:space="preserve">Ratio definitions are especially vulnerable with sparse events: a small comparator count can yield a large or undefined ratio. </w:t>
      </w:r>
      <w:r w:rsidR="00766F8D">
        <w:fldChar w:fldCharType="begin"/>
      </w:r>
      <w:r w:rsidR="00766F8D">
        <w:instrText xml:space="preserve"> ADDIN ZOTERO_ITEM CSL_CITATION {"citationID":"HLOrXBzB","properties":{"unsorted":false,"formattedCitation":"\\super 4\\uc0\\u8211{}6\\nosupersub{}","plainCitation":"4–6","noteIndex":0},"citationItems":[{"id":782,"uris":["http://zotero.org/users/1538114/items/4FWAVWBA"],"itemData":{"id":782,"type":"article-journal","archive_location":"32219856","container-title":"Epilepsia","DOI":"10.1111/epi.16485","issue":"4","journalAbbreviation":"Epilepsia","page":"776-786","title":"Forecasting cycles of seizure likelihood","volume":"61","author":[{"family":"Karoly","given":"Philippa J"},{"family":"Cook","given":"Mark J"},{"family":"Maturana","given":"Matias"},{"family":"Nurse","given":"Ewan S"},{"family":"Payne","given":"Daniel"},{"family":"Brinkmann","given":"Benjamin H"},{"family":"Grayden","given":"David B"},{"family":"Dumanis","given":"Sonya B"},{"family":"Richardson","given":"Mark P"},{"family":"Worrell","given":"Greg A"},{"family":"Schulze-Bonhage","given":"Andreas"},{"family":"Kuhlmann","given":"Levin"},{"family":"Freestone","given":"Dean R"}],"issued":{"date-parts":[["2020"]]}}},{"id":780,"uris":["http://zotero.org/users/1538114/items/UA8IR5ZS"],"itemData":{"id":780,"type":"article-journal","archive_location":"33723459","container-title":"Nature reviews. Neurology","DOI":"10.1038/s41582-021-00464-1","issue":"5","journalAbbreviation":"Nat Rev Neurol","page":"267-284","title":"Cycles in epilepsy","volume":"17","author":[{"family":"Karoly","given":"Philippa J"},{"family":"Rao","given":"Vikram R"},{"family":"Gregg","given":"Nicholas M"},{"family":"Worrell","given":"Gregory A"},{"family":"Bernard","given":"Christophe"},{"family":"Cook","given":"Mark J"},{"family":"Baud","given":"Maxime O"}],"issued":{"date-parts":[["2021"]]}}},{"id":778,"uris":["http://zotero.org/users/1538114/items/DQ2IC23Q"],"itemData":{"id":778,"type":"article-journal","archive_location":"29311566","container-title":"Nature communications","DOI":"10.1038/s41467-017-02577-y","issue":"1","journalAbbreviation":"Nat Commun","page":"88","title":"Multi-day rhythms modulate seizure risk in epilepsy","volume":"9","author":[{"family":"Baud","given":"Maxime O"},{"family":"Kleen","given":"Jonathan K"},{"family":"Mirro","given":"Emily A"},{"family":"Andrechak","given":"Jason C"},{"family":"King-Stephens","given":"David"},{"family":"Chang","given":"Edward F"},{"family":"Rao","given":"Vikram R"}],"issued":{"date-parts":[["2018"]]}}}],"schema":"https://github.com/citation-style-language/schema/raw/master/csl-citation.json"} </w:instrText>
      </w:r>
      <w:r w:rsidR="00766F8D">
        <w:fldChar w:fldCharType="separate"/>
      </w:r>
      <w:r w:rsidR="00766F8D" w:rsidRPr="00766F8D">
        <w:rPr>
          <w:rFonts w:eastAsiaTheme="minorEastAsia" w:cs="Times New Roman"/>
          <w:szCs w:val="24"/>
          <w:vertAlign w:val="superscript"/>
        </w:rPr>
        <w:t>4–6</w:t>
      </w:r>
      <w:r w:rsidR="00766F8D">
        <w:fldChar w:fldCharType="end"/>
      </w:r>
      <w:r w:rsidR="00E55EDA">
        <w:t xml:space="preserve"> </w:t>
      </w:r>
    </w:p>
    <w:p w14:paraId="3F473ADC" w14:textId="5155D6D0" w:rsidR="004B250B" w:rsidRDefault="00000000">
      <w:r>
        <w:t>We conducted a simulation</w:t>
      </w:r>
      <w:r w:rsidR="000D76B7">
        <w:t xml:space="preserve"> with diaries and hormone cycles generated independently</w:t>
      </w:r>
      <w:r>
        <w:t xml:space="preserve"> to estimate false-positive </w:t>
      </w:r>
      <w:r w:rsidR="00252310">
        <w:t>CE</w:t>
      </w:r>
      <w:r>
        <w:t xml:space="preserve"> classification across definitions and observation windows. The study evaluates specificity behavior only</w:t>
      </w:r>
      <w:r w:rsidR="00252310">
        <w:t>. Our aim was to determine the expected “noise” produced by completely independent systems overlapping by chance.</w:t>
      </w:r>
    </w:p>
    <w:p w14:paraId="2AA9D97F" w14:textId="77777777" w:rsidR="004B250B" w:rsidRDefault="00000000">
      <w:pPr>
        <w:pStyle w:val="Heading1"/>
      </w:pPr>
      <w:r>
        <w:lastRenderedPageBreak/>
        <w:t>Methods</w:t>
      </w:r>
    </w:p>
    <w:p w14:paraId="519D674A" w14:textId="58513867" w:rsidR="00252310" w:rsidRPr="00252310" w:rsidRDefault="00000000">
      <w:pPr>
        <w:rPr>
          <w:u w:val="single"/>
        </w:rPr>
      </w:pPr>
      <w:r w:rsidRPr="00252310">
        <w:rPr>
          <w:u w:val="single"/>
        </w:rPr>
        <w:t>Study design</w:t>
      </w:r>
    </w:p>
    <w:p w14:paraId="5109B33B" w14:textId="761092B4" w:rsidR="004B250B" w:rsidRDefault="00000000">
      <w:r>
        <w:t>For each synthetic participant, seizure and menstrual/hormone diaries were generated independently for 36 months and aligned directly by calendar-day index. HORMONE-CYCLE generated the first menstrual cycle in full and selected diary day 1 uniformly from that cycle’s realized days; generation then continued forward without wrapping. Analyses were stratified by cohort and phase-labeling mode.</w:t>
      </w:r>
    </w:p>
    <w:p w14:paraId="4A6CB2F3" w14:textId="77777777" w:rsidR="00252310" w:rsidRDefault="00000000">
      <w:r w:rsidRPr="00252310">
        <w:rPr>
          <w:u w:val="single"/>
        </w:rPr>
        <w:t>Cohorts</w:t>
      </w:r>
    </w:p>
    <w:p w14:paraId="7C2DACF5" w14:textId="222033D9" w:rsidR="004B250B" w:rsidRDefault="00252310">
      <w:r>
        <w:t xml:space="preserve">Two cohorts were used: a healthy cohort and a heterogeneous cohort. The healthy ovulatory cohort included 50,000 </w:t>
      </w:r>
      <w:r w:rsidR="00393AE2">
        <w:t xml:space="preserve">synthetic </w:t>
      </w:r>
      <w:r>
        <w:t xml:space="preserve">participants aged 18–45 years with ovulatory cycling enforced. The heterogeneous menstruating-age cohort included 50,000 </w:t>
      </w:r>
      <w:r w:rsidR="00393AE2">
        <w:t xml:space="preserve">synthetic </w:t>
      </w:r>
      <w:r>
        <w:t>participants aged 13–5</w:t>
      </w:r>
      <w:r w:rsidR="00393AE2">
        <w:t>5</w:t>
      </w:r>
      <w:r>
        <w:t xml:space="preserve"> years and allowed anovulation and irregularity. </w:t>
      </w:r>
      <w:r w:rsidR="000D76B7">
        <w:t>Rates of p</w:t>
      </w:r>
      <w:r>
        <w:t>olycystic ovary syndrome, peri-menarche, perimenopause, and dysmenorrhea were sampled</w:t>
      </w:r>
      <w:r w:rsidR="000D76B7">
        <w:t xml:space="preserve"> based on data-driven population estimates</w:t>
      </w:r>
      <w:r>
        <w:t xml:space="preserve"> (Appendix S1).</w:t>
      </w:r>
    </w:p>
    <w:p w14:paraId="457019B8" w14:textId="77777777" w:rsidR="00252310" w:rsidRPr="00252310" w:rsidRDefault="00000000">
      <w:pPr>
        <w:rPr>
          <w:u w:val="single"/>
        </w:rPr>
      </w:pPr>
      <w:r w:rsidRPr="00252310">
        <w:rPr>
          <w:u w:val="single"/>
        </w:rPr>
        <w:t>Diary simulators</w:t>
      </w:r>
    </w:p>
    <w:p w14:paraId="7F511AA0" w14:textId="7DA566FE" w:rsidR="004B250B" w:rsidRDefault="00000000">
      <w:r>
        <w:t>CHOCOLATES generated</w:t>
      </w:r>
      <w:r w:rsidR="000D76B7">
        <w:t xml:space="preserve"> realistic self-reported</w:t>
      </w:r>
      <w:r>
        <w:t xml:space="preserve"> seizure counts</w:t>
      </w:r>
      <w:r w:rsidR="000D76B7">
        <w:t xml:space="preserve"> for all synthetic patients. The tool uses</w:t>
      </w:r>
      <w:r>
        <w:t xml:space="preserve"> a hierarchical gamma–Poisson</w:t>
      </w:r>
      <w:r w:rsidR="0074441A">
        <w:t xml:space="preserve"> (</w:t>
      </w:r>
      <w:r w:rsidR="007E1DA8">
        <w:t xml:space="preserve">equivalent to </w:t>
      </w:r>
      <w:r w:rsidR="0074441A">
        <w:t>negative binomial</w:t>
      </w:r>
      <w:r w:rsidR="007E1DA8">
        <w:t>)</w:t>
      </w:r>
      <w:r>
        <w:t xml:space="preserve"> process with participant heterogeneity, </w:t>
      </w:r>
      <w:r w:rsidR="000D76B7">
        <w:t xml:space="preserve">L-relationship, </w:t>
      </w:r>
      <w:r>
        <w:t xml:space="preserve">clustering, </w:t>
      </w:r>
      <w:proofErr w:type="spellStart"/>
      <w:r>
        <w:t>multidien</w:t>
      </w:r>
      <w:proofErr w:type="spellEnd"/>
      <w:r>
        <w:t xml:space="preserve"> cycles, and inter</w:t>
      </w:r>
      <w:r w:rsidR="000D76B7">
        <w:t>-</w:t>
      </w:r>
      <w:r>
        <w:t xml:space="preserve">seizure constraints. </w:t>
      </w:r>
      <w:r w:rsidR="00124921">
        <w:fldChar w:fldCharType="begin"/>
      </w:r>
      <w:r w:rsidR="00124921">
        <w:instrText xml:space="preserve"> ADDIN ZOTERO_ITEM CSL_CITATION {"citationID":"3QNIab7e","properties":{"unsorted":false,"formattedCitation":"\\super 7\\nosupersub{}","plainCitation":"7","noteIndex":0},"citationItems":[{"id":2,"uris":["http://zotero.org/users/1538114/items/EZ3PCTXC"],"itemData":{"id":2,"type":"article-journal","abstract":"Objective: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124921">
        <w:fldChar w:fldCharType="separate"/>
      </w:r>
      <w:r w:rsidR="00124921" w:rsidRPr="00124921">
        <w:rPr>
          <w:rFonts w:eastAsiaTheme="minorEastAsia" w:cs="Times New Roman"/>
          <w:szCs w:val="24"/>
          <w:vertAlign w:val="superscript"/>
        </w:rPr>
        <w:t>7</w:t>
      </w:r>
      <w:r w:rsidR="00124921">
        <w:fldChar w:fldCharType="end"/>
      </w:r>
      <w:r>
        <w:t xml:space="preserve"> HORMONE-CYCLE is a new custom, simulator developed for the present project and released as an open-source community tool</w:t>
      </w:r>
      <w:r w:rsidR="000D76B7">
        <w:t xml:space="preserve"> (see Appendix)</w:t>
      </w:r>
      <w:r>
        <w:t xml:space="preserve">. </w:t>
      </w:r>
      <w:r w:rsidR="005D648A">
        <w:fldChar w:fldCharType="begin"/>
      </w:r>
      <w:r w:rsidR="005D648A">
        <w:instrText xml:space="preserve"> ADDIN ZOTERO_ITEM CSL_CITATION {"citationID":"D0Me1eIh","properties":{"unsorted":false,"formattedCitation":"\\super 8\\nosupersub{}","plainCitation":"8","noteIndex":0},"citationItems":[{"id":846,"uris":["http://zotero.org/users/1538114/items/BBSUV5B4"],"itemData":{"id":846,"type":"software","genre":"Python","license":"MIT","medium":"Python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rsidR="005D648A">
        <w:fldChar w:fldCharType="separate"/>
      </w:r>
      <w:r w:rsidR="005D648A" w:rsidRPr="005D648A">
        <w:rPr>
          <w:rFonts w:eastAsiaTheme="minorEastAsia" w:cs="Times New Roman"/>
          <w:szCs w:val="24"/>
          <w:vertAlign w:val="superscript"/>
        </w:rPr>
        <w:t>8</w:t>
      </w:r>
      <w:r w:rsidR="005D648A">
        <w:fldChar w:fldCharType="end"/>
      </w:r>
      <w:r>
        <w:t xml:space="preserve"> It samples participant traits and cycle realizations, then generates daily bleeding, ovulation, estradiol, and progesterone trajectories. Both simulators were designed in a data-driven manner to recapitulate statistical features observed within and across real patient populations</w:t>
      </w:r>
      <w:r w:rsidR="000D76B7">
        <w:t>, including randomized start times</w:t>
      </w:r>
      <w:r>
        <w:t>. The exact targets, sampling levels, realized distributions, and assumption-by-assumption rationale are reported in</w:t>
      </w:r>
      <w:r w:rsidR="00003413">
        <w:t xml:space="preserve"> the</w:t>
      </w:r>
      <w:r>
        <w:t xml:space="preserve"> Appendix. </w:t>
      </w:r>
      <w:r w:rsidR="00D62C09">
        <w:fldChar w:fldCharType="begin"/>
      </w:r>
      <w:r w:rsidR="00D62C09">
        <w:instrText xml:space="preserve"> ADDIN ZOTERO_ITEM CSL_CITATION {"citationID":"syjPk4OX","properties":{"unsorted":false,"formattedCitation":"\\super 9\\uc0\\u8211{}11\\nosupersub{}","plainCitation":"9–11","noteIndex":0},"citationItems":[{"id":788,"uris":["http://zotero.org/users/1538114/items/RQGUHW73"],"itemData":{"id":788,"type":"article-journal","archive_location":"16776638","container-title":"Clinical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rsidR="00D62C09">
        <w:fldChar w:fldCharType="separate"/>
      </w:r>
      <w:r w:rsidR="00D62C09" w:rsidRPr="00D62C09">
        <w:rPr>
          <w:rFonts w:eastAsiaTheme="minorEastAsia" w:cs="Times New Roman"/>
          <w:szCs w:val="24"/>
          <w:vertAlign w:val="superscript"/>
        </w:rPr>
        <w:t>9–11</w:t>
      </w:r>
      <w:r w:rsidR="00D62C09">
        <w:fldChar w:fldCharType="end"/>
      </w:r>
      <w:r>
        <w:t xml:space="preserve"> </w:t>
      </w:r>
      <w:r w:rsidR="00CA5AF3">
        <w:fldChar w:fldCharType="begin"/>
      </w:r>
      <w:r w:rsidR="00CA5AF3">
        <w:instrText xml:space="preserve"> ADDIN ZOTERO_ITEM CSL_CITATION {"citationID":"iQSrCXXC","properties":{"unsorted":false,"formattedCitation":"\\super 12\\nosupersub{}","plainCitation":"12","noteIndex":0},"citationItems":[{"id":790,"uris":["http://zotero.org/users/1538114/items/AZR8XN6P"],"itemData":{"id":790,"type":"article-journal","container-title":"Journal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E"}],"issued":{"date-parts":[["2019"]]}}}],"schema":"https://github.com/citation-style-language/schema/raw/master/csl-citation.json"} </w:instrText>
      </w:r>
      <w:r w:rsidR="00CA5AF3">
        <w:fldChar w:fldCharType="separate"/>
      </w:r>
      <w:r w:rsidR="00CA5AF3" w:rsidRPr="00CA5AF3">
        <w:rPr>
          <w:rFonts w:eastAsiaTheme="minorEastAsia" w:cs="Times New Roman"/>
          <w:szCs w:val="24"/>
          <w:vertAlign w:val="superscript"/>
        </w:rPr>
        <w:t>12</w:t>
      </w:r>
      <w:r w:rsidR="00CA5AF3">
        <w:fldChar w:fldCharType="end"/>
      </w:r>
    </w:p>
    <w:p w14:paraId="453A9FD5" w14:textId="151E09ED" w:rsidR="000D76B7" w:rsidRPr="000D76B7" w:rsidRDefault="00000000">
      <w:pPr>
        <w:rPr>
          <w:u w:val="single"/>
        </w:rPr>
      </w:pPr>
      <w:r w:rsidRPr="000D76B7">
        <w:rPr>
          <w:u w:val="single"/>
        </w:rPr>
        <w:t>Phase labeling and Herzog criteria</w:t>
      </w:r>
    </w:p>
    <w:p w14:paraId="6577746B" w14:textId="2FBBD601" w:rsidR="004B250B" w:rsidRDefault="00000000">
      <w:r>
        <w:t xml:space="preserve">Strict Herzog phase labeling was the primary phase-definition scheme. </w:t>
      </w:r>
      <w:r w:rsidR="0074441A">
        <w:t xml:space="preserve">The first day of a menstruation was labeled day 1. </w:t>
      </w:r>
      <w:r>
        <w:t>Menstrual phase comprised forward days 1–3 and backward days −3 to −1; follicular phase, forward days 4–9; ovulatory phase, forward days ≥10 through backward day −13; and luteal phase, backward days −12 to −4. Days outside these phases were unlabeled. A luteal-anchored sensitivity fixed the periovulatory interval at backward days −16 to −13 and assigned cycle-length variation to the follicular phase.</w:t>
      </w:r>
      <w:r w:rsidR="001661A1">
        <w:fldChar w:fldCharType="begin"/>
      </w:r>
      <w:r w:rsidR="001661A1">
        <w:instrText xml:space="preserve"> ADDIN ZOTERO_ITEM CSL_CITATION {"citationID":"KZCTFQ4q","properties":{"unsorted":false,"formattedCitation":"\\super 13\\nosupersub{}","plainCitation":"13","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1661A1">
        <w:fldChar w:fldCharType="separate"/>
      </w:r>
      <w:r w:rsidR="001661A1" w:rsidRPr="001661A1">
        <w:rPr>
          <w:rFonts w:eastAsiaTheme="minorEastAsia" w:cs="Times New Roman"/>
          <w:szCs w:val="24"/>
          <w:vertAlign w:val="superscript"/>
        </w:rPr>
        <w:t>13</w:t>
      </w:r>
      <w:r w:rsidR="001661A1">
        <w:fldChar w:fldCharType="end"/>
      </w:r>
    </w:p>
    <w:p w14:paraId="32BA164C" w14:textId="4E504CB1" w:rsidR="004B250B" w:rsidRDefault="0074441A">
      <w:r>
        <w:t xml:space="preserve">Average daily seizure frequency (ADSF) </w:t>
      </w:r>
      <w:r w:rsidR="00192EC0">
        <w:t>was</w:t>
      </w:r>
      <w:r>
        <w:t xml:space="preserve"> used for ratios. Windowed ratios were C1=ADSF(M)/ADSF(F+L) with threshold 1.69, C2=ADSF(O)/ADSF(F+L) with threshold 1.83, and C3=ADSF(O+L+M)/ADSF(F) with threshold 1.62 in applicable inadequate-luteal-phase cycles/windows. These exact distributional inflection values, rather than a rounded twofold rule, were used.</w:t>
      </w:r>
      <w:r w:rsidR="000C7F3A">
        <w:fldChar w:fldCharType="begin"/>
      </w:r>
      <w:r w:rsidR="000C7F3A">
        <w:instrText xml:space="preserve"> ADDIN ZOTERO_ITEM CSL_CITATION {"citationID":"mgTkcd27","properties":{"unsorted":false,"formattedCitation":"\\super 13\\nosupersub{}","plainCitation":"13","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0C7F3A">
        <w:fldChar w:fldCharType="separate"/>
      </w:r>
      <w:r w:rsidR="000C7F3A" w:rsidRPr="000C7F3A">
        <w:rPr>
          <w:rFonts w:eastAsiaTheme="minorEastAsia" w:cs="Times New Roman"/>
          <w:szCs w:val="24"/>
          <w:vertAlign w:val="superscript"/>
        </w:rPr>
        <w:t>13</w:t>
      </w:r>
      <w:r w:rsidR="000C7F3A">
        <w:fldChar w:fldCharType="end"/>
      </w:r>
      <w:r>
        <w:t xml:space="preserve"> A ratio was undefined when its numerator or comparator phase was absent or when both phase rates were zero; a positive numerator with zero comparator was treated as positive infinity.</w:t>
      </w:r>
    </w:p>
    <w:p w14:paraId="06810BD0" w14:textId="45290C00" w:rsidR="00AC6858" w:rsidRPr="00AC6858" w:rsidRDefault="00000000">
      <w:pPr>
        <w:rPr>
          <w:u w:val="single"/>
        </w:rPr>
      </w:pPr>
      <w:r w:rsidRPr="00AC6858">
        <w:rPr>
          <w:u w:val="single"/>
        </w:rPr>
        <w:t>C3 applicabilit</w:t>
      </w:r>
      <w:r w:rsidR="00AC6858" w:rsidRPr="00AC6858">
        <w:rPr>
          <w:u w:val="single"/>
        </w:rPr>
        <w:t>y</w:t>
      </w:r>
    </w:p>
    <w:p w14:paraId="27F62AE4" w14:textId="00A443BF" w:rsidR="004B250B" w:rsidRDefault="00000000">
      <w:r>
        <w:t xml:space="preserve">In the heterogeneous cohort, the adapter assigned a simulator-generated inadequate-luteal-phase indicator to all nonovulatory cycles and cycles without a valid ovulation day or progesterone field. For other ovulatory cycles, it used the maximum progesterone concentration on days 5–9 after ovulation, falling back to all </w:t>
      </w:r>
      <w:proofErr w:type="spellStart"/>
      <w:r>
        <w:t>postovulation</w:t>
      </w:r>
      <w:proofErr w:type="spellEnd"/>
      <w:r>
        <w:t xml:space="preserve"> days if that window was absent, and designated values &lt;5.0 ng/mL as inadequate. The C3 ratio then used only designated cycles. The 5.0-ng/mL cutoff follows the operational ovulatory criterion in the original Herzog study; implementation details and sensitivity limitations are in Appendix S1. </w:t>
      </w:r>
      <w:r w:rsidR="00B9378A">
        <w:fldChar w:fldCharType="begin"/>
      </w:r>
      <w:r w:rsidR="00B9378A">
        <w:instrText xml:space="preserve"> ADDIN ZOTERO_ITEM CSL_CITATION {"citationID":"QEeNVymh","properties":{"unsorted":false,"formattedCitation":"\\super 13\\nosupersub{}","plainCitation":"13","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B9378A">
        <w:fldChar w:fldCharType="separate"/>
      </w:r>
      <w:r w:rsidR="00B9378A" w:rsidRPr="00B9378A">
        <w:rPr>
          <w:rFonts w:eastAsiaTheme="minorEastAsia" w:cs="Times New Roman"/>
          <w:szCs w:val="24"/>
          <w:vertAlign w:val="superscript"/>
        </w:rPr>
        <w:t>13</w:t>
      </w:r>
      <w:r w:rsidR="00B9378A">
        <w:fldChar w:fldCharType="end"/>
      </w:r>
    </w:p>
    <w:p w14:paraId="19ECFEAD" w14:textId="4112342E" w:rsidR="00AC6858" w:rsidRPr="00AC6858" w:rsidRDefault="0074441A">
      <w:pPr>
        <w:rPr>
          <w:u w:val="single"/>
        </w:rPr>
      </w:pPr>
      <w:r>
        <w:rPr>
          <w:u w:val="single"/>
        </w:rPr>
        <w:t xml:space="preserve">CE </w:t>
      </w:r>
      <w:r w:rsidRPr="00AC6858">
        <w:rPr>
          <w:u w:val="single"/>
        </w:rPr>
        <w:t>Classification definitions</w:t>
      </w:r>
    </w:p>
    <w:p w14:paraId="29D83908" w14:textId="68507A5E" w:rsidR="004B250B" w:rsidRDefault="00000000">
      <w:r>
        <w:t>Exact Herzog 2004 required exactly three complete 23–35-day cycles and the same positive pattern in at least two cycles.</w:t>
      </w:r>
      <w:r w:rsidR="00171C99">
        <w:fldChar w:fldCharType="begin"/>
      </w:r>
      <w:r w:rsidR="00171C99">
        <w:instrText xml:space="preserve"> ADDIN ZOTERO_ITEM CSL_CITATION {"citationID":"zXyNHYGe","properties":{"unsorted":false,"formattedCitation":"\\super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171C99">
        <w:fldChar w:fldCharType="separate"/>
      </w:r>
      <w:r w:rsidR="00171C99" w:rsidRPr="00171C99">
        <w:rPr>
          <w:rFonts w:eastAsiaTheme="minorEastAsia" w:cs="Times New Roman"/>
          <w:szCs w:val="24"/>
          <w:vertAlign w:val="superscript"/>
        </w:rPr>
        <w:t>1</w:t>
      </w:r>
      <w:r w:rsidR="00171C99">
        <w:fldChar w:fldCharType="end"/>
      </w:r>
      <w:r>
        <w:t xml:space="preserve"> Windowed Herzog pooled the phase-specific ratios in each calendar, cycle-count, or full-diary window. The minimum-data sensitivity required at least four calendar months or six complete cycles and at least four seizure days. These pragmatic thresholds represent an investigator-selected minimum-data sensitivity intended to reduce classifications dominated by extremely sparse event counts; they were not biologically derived. Nearby event thresholds were examined without searching for an optimal cutoff (Appendix S1). Cycle reproducibility required the same positive pattern in at least two-thirds of eligible cycles and a positive pooled ratio.</w:t>
      </w:r>
    </w:p>
    <w:p w14:paraId="7194079A" w14:textId="77777777" w:rsidR="00AC6858" w:rsidRPr="00AC6858" w:rsidRDefault="00000000">
      <w:pPr>
        <w:rPr>
          <w:u w:val="single"/>
        </w:rPr>
      </w:pPr>
      <w:r w:rsidRPr="00AC6858">
        <w:rPr>
          <w:u w:val="single"/>
        </w:rPr>
        <w:lastRenderedPageBreak/>
        <w:t>Model-concordant statistical calibration checks</w:t>
      </w:r>
    </w:p>
    <w:p w14:paraId="6710B754" w14:textId="47D01862" w:rsidR="004B250B" w:rsidRDefault="00000000">
      <w:r>
        <w:t xml:space="preserve">Recurrent heterogeneous seizure counts are </w:t>
      </w:r>
      <w:proofErr w:type="spellStart"/>
      <w:r>
        <w:t>overdispersed</w:t>
      </w:r>
      <w:proofErr w:type="spellEnd"/>
      <w:r>
        <w:t xml:space="preserve">, motivating </w:t>
      </w:r>
      <w:r w:rsidR="0074441A">
        <w:t xml:space="preserve">negative binomial </w:t>
      </w:r>
      <w:r>
        <w:t xml:space="preserve">rather than simple Poisson models. </w:t>
      </w:r>
      <w:r w:rsidR="00001E29">
        <w:fldChar w:fldCharType="begin"/>
      </w:r>
      <w:r w:rsidR="00001E29">
        <w:instrText xml:space="preserve"> ADDIN ZOTERO_ITEM CSL_CITATION {"citationID":"bmB8Cjh7","properties":{"unsorted":false,"formattedCitation":"\\super 7\\nosupersub{}","plainCitation":"7","noteIndex":0},"citationItems":[{"id":2,"uris":["http://zotero.org/users/1538114/items/EZ3PCTXC"],"itemData":{"id":2,"type":"article-journal","abstract":"Objective: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001E29">
        <w:fldChar w:fldCharType="separate"/>
      </w:r>
      <w:r w:rsidR="00001E29" w:rsidRPr="00001E29">
        <w:rPr>
          <w:rFonts w:eastAsiaTheme="minorEastAsia" w:cs="Times New Roman"/>
          <w:szCs w:val="24"/>
          <w:vertAlign w:val="superscript"/>
        </w:rPr>
        <w:t>7</w:t>
      </w:r>
      <w:r w:rsidR="00001E29">
        <w:fldChar w:fldCharType="end"/>
      </w:r>
      <w:r>
        <w:t xml:space="preserve"> The prespecified C1/C2 check used within-participant daily-count generalized linear models with log link, menstrual and ovulatory indicators, and cycle fixed effects where estimable. One-sided Wald tests were Holm-adjusted across C1 and C2; positivity required adjusted P&lt;.05 and the corresponding Herzog rate-ratio threshold. Because CHOCOLATES uses a negative-binomial-like count process, this is a model-concordant statistical calibration check—not an alternative clinical diagnostic method or independent simulator validation.</w:t>
      </w:r>
    </w:p>
    <w:p w14:paraId="0756000A" w14:textId="77777777" w:rsidR="004B250B" w:rsidRDefault="00000000">
      <w:r>
        <w:t>A separately specified exploratory C3 model used the deterministic 1% daily audit sample. It restricted the heterogeneous cohort to complete cycles carrying the simulator-generated inadequate-luteal-phase indicator and contrasted combined O+L+M with F days using cycle fixed effects. Positivity required a one-sided P&lt;.05 and rate ratio ≥1.62. This standalone exploratory family was not pooled with C1/C2 and therefore received no cross-family multiplicity adjustment (Appendix S1).</w:t>
      </w:r>
    </w:p>
    <w:p w14:paraId="0A9D2567" w14:textId="77777777" w:rsidR="00AC6858" w:rsidRPr="00AC6858" w:rsidRDefault="00000000">
      <w:pPr>
        <w:rPr>
          <w:u w:val="single"/>
        </w:rPr>
      </w:pPr>
      <w:r w:rsidRPr="00AC6858">
        <w:rPr>
          <w:u w:val="single"/>
        </w:rPr>
        <w:t>Outcomes and statistics</w:t>
      </w:r>
    </w:p>
    <w:p w14:paraId="094C300A" w14:textId="48EC4904" w:rsidR="004B250B" w:rsidRDefault="00000000">
      <w:r>
        <w:t>The primary outcome was the participant-window false-positive classification rate among classifiable windows under independence. We also report rates among all attempted windows, explicit indeterminate reasons, and mutually exclusive pattern categories. An indeterminate window was one in which an applicable rule could not return positive or negative because required phases, cycles, events, or denominator information were insufficient; non</w:t>
      </w:r>
      <w:r w:rsidR="00D874AD">
        <w:t>-</w:t>
      </w:r>
      <w:r>
        <w:t>applicability was kept separate. Definition-by-window-by-cohort estimates with fewer than 1,000 classifiable participant-windows were flagged as unstable. Wilson intervals quantify Monte Carlo uncertainty in a simulated proportion and do not include model-form uncertainty. Ten thousand simulated studies of 30, 50, or 100 participants sampled one random valid 3-month window per participant.</w:t>
      </w:r>
    </w:p>
    <w:p w14:paraId="4ADBB025" w14:textId="77777777" w:rsidR="004B250B" w:rsidRDefault="00000000">
      <w:r>
        <w:t>Ethics. All participants were synthetic; institutional review board approval, consent, and clinical-trial registration were not applicable.</w:t>
      </w:r>
    </w:p>
    <w:p w14:paraId="69016457" w14:textId="77777777" w:rsidR="004B250B" w:rsidRDefault="00000000">
      <w:pPr>
        <w:pStyle w:val="Heading1"/>
      </w:pPr>
      <w:r>
        <w:t>Results</w:t>
      </w:r>
    </w:p>
    <w:p w14:paraId="0EDDA264" w14:textId="77777777" w:rsidR="00AC6858" w:rsidRPr="00AC6858" w:rsidRDefault="00000000">
      <w:pPr>
        <w:rPr>
          <w:u w:val="single"/>
        </w:rPr>
      </w:pPr>
      <w:r w:rsidRPr="00AC6858">
        <w:rPr>
          <w:u w:val="single"/>
        </w:rPr>
        <w:t>Simulation cohort</w:t>
      </w:r>
    </w:p>
    <w:p w14:paraId="757342D5" w14:textId="6DE78332" w:rsidR="004B250B" w:rsidRDefault="00000000">
      <w:r>
        <w:t>The completed run included 100,000 synthetic participants. The healthy ovulatory cohort had 100.0% ovulatory cycles by design; the heterogeneous cohort had 79.0% ovulatory cycles, greater within-participant cycle-length variability, and similar seizure burden (Table 1). Every diary began at a randomly selected menstrual-cycle phase.</w:t>
      </w:r>
      <w:r w:rsidR="007E1DA8">
        <w:t xml:space="preserve"/>
      </w:r>
      <w:r>
        <w:t/>
      </w:r>
      <w:r w:rsidR="007E1DA8">
        <w:t xml:space="preserve"/>
      </w:r>
      <w:r>
        <w:t/>
      </w:r>
    </w:p>
    <w:p w14:paraId="0B1E9E20" w14:textId="3BFFD52C" w:rsidR="007E1DA8" w:rsidRDefault="00000000">
      <w:pPr>
        <w:rPr>
          <w:u w:val="single"/>
        </w:rPr>
      </w:pPr>
      <w:r w:rsidRPr="00AC6858">
        <w:rPr>
          <w:u w:val="single"/>
        </w:rPr>
        <w:t>Full-diary</w:t>
      </w:r>
      <w:r w:rsidR="007E1DA8">
        <w:rPr>
          <w:u w:val="single"/>
        </w:rPr>
        <w:t xml:space="preserve"> CE</w:t>
      </w:r>
      <w:r w:rsidRPr="00AC6858">
        <w:rPr>
          <w:u w:val="single"/>
        </w:rPr>
        <w:t xml:space="preserve"> classification</w:t>
      </w:r>
    </w:p>
    <w:p w14:paraId="61D7CE6D" w14:textId="04E61E21" w:rsidR="004B250B" w:rsidRDefault="00000000">
      <w:r>
        <w:t xml:space="preserve">In strict-Herzog 36-month windows, windowed Herzog thresholds classified 11.7% of healthy ovulatory and 36.0% of heterogeneous participants under independence (Table 2). In the heterogeneous cohort, the C1/C2 union was 11.7%, similar to the healthy cohort’s 11.7%, whereas C3 positivity occurred in 37.0% of applicable windows. The excess was therefore primarily associated with the simulated inadequate-luteal-phase C3 mechanism (Figure 2 and Appendix S1).</w:t>
      </w:r>
      <w:proofErr w:type="gramStart"/>
      <w:r>
        <w:t/>
      </w:r>
      <w:proofErr w:type="gramEnd"/>
      <w:r>
        <w:t xml:space="preserve"/>
      </w:r>
    </w:p>
    <w:p w14:paraId="62017575" w14:textId="77777777" w:rsidR="00AC6858" w:rsidRPr="00AC6858" w:rsidRDefault="00000000">
      <w:pPr>
        <w:rPr>
          <w:u w:val="single"/>
        </w:rPr>
      </w:pPr>
      <w:r w:rsidRPr="00AC6858">
        <w:rPr>
          <w:u w:val="single"/>
        </w:rPr>
        <w:t>Observation windows</w:t>
      </w:r>
    </w:p>
    <w:p w14:paraId="2F171EC4" w14:textId="37145553" w:rsidR="004B250B" w:rsidRDefault="00000000">
      <w:r>
        <w:t>Three-month windowed Herzog false-positive rates were 41.4% and 50.5% in the healthy and heterogeneous cohorts, respectively. Rates declined with longer monitoring but remained definition-dependent (Figure 1). Exact Herzog 2004 applied to three complete cycles yielded 50.0% and 51.2% among classifiable windows, while many attempted windows were indeterminate. Appendix S1 reports C3 across every saved calendar and complete-cycle duration, minimum-data threshold sensitivities, and cumulative simulated C1, C2, and C3 ratio distributions.</w:t>
      </w:r>
    </w:p>
    <w:p w14:paraId="1E7FD896" w14:textId="77777777" w:rsidR="00AC6858" w:rsidRPr="00AC6858" w:rsidRDefault="00000000">
      <w:pPr>
        <w:rPr>
          <w:u w:val="single"/>
        </w:rPr>
      </w:pPr>
      <w:r w:rsidRPr="00AC6858">
        <w:rPr>
          <w:u w:val="single"/>
        </w:rPr>
        <w:t>Calibration checks</w:t>
      </w:r>
    </w:p>
    <w:p w14:paraId="2503FFA6" w14:textId="7674CB0B" w:rsidR="004B250B" w:rsidRDefault="00000000">
      <w:r>
        <w:t>The full-diary C1/C2 negative-binomial false-positive rate was 4.4% in the healthy cohort and 4.2% in the heterogeneous cohort, close to the prespecified 5% Type I error rate. In the 1% daily audit sample, 430 of 500 heterogeneous participants had a C3-applicable ratio window, but only 205 met the exploratory C3 model’s four-complete-inadequate luteal phase-cycle and four-seizure-day requirements. Seven participants were positive (3.4%; 95% Wilson confidence interval, 1.7%–6.9%; 1.4% of all 500 attempted participants).</w:t>
      </w:r>
      <w:r w:rsidR="008E4D89">
        <w:t/>
      </w:r>
      <w:r w:rsidR="008E4D89" w:rsidRPr="008E4D89">
        <w:t xml:space="preserve"/>
      </w:r>
      <w:r w:rsidR="007E1DA8">
        <w:t/>
      </w:r>
      <w:r>
        <w:t/>
      </w:r>
    </w:p>
    <w:p w14:paraId="0FBA9F2F" w14:textId="77777777" w:rsidR="00AC6858" w:rsidRPr="00AC6858" w:rsidRDefault="00000000">
      <w:pPr>
        <w:rPr>
          <w:u w:val="single"/>
        </w:rPr>
      </w:pPr>
      <w:r w:rsidRPr="00AC6858">
        <w:rPr>
          <w:u w:val="single"/>
        </w:rPr>
        <w:lastRenderedPageBreak/>
        <w:t>Study-level and feature summaries</w:t>
      </w:r>
    </w:p>
    <w:p w14:paraId="257350DB" w14:textId="092D98F0" w:rsidR="004B250B" w:rsidRDefault="00000000">
      <w:r>
        <w:t>Across 10,000 simulated 3-month studies, apparent prevalence varied widely, particularly at n=30 (Table 3 and Figure 3). Associations with seizure burden, cycle variability, ovulatory fraction, age, and configured modifiers are reported in Appendix S1 as relationships between simulator inputs or realizations and simulated classifications, not clinical risk factors.</w:t>
      </w:r>
    </w:p>
    <w:p w14:paraId="53F1BB52" w14:textId="77777777" w:rsidR="004B250B" w:rsidRDefault="00000000">
      <w:pPr>
        <w:pStyle w:val="Heading1"/>
      </w:pPr>
      <w:r>
        <w:t>Discussion</w:t>
      </w:r>
    </w:p>
    <w:p w14:paraId="7BAC29DA" w14:textId="607BD688" w:rsidR="004B250B" w:rsidRDefault="00AC6858">
      <w:r>
        <w:t>This simulation of patients with seizures that were completely independent of their hormone cycles found a significant degree of CE misclassification. The magnitude depends on</w:t>
      </w:r>
      <w:r w:rsidR="0074441A">
        <w:t xml:space="preserve"> CE definition</w:t>
      </w:r>
      <w:r>
        <w:t>, observation length, analyzability rules, and menstrual-cycle assumptions. The largest heterogeneous-cohort excess was C3-driven, whereas C1/C2 behavior was similar between cohorts.</w:t>
      </w:r>
    </w:p>
    <w:p w14:paraId="16CE9412" w14:textId="77777777" w:rsidR="004B250B" w:rsidRDefault="00000000">
      <w:r>
        <w:t xml:space="preserve">The model-concordant negative-binomial findings address implementation-level calibration under related model assumptions, not clinical usefulness or superiority. C1/C2 rates near 5% are expected for tests constructed around </w:t>
      </w:r>
      <w:proofErr w:type="gramStart"/>
      <w:r>
        <w:t>a 5% Type</w:t>
      </w:r>
      <w:proofErr w:type="gramEnd"/>
      <w:r>
        <w:t xml:space="preserve"> I error rate; ratio rules have no analogous guarantee. The exploratory C3 estimate was imprecise and used stricter eligibility in a 1% audit sample, so it should not be read as a direct replacement for the ratio-based C3 result. Its purpose is to show that a separately specified C3 contrast can be calibrated without implying independent validation of the simulator.</w:t>
      </w:r>
    </w:p>
    <w:p w14:paraId="0E134465" w14:textId="44F0B1D5" w:rsidR="004B250B" w:rsidRDefault="00000000">
      <w:r>
        <w:t>Earlier studies established biologically plausible and clinically important C1, C2, and C3 patterns, and treatment evidence remains limited and mixed.</w:t>
      </w:r>
      <w:r w:rsidR="00CB29DC">
        <w:fldChar w:fldCharType="begin"/>
      </w:r>
      <w:r w:rsidR="00CB29DC">
        <w:instrText xml:space="preserve"> ADDIN ZOTERO_ITEM CSL_CITATION {"citationID":"0MZvkEqL","properties":{"unsorted":false,"formattedCitation":"\\super 13\\nosupersub{}","plainCitation":"13","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CB29DC">
        <w:fldChar w:fldCharType="separate"/>
      </w:r>
      <w:r w:rsidR="00CB29DC" w:rsidRPr="00CB29DC">
        <w:rPr>
          <w:rFonts w:eastAsiaTheme="minorEastAsia" w:cs="Times New Roman"/>
          <w:szCs w:val="24"/>
          <w:vertAlign w:val="superscript"/>
        </w:rPr>
        <w:t>13</w:t>
      </w:r>
      <w:r w:rsidR="00CB29DC">
        <w:fldChar w:fldCharType="end"/>
      </w:r>
      <w:r>
        <w:t xml:space="preserve"> </w:t>
      </w:r>
      <w:r w:rsidR="00B35E5A">
        <w:fldChar w:fldCharType="begin"/>
      </w:r>
      <w:r w:rsidR="00B35E5A">
        <w:instrText xml:space="preserve"> ADDIN ZOTERO_ITEM CSL_CITATION {"citationID":"eTSd3Eut","properties":{"unsorted":false,"formattedCitation":"\\super 14,15\\nosupersub{}","plainCitation":"14,15","noteIndex":0},"citationItems":[{"id":774,"uris":["http://zotero.org/users/1538114/items/NIR2YZJ6"],"itemData":{"id":774,"type":"article-journal","archive_location":"22649214","container-title":"Neurology","DOI":"10.1212/WNL.0b013e318259e1f9","issue":"24","journalAbbreviation":"Neurology","page":"1959-66","title":"Progesterone vs placebo therapy for women with epilepsy: A randomized clinical trial","volume":"78","author":[{"family":"Herzog","given":"A G"},{"family":"Fowler","given":"K M"},{"family":"Smithson","given":"S D"},{"family":"Kalayjian","given":"L A"},{"family":"Heck","given":"C N"},{"family":"Sperling","given":"M R"},{"family":"Liporace","given":"J D"},{"family":"Harden","given":"C L"},{"family":"Dworetzky","given":"B A"},{"family":"Pennell","given":"P B"},{"family":"Massaro","given":"J M"},{"literal":"Progesterone Trial Study Group"}],"issued":{"date-parts":[["2012"]]}}},{"id":772,"uris":["http://zotero.org/users/1538114/items/VGDW95R3"],"itemData":{"id":772,"type":"article-journal","archive_location":"34528245","container-title":"The Cochrane database of systematic reviews","DOI":"10.1002/14651858.CD013225.pub3","issue":"9","journalAbbreviation":"Cochrane Database Syst Rev","page":"CD013225","title":"Treatments for seizures in catamenial (menstrual-related) epilepsy","volume":"9","author":[{"family":"Maguire","given":"Melissa J"},{"family":"Nevitt","given":"Sarah J"}],"issued":{"date-parts":[["2021"]]}}}],"schema":"https://github.com/citation-style-language/schema/raw/master/csl-citation.json"} </w:instrText>
      </w:r>
      <w:r w:rsidR="00B35E5A">
        <w:fldChar w:fldCharType="separate"/>
      </w:r>
      <w:r w:rsidR="00B35E5A" w:rsidRPr="00B35E5A">
        <w:rPr>
          <w:rFonts w:eastAsiaTheme="minorEastAsia" w:cs="Times New Roman"/>
          <w:szCs w:val="24"/>
          <w:vertAlign w:val="superscript"/>
        </w:rPr>
        <w:t>14,15</w:t>
      </w:r>
      <w:r w:rsidR="00B35E5A">
        <w:fldChar w:fldCharType="end"/>
      </w:r>
      <w:r>
        <w:t xml:space="preserve"> The present study instead estimates a diagnostic background rate generated by chance alignment of independently simulated structured processes. It does not estimate true prevalence, sensitivity, positive predictive value, or treatment response.</w:t>
      </w:r>
      <w:r w:rsidR="007E1DA8">
        <w:t xml:space="preserve"> Rather, consider simulations of this sort as a lower limit that these CE definitions are capable of – they are always expected to detect some degree of CE even when </w:t>
      </w:r>
      <w:proofErr w:type="gramStart"/>
      <w:r w:rsidR="007E1DA8">
        <w:t>in reality none</w:t>
      </w:r>
      <w:proofErr w:type="gramEnd"/>
      <w:r w:rsidR="007E1DA8">
        <w:t xml:space="preserve"> is present.</w:t>
      </w:r>
    </w:p>
    <w:p w14:paraId="14337F9B" w14:textId="77777777" w:rsidR="004B250B" w:rsidRDefault="00000000">
      <w:r>
        <w:t>Several design implications follow. First, short-window ratio classifications require caution when seizure counts are sparse. Second, C1, C2, and C3 should be reported separately. Third, classifiable and all-attempted denominators should be shown together. Fourth, study comparisons should match the original design: the Herzog 2004 benchmark is aligned with the exact three-complete-cycle rule, not a random three-calendar-month window.</w:t>
      </w:r>
    </w:p>
    <w:p w14:paraId="16B31788" w14:textId="77777777" w:rsidR="004B250B" w:rsidRDefault="00000000">
      <w:r>
        <w:t>Strict Herzog labeling was retained for historical comparability despite recognized limitations of fixed menstrual-phase assignment, particularly the expanding periovulatory interval in longer cycles. The luteal-anchored sensitivity therefore tested a fixed periovulatory definition.</w:t>
      </w:r>
      <w:r w:rsidR="00122398">
        <w:fldChar w:fldCharType="begin"/>
      </w:r>
      <w:r w:rsidR="00122398">
        <w:instrText xml:space="preserve"> ADDIN ZOTERO_ITEM CSL_CITATION {"citationID":"DW9Ll3k3","properties":{"unsorted":false,"formattedCitation":"\\super 16\\nosupersub{}","plainCitation":"16","noteIndex":0},"citationItems":[{"id":849,"uris":["http://zotero.org/users/1538114/items/MT3JJG7G"],"itemData":{"id":849,"type":"article-journal","abstract":"Catamenial epilepsy is the best described and most researched sex steroid-specific seizure exacerbation. Yet despite this there are no current evidence-based treatments, nor an accepted diagnostic tool. The best tool we currently have is tracking seizures over menstrual cycles; however, the reality of tracking seizures and menstrual cycles is fraught with challenges. In Part 1 of this two-part review, we outlined the often complex and reciprocal relationship between seizures and sex steroids. An adaptable means of tracking is required. In this review, we outline the extent and limitations of current knowledge on catamenial epilepsy. We use sample data to show how seizure exacerbations can be tracked in short/long and even irregular menstrual cycles. We describe how seizure severity, an often overlooked and underresearched form of catamenial seizure exacerbation, can also be tracked. Finally, given the lack of treatment options for females profoundly affected by catamenial epilepsy, Section 3 focuses on current methods and models for researching sex steroids and seizures as well as limitations and future directions. To permit more informative, mechanism-focused research in humans, the need for both a consistent classification of catamenial epilepsy and an objective biomarker is highlighted.","container-title":"Epilepsia","DOI":"10.1111/epi.17820","ISSN":"1528-1167","issue":"3","journalAbbreviation":"Epilepsia","language":"eng","page":"569-582","PMID":"37925609","source":"PubMed","title":"Female sex steroids and epilepsy: Part 2. A practical and human focus on catamenial epilepsy","title-short":"Female sex steroids and epilepsy","volume":"65","author":[{"family":"Alshakhouri","given":"Malak"},{"family":"Sharpe","given":"Cynthia"},{"family":"Bergin","given":"Peter"},{"family":"Sumner","given":"Rachael L."}],"issued":{"date-parts":[["2024",3]]}}}],"schema":"https://github.com/citation-style-language/schema/raw/master/csl-citation.json"} </w:instrText>
      </w:r>
      <w:r w:rsidR="00122398">
        <w:fldChar w:fldCharType="separate"/>
      </w:r>
      <w:r w:rsidR="00122398" w:rsidRPr="00122398">
        <w:rPr>
          <w:rFonts w:eastAsiaTheme="minorEastAsia" w:cs="Times New Roman"/>
          <w:szCs w:val="24"/>
          <w:vertAlign w:val="superscript"/>
        </w:rPr>
        <w:t>16</w:t>
      </w:r>
      <w:r w:rsidR="00122398">
        <w:fldChar w:fldCharType="end"/>
      </w:r>
    </w:p>
    <w:p w14:paraId="6F9A750D" w14:textId="1E877D34" w:rsidR="004B250B" w:rsidRDefault="00000000">
      <w:r>
        <w:t xml:space="preserve">The study is limited by simulator and adapter assumptions. CHOCOLATES and HORMONE-CYCLE were calibrated to published features, but summary-level calibration does not substitute for external validation using paired real diaries. The configured heterogeneous-cohort modifiers are stress-test assumptions, the 5.0-ng/mL C3 rule operationalizes one historical definition, and no diary missingness was </w:t>
      </w:r>
      <w:r w:rsidR="007E1DA8">
        <w:t xml:space="preserve">explicitly </w:t>
      </w:r>
      <w:r>
        <w:t>simulated</w:t>
      </w:r>
      <w:r w:rsidR="007E1DA8">
        <w:t xml:space="preserve"> (with the caveat that both simulators were developed to match self-reported diary statistical features)</w:t>
      </w:r>
      <w:r>
        <w:t xml:space="preserve">. Monte Carlo intervals do not include model-form uncertainty. </w:t>
      </w:r>
      <w:proofErr w:type="spellStart"/>
      <w:r w:rsidR="009076FA">
        <w:t>Treatnents</w:t>
      </w:r>
      <w:proofErr w:type="spellEnd"/>
      <w:r>
        <w:t xml:space="preserve"> changes and secular seizure-rate trends were outside the scope of this paper and could invalidate stationarity assumptions or alter chance-alignment rates. The study does not evaluate false negatives or adjudicated seizure types.</w:t>
      </w:r>
    </w:p>
    <w:p w14:paraId="138959DA" w14:textId="63E764CD" w:rsidR="004B250B" w:rsidRDefault="00000000">
      <w:r>
        <w:t xml:space="preserve">Future work should compare these simulation-based rates with empirical-null distributions derived from longitudinal paired seizure and menstrual diaries, using complementary preregistered within-person time shifts and matched cross-person pairing that preserve temporal structure, missingness, and participant-level dependence. </w:t>
      </w:r>
    </w:p>
    <w:p w14:paraId="1748C9DA" w14:textId="3D16177E" w:rsidR="004B250B" w:rsidRDefault="00000000">
      <w:r>
        <w:t xml:space="preserve">In conclusion, catamenial epilepsy </w:t>
      </w:r>
      <w:r w:rsidR="009076FA">
        <w:t>mis</w:t>
      </w:r>
      <w:r>
        <w:t xml:space="preserve">classification can be common </w:t>
      </w:r>
      <w:r w:rsidR="009076FA">
        <w:t xml:space="preserve">even </w:t>
      </w:r>
      <w:r>
        <w:t>when structured seizure and menstrual-cycle diaries are independent. Diagnostic and interventional studies should prespecify diary length, phase labeling, minimum-data thresholds, zero-denominator handling, ovulatory-status handling, and reproducibility criteria before interpreting apparent menstrual clustering as hormone-linked seizure exacerbation.</w:t>
      </w:r>
    </w:p>
    <w:p w14:paraId="5E7478E0" w14:textId="77777777" w:rsidR="004B250B" w:rsidRDefault="00000000">
      <w:pPr>
        <w:pStyle w:val="Heading1"/>
      </w:pPr>
      <w:r>
        <w:lastRenderedPageBreak/>
        <w:t>Acknowledgments</w:t>
      </w:r>
    </w:p>
    <w:p w14:paraId="354E0A8F" w14:textId="77777777" w:rsidR="004B250B" w:rsidRDefault="00000000">
      <w:r>
        <w:t xml:space="preserve">The authors thank the people </w:t>
      </w:r>
      <w:proofErr w:type="gramStart"/>
      <w:r>
        <w:t>whose</w:t>
      </w:r>
      <w:proofErr w:type="gramEnd"/>
      <w:r>
        <w:t xml:space="preserve"> menstrual and seizure diaries contributed to the published statistical targets used by the two simulators.</w:t>
      </w:r>
    </w:p>
    <w:p w14:paraId="0DF7D9FB" w14:textId="77777777" w:rsidR="004B250B" w:rsidRDefault="00000000">
      <w:pPr>
        <w:pStyle w:val="Heading1"/>
      </w:pPr>
      <w:r>
        <w:t>Study Funding</w:t>
      </w:r>
    </w:p>
    <w:p w14:paraId="78723757" w14:textId="77777777" w:rsidR="004B250B" w:rsidRDefault="00000000">
      <w:r>
        <w:t>This work was supported by NIH K23NS124656, NIH R21NS142800, and American Board of Psychiatry and Neurology support to DMG. The funders had no role in study design, data generation, analysis, interpretation, manuscript preparation, or the decision to submit.</w:t>
      </w:r>
    </w:p>
    <w:p w14:paraId="50C1F78B" w14:textId="77777777" w:rsidR="004B250B" w:rsidRDefault="00000000">
      <w:pPr>
        <w:pStyle w:val="Heading1"/>
      </w:pPr>
      <w:r>
        <w:t>Conflict of Interest</w:t>
      </w:r>
    </w:p>
    <w:p w14:paraId="3C4281C3" w14:textId="77777777" w:rsidR="004B250B" w:rsidRDefault="00000000">
      <w:r>
        <w:t>DMG reports funding from NIH K23NS124656, NIH R21NS142800, and the American Board of Psychiatry and Neurology. SC, WTK, and RLS report no disclosures relevant to the manuscript. MBW disclosure confirmation is pending.</w:t>
      </w:r>
    </w:p>
    <w:p w14:paraId="5E78EFC1" w14:textId="77777777" w:rsidR="004B250B" w:rsidRDefault="00000000">
      <w:pPr>
        <w:pStyle w:val="Heading1"/>
      </w:pPr>
      <w:r>
        <w:t>Author Contributions</w:t>
      </w:r>
    </w:p>
    <w:p w14:paraId="609297C0" w14:textId="77777777" w:rsidR="004B250B" w:rsidRDefault="00000000">
      <w:r>
        <w:t>Daniel M. Goldenholz: Conceptualization, methodology, software, formal analysis, visualization, writing—original draft, writing—review and editing, funding acquisition. Wesley T. Kerr: Conceptualization, methodology, clinical interpretation, writing—review and editing. Sharon Chiang: Methodology, statistical interpretation, writing—review and editing. M. Brandon Westover: Methodology, software concept, clinical interpretation, writing—review and editing. Rachael L. Sumner: Methodology, reproductive neuroendocrinology interpretation, writing—review and editing.</w:t>
      </w:r>
    </w:p>
    <w:p w14:paraId="72D49C61" w14:textId="77777777" w:rsidR="004B250B" w:rsidRDefault="00000000">
      <w:pPr>
        <w:pStyle w:val="Heading1"/>
      </w:pPr>
      <w:r>
        <w:t>Data and Code Availability</w:t>
      </w:r>
    </w:p>
    <w:p w14:paraId="61802A33" w14:textId="77777777" w:rsidR="004B250B" w:rsidRDefault="00000000">
      <w:r>
        <w:t>Code, configuration, derived tabular outputs, and the run manifest are available at https://github.com/GoldenholzLab/catamenial-epilepsy-sim. The completed primary simulation run used master seed 20260505; its manifest records configuration values, analysis-code and configuration fingerprints, file sizes, and SHA-256 checksums. The randomized-start analysis used config_random_start_full.yaml, and the Appendix S1 tables were derived from those primary outputs.</w:t>
      </w:r>
    </w:p>
    <w:p w14:paraId="0CDFD533" w14:textId="77777777" w:rsidR="004B250B" w:rsidRDefault="00000000">
      <w:pPr>
        <w:pStyle w:val="Heading1"/>
      </w:pPr>
      <w:r>
        <w:t>Ethical Publication Statement</w:t>
      </w:r>
    </w:p>
    <w:p w14:paraId="0202C3DF" w14:textId="77777777" w:rsidR="004B250B" w:rsidRDefault="00000000">
      <w:r>
        <w:t>We confirm that we have read the Journal’s position on issues involved in ethical publication and affirm that this report is consistent with those guidelines.</w:t>
      </w:r>
    </w:p>
    <w:p w14:paraId="3F20FA49" w14:textId="77777777" w:rsidR="004B250B" w:rsidRDefault="00000000">
      <w:pPr>
        <w:pStyle w:val="Heading1"/>
      </w:pPr>
      <w:r>
        <w:t>Supporting Information</w:t>
      </w:r>
    </w:p>
    <w:p w14:paraId="6F2E85CE" w14:textId="77777777" w:rsidR="004B250B" w:rsidRDefault="00000000">
      <w:r>
        <w:t>Appendix S1 contains the simulator source-to-parameter map, assumption review, C3 algorithm, cumulative simulated Herzog-ratio panels, window and minimum-data sensitivities, exploratory C3 negative-binomial calibration check, pattern decomposition, feature associations, and Supplementary Figures S1–S5.</w:t>
      </w:r>
    </w:p>
    <w:p w14:paraId="66D02506" w14:textId="77777777" w:rsidR="004B250B" w:rsidRDefault="00000000">
      <w:pPr>
        <w:pStyle w:val="Heading1"/>
      </w:pPr>
      <w:r>
        <w:t>References</w:t>
      </w:r>
    </w:p>
    <w:p w14:paraId="5A293450" w14:textId="77777777" w:rsidR="00E24A71" w:rsidRPr="00E24A71" w:rsidRDefault="00E24A71" w:rsidP="00E24A71">
      <w:pPr>
        <w:pStyle w:val="Bibliography"/>
        <w:rPr>
          <w:rFonts w:eastAsiaTheme="minorEastAsia" w:cs="Times New Roman"/>
        </w:rPr>
      </w:pPr>
      <w:r>
        <w:fldChar w:fldCharType="begin"/>
      </w:r>
      <w:r>
        <w:instrText xml:space="preserve"> ADDIN ZOTERO_BIBL {"uncited":[],"omitted":[],"custom":[]} CSL_BIBLIOGRAPHY </w:instrText>
      </w:r>
      <w:r>
        <w:fldChar w:fldCharType="separate"/>
      </w:r>
      <w:r w:rsidRPr="00E24A71">
        <w:rPr>
          <w:rFonts w:eastAsiaTheme="minorEastAsia" w:cs="Times New Roman"/>
        </w:rPr>
        <w:t xml:space="preserve">1. </w:t>
      </w:r>
      <w:r w:rsidRPr="00E24A71">
        <w:rPr>
          <w:rFonts w:eastAsiaTheme="minorEastAsia" w:cs="Times New Roman"/>
        </w:rPr>
        <w:tab/>
        <w:t xml:space="preserve">Herzog AG, Harden CL, Liporace J, Pennell P, Schomer DL, Sperling M, et al. Frequency of catamenial seizure exacerbation in women with localization-related epilepsy. Ann Neurol. 2004; 56(3):431–4. </w:t>
      </w:r>
    </w:p>
    <w:p w14:paraId="79C8D8CB"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2. </w:t>
      </w:r>
      <w:r w:rsidRPr="00E24A71">
        <w:rPr>
          <w:rFonts w:eastAsiaTheme="minorEastAsia" w:cs="Times New Roman"/>
        </w:rPr>
        <w:tab/>
        <w:t xml:space="preserve">Herzog AG. Catamenial epilepsy: Update on prevalence, pathophysiology and treatment from the findings of the NIH Progesterone Treatment Trial. Seizure. 2015; 28:18–25. </w:t>
      </w:r>
    </w:p>
    <w:p w14:paraId="2931EDFE"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3. </w:t>
      </w:r>
      <w:r w:rsidRPr="00E24A71">
        <w:rPr>
          <w:rFonts w:eastAsiaTheme="minorEastAsia" w:cs="Times New Roman"/>
        </w:rPr>
        <w:tab/>
        <w:t xml:space="preserve">Voinescu PE, Kelly M, French JA, Harden C, Davis A, Lau C, et al. Catamenial epilepsy occurrence and patterns in a mixed population of women with epilepsy. Epilepsia. 2023; 64(9):e194–9. </w:t>
      </w:r>
    </w:p>
    <w:p w14:paraId="7B83E1B1"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4. </w:t>
      </w:r>
      <w:r w:rsidRPr="00E24A71">
        <w:rPr>
          <w:rFonts w:eastAsiaTheme="minorEastAsia" w:cs="Times New Roman"/>
        </w:rPr>
        <w:tab/>
        <w:t xml:space="preserve">Karoly PJ, Cook MJ, Maturana M, Nurse ES, Payne D, Brinkmann BH, et al. Forecasting cycles of seizure likelihood. Epilepsia. 2020; 61(4):776–86. </w:t>
      </w:r>
    </w:p>
    <w:p w14:paraId="0D763AE4" w14:textId="77777777" w:rsidR="00E24A71" w:rsidRPr="00E24A71" w:rsidRDefault="00E24A71" w:rsidP="00E24A71">
      <w:pPr>
        <w:pStyle w:val="Bibliography"/>
        <w:rPr>
          <w:rFonts w:eastAsiaTheme="minorEastAsia" w:cs="Times New Roman"/>
        </w:rPr>
      </w:pPr>
      <w:r w:rsidRPr="00E24A71">
        <w:rPr>
          <w:rFonts w:eastAsiaTheme="minorEastAsia" w:cs="Times New Roman"/>
        </w:rPr>
        <w:lastRenderedPageBreak/>
        <w:t xml:space="preserve">5. </w:t>
      </w:r>
      <w:r w:rsidRPr="00E24A71">
        <w:rPr>
          <w:rFonts w:eastAsiaTheme="minorEastAsia" w:cs="Times New Roman"/>
        </w:rPr>
        <w:tab/>
        <w:t xml:space="preserve">Karoly PJ, Rao VR, Gregg NM, Worrell GA, Bernard C, Cook MJ, et al. Cycles in epilepsy. Nat Rev Neurol. 2021; 17(5):267–84. </w:t>
      </w:r>
    </w:p>
    <w:p w14:paraId="0BBDEC69"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6. </w:t>
      </w:r>
      <w:r w:rsidRPr="00E24A71">
        <w:rPr>
          <w:rFonts w:eastAsiaTheme="minorEastAsia" w:cs="Times New Roman"/>
        </w:rPr>
        <w:tab/>
        <w:t xml:space="preserve">Baud MO, Kleen JK, Mirro EA, Andrechak JC, King-Stephens D, Chang EF, et al. Multi-day rhythms modulate seizure risk in epilepsy. Nat Commun. 2018; 9(1):88. </w:t>
      </w:r>
    </w:p>
    <w:p w14:paraId="102338BC"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7. </w:t>
      </w:r>
      <w:r w:rsidRPr="00E24A71">
        <w:rPr>
          <w:rFonts w:eastAsiaTheme="minorEastAsia" w:cs="Times New Roman"/>
        </w:rPr>
        <w:tab/>
        <w:t xml:space="preserve">Goldenholz DM, Westover MB. Flexible realistic simulation of seizure occurrence recapitulating statistical properties of seizure diaries. Epilepsia. 2023; 64(2):396–405. </w:t>
      </w:r>
    </w:p>
    <w:p w14:paraId="32444DCD"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8. </w:t>
      </w:r>
      <w:r w:rsidRPr="00E24A71">
        <w:rPr>
          <w:rFonts w:eastAsiaTheme="minorEastAsia" w:cs="Times New Roman"/>
        </w:rPr>
        <w:tab/>
        <w:t>Daniel Goldenholz. HORMONE-CYCLE [Internet]. GoldenholzLab; 2026. Available from: https://github.com/GoldenholzLab/catamenial-epilepsy-sim.git</w:t>
      </w:r>
    </w:p>
    <w:p w14:paraId="01699295"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9. </w:t>
      </w:r>
      <w:r w:rsidRPr="00E24A71">
        <w:rPr>
          <w:rFonts w:eastAsiaTheme="minorEastAsia" w:cs="Times New Roman"/>
        </w:rPr>
        <w:tab/>
        <w:t xml:space="preserve">Stricker R, Eberhart R, Chevailler M-C, Quinn FA, Bischof P, Stricker R. Establishment of detailed reference values for luteinizing hormone, follicle stimulating hormone, estradiol, and progesterone during different phases of the menstrual cycle on the Abbott ARCHITECT analyzer. Clin Chem Lab Med. 2006; 44(7):883–7. </w:t>
      </w:r>
    </w:p>
    <w:p w14:paraId="4A292130"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10. </w:t>
      </w:r>
      <w:r w:rsidRPr="00E24A71">
        <w:rPr>
          <w:rFonts w:eastAsiaTheme="minorEastAsia" w:cs="Times New Roman"/>
        </w:rPr>
        <w:tab/>
        <w:t xml:space="preserve">Bull JR, Rowland SP, Scherwitzl EB, Scherwitzl R, Danielsson KG, Harper J. Real-world menstrual cycle characteristics of more than 600,000 menstrual cycles. NPJ Digit Med. 2019; 2:83. </w:t>
      </w:r>
    </w:p>
    <w:p w14:paraId="26EB1E15"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11. </w:t>
      </w:r>
      <w:r w:rsidRPr="00E24A71">
        <w:rPr>
          <w:rFonts w:eastAsiaTheme="minorEastAsia" w:cs="Times New Roman"/>
        </w:rPr>
        <w:tab/>
        <w:t xml:space="preserve">Li H, Gibson EA, Jukic AMZ, Baird DD, Wilcox AJ, Curry CL, et al. Menstrual cycle length variation by demographic characteristics from the Apple Women’s Health Study. NPJ Digit Med. 2023; 6(1):100. </w:t>
      </w:r>
    </w:p>
    <w:p w14:paraId="24EDE34C"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12. </w:t>
      </w:r>
      <w:r w:rsidRPr="00E24A71">
        <w:rPr>
          <w:rFonts w:eastAsiaTheme="minorEastAsia" w:cs="Times New Roman"/>
        </w:rPr>
        <w:tab/>
        <w:t xml:space="preserve">Monks T, Currie CSM, Onggo BS, Robinson S, Kunc M, Taylor SJE. Strengthening the reporting of empirical simulation studies: introducing the STRESS guidelines. J Simul. 2019; 13(1):55–67. </w:t>
      </w:r>
    </w:p>
    <w:p w14:paraId="5535A204"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13. </w:t>
      </w:r>
      <w:r w:rsidRPr="00E24A71">
        <w:rPr>
          <w:rFonts w:eastAsiaTheme="minorEastAsia" w:cs="Times New Roman"/>
        </w:rPr>
        <w:tab/>
        <w:t xml:space="preserve">Herzog AG, Klein P, Ransil BJ. Three patterns of catamenial epilepsy. Epilepsia. 1997; 38(10):1082–8. </w:t>
      </w:r>
    </w:p>
    <w:p w14:paraId="05955144"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14. </w:t>
      </w:r>
      <w:r w:rsidRPr="00E24A71">
        <w:rPr>
          <w:rFonts w:eastAsiaTheme="minorEastAsia" w:cs="Times New Roman"/>
        </w:rPr>
        <w:tab/>
        <w:t xml:space="preserve">Herzog AG, Fowler KM, Smithson SD, Kalayjian LA, Heck CN, Sperling MR, et al. Progesterone vs placebo therapy for women with epilepsy: A randomized clinical trial. Neurology. 2012; 78(24):1959–66. </w:t>
      </w:r>
    </w:p>
    <w:p w14:paraId="4C5B6110"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15. </w:t>
      </w:r>
      <w:r w:rsidRPr="00E24A71">
        <w:rPr>
          <w:rFonts w:eastAsiaTheme="minorEastAsia" w:cs="Times New Roman"/>
        </w:rPr>
        <w:tab/>
        <w:t xml:space="preserve">Maguire MJ, Nevitt SJ. Treatments for seizures in catamenial (menstrual-related) epilepsy. Cochrane Database Syst Rev. 2021; 9(9):CD013225. </w:t>
      </w:r>
    </w:p>
    <w:p w14:paraId="68A787F7"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16. </w:t>
      </w:r>
      <w:r w:rsidRPr="00E24A71">
        <w:rPr>
          <w:rFonts w:eastAsiaTheme="minorEastAsia" w:cs="Times New Roman"/>
        </w:rPr>
        <w:tab/>
        <w:t xml:space="preserve">Alshakhouri M, Sharpe C, Bergin P, Sumner RL. Female sex steroids and epilepsy: Part 2. A practical and human focus on catamenial epilepsy. Epilepsia. 2024; 65(3):569–82. </w:t>
      </w:r>
    </w:p>
    <w:p w14:paraId="7E17F0CF" w14:textId="77777777" w:rsidR="004B250B" w:rsidRDefault="00E24A71">
      <w:r>
        <w:fldChar w:fldCharType="end"/>
      </w:r>
    </w:p>
    <w:p w14:paraId="777E2C7B" w14:textId="77777777" w:rsidR="004B250B" w:rsidRDefault="00000000">
      <w:r>
        <w:br w:type="page"/>
      </w:r>
    </w:p>
    <w:p w14:paraId="3E7D717B" w14:textId="77777777" w:rsidR="004B250B" w:rsidRDefault="00000000">
      <w:pPr>
        <w:pStyle w:val="Heading1"/>
      </w:pPr>
      <w:r>
        <w:lastRenderedPageBreak/>
        <w:t>Tables</w:t>
      </w:r>
    </w:p>
    <w:p w14:paraId="6D774CD4" w14:textId="77777777" w:rsidR="004B250B" w:rsidRDefault="00000000">
      <w:pPr>
        <w:pStyle w:val="Heading2"/>
      </w:pPr>
      <w:r>
        <w:t>Table 1. Simulated cohort characteristics.</w:t>
      </w:r>
    </w:p>
    <w:tbl>
      <w:tblPr>
        <w:tblStyle w:val="TableGrid"/>
        <w:tblW w:w="0" w:type="auto"/>
        <w:jc w:val="center"/>
        <w:tblLook w:val="04A0" w:firstRow="1" w:lastRow="0" w:firstColumn="1" w:lastColumn="0" w:noHBand="0" w:noVBand="1"/>
      </w:tblPr>
      <w:tblGrid>
        <w:gridCol w:w="1177"/>
        <w:gridCol w:w="1002"/>
        <w:gridCol w:w="996"/>
        <w:gridCol w:w="984"/>
        <w:gridCol w:w="1019"/>
        <w:gridCol w:w="1019"/>
        <w:gridCol w:w="1063"/>
        <w:gridCol w:w="1114"/>
        <w:gridCol w:w="1408"/>
      </w:tblGrid>
      <w:tr w:rsidR="004B250B" w14:paraId="1F757EFE" w14:textId="77777777">
        <w:trPr>
          <w:tblHeader/>
          <w:jc w:val="center"/>
        </w:trPr>
        <w:tc>
          <w:tcPr>
            <w:tcW w:w="1088" w:type="dxa"/>
            <w:shd w:val="clear" w:color="auto" w:fill="D9EAF7"/>
            <w:vAlign w:val="center"/>
          </w:tcPr>
          <w:p w14:paraId="14CB565B" w14:textId="77777777" w:rsidR="004B250B" w:rsidRDefault="00000000">
            <w:pPr>
              <w:jc w:val="center"/>
            </w:pPr>
            <w:r>
              <w:rPr>
                <w:rFonts w:ascii="Arial" w:hAnsi="Arial"/>
                <w:b/>
                <w:sz w:val="16"/>
              </w:rPr>
              <w:t>Cohort</w:t>
            </w:r>
          </w:p>
        </w:tc>
        <w:tc>
          <w:tcPr>
            <w:tcW w:w="1088" w:type="dxa"/>
            <w:shd w:val="clear" w:color="auto" w:fill="D9EAF7"/>
            <w:vAlign w:val="center"/>
          </w:tcPr>
          <w:p w14:paraId="57BCA5C4" w14:textId="77777777" w:rsidR="004B250B" w:rsidRDefault="00000000">
            <w:pPr>
              <w:jc w:val="center"/>
            </w:pPr>
            <w:r>
              <w:rPr>
                <w:rFonts w:ascii="Arial" w:hAnsi="Arial"/>
                <w:b/>
                <w:sz w:val="16"/>
              </w:rPr>
              <w:t>N</w:t>
            </w:r>
          </w:p>
        </w:tc>
        <w:tc>
          <w:tcPr>
            <w:tcW w:w="1088" w:type="dxa"/>
            <w:shd w:val="clear" w:color="auto" w:fill="D9EAF7"/>
            <w:vAlign w:val="center"/>
          </w:tcPr>
          <w:p w14:paraId="7B303FB1" w14:textId="77777777" w:rsidR="004B250B" w:rsidRDefault="00000000">
            <w:pPr>
              <w:jc w:val="center"/>
            </w:pPr>
            <w:r>
              <w:rPr>
                <w:rFonts w:ascii="Arial" w:hAnsi="Arial"/>
                <w:b/>
                <w:sz w:val="16"/>
              </w:rPr>
              <w:t>Age, y</w:t>
            </w:r>
            <w:r>
              <w:rPr>
                <w:rFonts w:ascii="Arial" w:hAnsi="Arial"/>
                <w:b/>
                <w:sz w:val="16"/>
              </w:rPr>
              <w:br/>
              <w:t>Mean</w:t>
            </w:r>
          </w:p>
        </w:tc>
        <w:tc>
          <w:tcPr>
            <w:tcW w:w="1088" w:type="dxa"/>
            <w:shd w:val="clear" w:color="auto" w:fill="D9EAF7"/>
            <w:vAlign w:val="center"/>
          </w:tcPr>
          <w:p w14:paraId="0508744C" w14:textId="77777777" w:rsidR="004B250B" w:rsidRDefault="00000000">
            <w:pPr>
              <w:jc w:val="center"/>
            </w:pPr>
            <w:r>
              <w:rPr>
                <w:rFonts w:ascii="Arial" w:hAnsi="Arial"/>
                <w:b/>
                <w:sz w:val="16"/>
              </w:rPr>
              <w:t>Age, y</w:t>
            </w:r>
            <w:r>
              <w:rPr>
                <w:rFonts w:ascii="Arial" w:hAnsi="Arial"/>
                <w:b/>
                <w:sz w:val="16"/>
              </w:rPr>
              <w:br/>
              <w:t>SD</w:t>
            </w:r>
          </w:p>
        </w:tc>
        <w:tc>
          <w:tcPr>
            <w:tcW w:w="1088" w:type="dxa"/>
            <w:shd w:val="clear" w:color="auto" w:fill="D9EAF7"/>
            <w:vAlign w:val="center"/>
          </w:tcPr>
          <w:p w14:paraId="306238FD" w14:textId="77777777" w:rsidR="004B250B" w:rsidRDefault="00000000">
            <w:pPr>
              <w:jc w:val="center"/>
            </w:pPr>
            <w:r>
              <w:rPr>
                <w:rFonts w:ascii="Arial" w:hAnsi="Arial"/>
                <w:b/>
                <w:sz w:val="16"/>
              </w:rPr>
              <w:t>Cycle length, d</w:t>
            </w:r>
            <w:r>
              <w:rPr>
                <w:rFonts w:ascii="Arial" w:hAnsi="Arial"/>
                <w:b/>
                <w:sz w:val="16"/>
              </w:rPr>
              <w:br/>
              <w:t>Mean</w:t>
            </w:r>
          </w:p>
        </w:tc>
        <w:tc>
          <w:tcPr>
            <w:tcW w:w="1088" w:type="dxa"/>
            <w:shd w:val="clear" w:color="auto" w:fill="D9EAF7"/>
            <w:vAlign w:val="center"/>
          </w:tcPr>
          <w:p w14:paraId="43311049" w14:textId="77777777" w:rsidR="004B250B" w:rsidRDefault="00000000">
            <w:pPr>
              <w:jc w:val="center"/>
            </w:pPr>
            <w:r>
              <w:rPr>
                <w:rFonts w:ascii="Arial" w:hAnsi="Arial"/>
                <w:b/>
                <w:sz w:val="16"/>
              </w:rPr>
              <w:t>Cycle length, d</w:t>
            </w:r>
            <w:r>
              <w:rPr>
                <w:rFonts w:ascii="Arial" w:hAnsi="Arial"/>
                <w:b/>
                <w:sz w:val="16"/>
              </w:rPr>
              <w:br/>
              <w:t>SD</w:t>
            </w:r>
          </w:p>
        </w:tc>
        <w:tc>
          <w:tcPr>
            <w:tcW w:w="1088" w:type="dxa"/>
            <w:shd w:val="clear" w:color="auto" w:fill="D9EAF7"/>
            <w:vAlign w:val="center"/>
          </w:tcPr>
          <w:p w14:paraId="4C4A9A35" w14:textId="77777777" w:rsidR="004B250B" w:rsidRDefault="00000000">
            <w:pPr>
              <w:jc w:val="center"/>
            </w:pPr>
            <w:r>
              <w:rPr>
                <w:rFonts w:ascii="Arial" w:hAnsi="Arial"/>
                <w:b/>
                <w:sz w:val="16"/>
              </w:rPr>
              <w:t>Ovulatory cycles</w:t>
            </w:r>
          </w:p>
        </w:tc>
        <w:tc>
          <w:tcPr>
            <w:tcW w:w="1088" w:type="dxa"/>
            <w:shd w:val="clear" w:color="auto" w:fill="D9EAF7"/>
            <w:vAlign w:val="center"/>
          </w:tcPr>
          <w:p w14:paraId="650ACD5A" w14:textId="77777777" w:rsidR="004B250B" w:rsidRDefault="00000000">
            <w:pPr>
              <w:jc w:val="center"/>
            </w:pPr>
            <w:r>
              <w:rPr>
                <w:rFonts w:ascii="Arial" w:hAnsi="Arial"/>
                <w:b/>
                <w:sz w:val="16"/>
              </w:rPr>
              <w:t>Seizure days/month</w:t>
            </w:r>
          </w:p>
        </w:tc>
        <w:tc>
          <w:tcPr>
            <w:tcW w:w="1088" w:type="dxa"/>
            <w:shd w:val="clear" w:color="auto" w:fill="D9EAF7"/>
            <w:vAlign w:val="center"/>
          </w:tcPr>
          <w:p w14:paraId="6A74D753" w14:textId="77777777" w:rsidR="004B250B" w:rsidRDefault="00000000">
            <w:pPr>
              <w:jc w:val="center"/>
            </w:pPr>
            <w:r>
              <w:rPr>
                <w:rFonts w:ascii="Arial" w:hAnsi="Arial"/>
                <w:b/>
                <w:sz w:val="16"/>
              </w:rPr>
              <w:t>Seizures/month</w:t>
            </w:r>
          </w:p>
        </w:tc>
      </w:tr>
      <w:tr w:rsidR="004B250B" w14:paraId="5C718681" w14:textId="77777777">
        <w:trPr>
          <w:jc w:val="center"/>
        </w:trPr>
        <w:tc>
          <w:tcPr>
            <w:tcW w:w="1088" w:type="dxa"/>
            <w:vAlign w:val="center"/>
          </w:tcPr>
          <w:p w14:paraId="7995A911" w14:textId="77777777" w:rsidR="004B250B" w:rsidRDefault="00000000">
            <w:pPr>
              <w:keepLines/>
              <w:spacing w:after="0"/>
            </w:pPr>
            <w:r>
              <w:rPr>
                <w:sz w:val="16"/>
              </w:rPr>
              <w:t>Healthy ovulatory</w:t>
            </w:r>
          </w:p>
        </w:tc>
        <w:tc>
          <w:tcPr>
            <w:tcW w:w="1088" w:type="dxa"/>
            <w:vAlign w:val="center"/>
          </w:tcPr>
          <w:p w14:paraId="7D83E65C" w14:textId="77777777" w:rsidR="004B250B" w:rsidRDefault="00000000">
            <w:pPr>
              <w:keepLines/>
              <w:spacing w:after="0"/>
            </w:pPr>
            <w:r>
              <w:rPr>
                <w:sz w:val="16"/>
              </w:rPr>
              <w:t>50,000</w:t>
            </w:r>
          </w:p>
        </w:tc>
        <w:tc>
          <w:tcPr>
            <w:tcW w:w="1088" w:type="dxa"/>
            <w:vAlign w:val="center"/>
          </w:tcPr>
          <w:p w14:paraId="48295AEC" w14:textId="77777777" w:rsidR="004B250B" w:rsidRDefault="00000000">
            <w:pPr>
              <w:keepLines/>
              <w:spacing w:after="0"/>
            </w:pPr>
            <w:r>
              <w:rPr>
                <w:sz w:val="16"/>
              </w:rPr>
              <w:t>31.5</w:t>
            </w:r>
          </w:p>
        </w:tc>
        <w:tc>
          <w:tcPr>
            <w:tcW w:w="1088" w:type="dxa"/>
            <w:vAlign w:val="center"/>
          </w:tcPr>
          <w:p w14:paraId="7591E12E" w14:textId="77777777" w:rsidR="004B250B" w:rsidRDefault="00000000">
            <w:pPr>
              <w:keepLines/>
              <w:spacing w:after="0"/>
            </w:pPr>
            <w:r>
              <w:rPr>
                <w:sz w:val="16"/>
              </w:rPr>
              <w:t>7.8</w:t>
            </w:r>
          </w:p>
        </w:tc>
        <w:tc>
          <w:tcPr>
            <w:tcW w:w="1088" w:type="dxa"/>
            <w:vAlign w:val="center"/>
          </w:tcPr>
          <w:p w14:paraId="78788C8E" w14:textId="77777777" w:rsidR="004B250B" w:rsidRDefault="00000000">
            <w:pPr>
              <w:keepLines/>
              <w:spacing w:after="0"/>
            </w:pPr>
            <w:r>
              <w:rPr>
                <w:sz w:val="16"/>
              </w:rPr>
              <w:t>29.15</w:t>
            </w:r>
          </w:p>
        </w:tc>
        <w:tc>
          <w:tcPr>
            <w:tcW w:w="1088" w:type="dxa"/>
            <w:vAlign w:val="center"/>
          </w:tcPr>
          <w:p w14:paraId="43B5248A" w14:textId="77777777" w:rsidR="004B250B" w:rsidRDefault="00000000">
            <w:pPr>
              <w:keepLines/>
              <w:spacing w:after="0"/>
            </w:pPr>
            <w:r>
              <w:rPr>
                <w:sz w:val="16"/>
              </w:rPr>
              <w:t>3.39</w:t>
            </w:r>
          </w:p>
        </w:tc>
        <w:tc>
          <w:tcPr>
            <w:tcW w:w="1088" w:type="dxa"/>
            <w:vAlign w:val="center"/>
          </w:tcPr>
          <w:p w14:paraId="17478CD7" w14:textId="77777777" w:rsidR="004B250B" w:rsidRDefault="00000000">
            <w:pPr>
              <w:keepLines/>
              <w:spacing w:after="0"/>
            </w:pPr>
            <w:r>
              <w:rPr>
                <w:sz w:val="16"/>
              </w:rPr>
              <w:t>100.0%</w:t>
            </w:r>
          </w:p>
        </w:tc>
        <w:tc>
          <w:tcPr>
            <w:tcW w:w="1088" w:type="dxa"/>
            <w:vAlign w:val="center"/>
          </w:tcPr>
          <w:p w14:paraId="2EF2CB41" w14:textId="77777777" w:rsidR="004B250B" w:rsidRDefault="00000000">
            <w:pPr>
              <w:keepLines/>
              <w:spacing w:after="0"/>
            </w:pPr>
            <w:r>
              <w:rPr>
                <w:sz w:val="16"/>
              </w:rPr>
              <w:t>2.46</w:t>
            </w:r>
          </w:p>
        </w:tc>
        <w:tc>
          <w:tcPr>
            <w:tcW w:w="1088" w:type="dxa"/>
            <w:vAlign w:val="center"/>
          </w:tcPr>
          <w:p w14:paraId="336C4A77" w14:textId="77777777" w:rsidR="004B250B" w:rsidRDefault="00000000">
            <w:pPr>
              <w:keepLines/>
              <w:spacing w:after="0"/>
            </w:pPr>
            <w:r>
              <w:rPr>
                <w:sz w:val="16"/>
              </w:rPr>
              <w:t>6.83</w:t>
            </w:r>
          </w:p>
        </w:tc>
      </w:tr>
      <w:tr w:rsidR="004B250B" w14:paraId="03F4B2BA" w14:textId="77777777">
        <w:trPr>
          <w:jc w:val="center"/>
        </w:trPr>
        <w:tc>
          <w:tcPr>
            <w:tcW w:w="1088" w:type="dxa"/>
            <w:vAlign w:val="center"/>
          </w:tcPr>
          <w:p w14:paraId="0A41E373" w14:textId="77777777" w:rsidR="004B250B" w:rsidRDefault="00000000">
            <w:pPr>
              <w:keepLines/>
              <w:spacing w:after="0"/>
            </w:pPr>
            <w:r>
              <w:rPr>
                <w:sz w:val="16"/>
              </w:rPr>
              <w:t>Heterogeneous menstruating-age</w:t>
            </w:r>
          </w:p>
        </w:tc>
        <w:tc>
          <w:tcPr>
            <w:tcW w:w="1088" w:type="dxa"/>
            <w:vAlign w:val="center"/>
          </w:tcPr>
          <w:p w14:paraId="1CBF6B6D" w14:textId="77777777" w:rsidR="004B250B" w:rsidRDefault="00000000">
            <w:pPr>
              <w:keepLines/>
              <w:spacing w:after="0"/>
            </w:pPr>
            <w:r>
              <w:rPr>
                <w:sz w:val="16"/>
              </w:rPr>
              <w:t>50,000</w:t>
            </w:r>
          </w:p>
        </w:tc>
        <w:tc>
          <w:tcPr>
            <w:tcW w:w="1088" w:type="dxa"/>
            <w:vAlign w:val="center"/>
          </w:tcPr>
          <w:p w14:paraId="7688F45C" w14:textId="77777777" w:rsidR="004B250B" w:rsidRDefault="00000000">
            <w:pPr>
              <w:keepLines/>
              <w:spacing w:after="0"/>
            </w:pPr>
            <w:r>
              <w:rPr>
                <w:sz w:val="16"/>
              </w:rPr>
              <w:t>34.0</w:t>
            </w:r>
          </w:p>
        </w:tc>
        <w:tc>
          <w:tcPr>
            <w:tcW w:w="1088" w:type="dxa"/>
            <w:vAlign w:val="center"/>
          </w:tcPr>
          <w:p w14:paraId="7F135D5C" w14:textId="77777777" w:rsidR="004B250B" w:rsidRDefault="00000000">
            <w:pPr>
              <w:keepLines/>
              <w:spacing w:after="0"/>
            </w:pPr>
            <w:r>
              <w:rPr>
                <w:sz w:val="16"/>
              </w:rPr>
              <w:t>12.1</w:t>
            </w:r>
          </w:p>
        </w:tc>
        <w:tc>
          <w:tcPr>
            <w:tcW w:w="1088" w:type="dxa"/>
            <w:vAlign w:val="center"/>
          </w:tcPr>
          <w:p w14:paraId="24F1A0DD" w14:textId="77777777" w:rsidR="004B250B" w:rsidRDefault="00000000">
            <w:pPr>
              <w:keepLines/>
              <w:spacing w:after="0"/>
            </w:pPr>
            <w:r>
              <w:rPr>
                <w:sz w:val="16"/>
              </w:rPr>
              <w:t>30.92</w:t>
            </w:r>
          </w:p>
        </w:tc>
        <w:tc>
          <w:tcPr>
            <w:tcW w:w="1088" w:type="dxa"/>
            <w:vAlign w:val="center"/>
          </w:tcPr>
          <w:p w14:paraId="64B4FD4C" w14:textId="77777777" w:rsidR="004B250B" w:rsidRDefault="00000000">
            <w:pPr>
              <w:keepLines/>
              <w:spacing w:after="0"/>
            </w:pPr>
            <w:r>
              <w:rPr>
                <w:sz w:val="16"/>
              </w:rPr>
              <w:t>4.74</w:t>
            </w:r>
          </w:p>
        </w:tc>
        <w:tc>
          <w:tcPr>
            <w:tcW w:w="1088" w:type="dxa"/>
            <w:vAlign w:val="center"/>
          </w:tcPr>
          <w:p w14:paraId="0E664399" w14:textId="77777777" w:rsidR="004B250B" w:rsidRDefault="00000000">
            <w:pPr>
              <w:keepLines/>
              <w:spacing w:after="0"/>
            </w:pPr>
            <w:r>
              <w:rPr>
                <w:sz w:val="16"/>
              </w:rPr>
              <w:t>79.0%</w:t>
            </w:r>
          </w:p>
        </w:tc>
        <w:tc>
          <w:tcPr>
            <w:tcW w:w="1088" w:type="dxa"/>
            <w:vAlign w:val="center"/>
          </w:tcPr>
          <w:p w14:paraId="043C0925" w14:textId="77777777" w:rsidR="004B250B" w:rsidRDefault="00000000">
            <w:pPr>
              <w:keepLines/>
              <w:spacing w:after="0"/>
            </w:pPr>
            <w:r>
              <w:rPr>
                <w:sz w:val="16"/>
              </w:rPr>
              <w:t>2.45</w:t>
            </w:r>
          </w:p>
        </w:tc>
        <w:tc>
          <w:tcPr>
            <w:tcW w:w="1088" w:type="dxa"/>
            <w:vAlign w:val="center"/>
          </w:tcPr>
          <w:p w14:paraId="0E378BA3" w14:textId="77777777" w:rsidR="004B250B" w:rsidRDefault="00000000">
            <w:pPr>
              <w:keepLines/>
              <w:spacing w:after="0"/>
            </w:pPr>
            <w:r>
              <w:rPr>
                <w:sz w:val="16"/>
              </w:rPr>
              <w:t>6.80</w:t>
            </w:r>
          </w:p>
        </w:tc>
      </w:tr>
    </w:tbl>
    <w:p w14:paraId="5D793A1F" w14:textId="77777777" w:rsidR="004B250B" w:rsidRDefault="004B250B">
      <w:pPr>
        <w:spacing w:after="0"/>
      </w:pPr>
    </w:p>
    <w:p w14:paraId="0EB7AC14" w14:textId="77777777" w:rsidR="004B250B" w:rsidRDefault="00000000">
      <w:pPr>
        <w:pStyle w:val="TableNote"/>
      </w:pPr>
      <w:r>
        <w:rPr>
          <w:b/>
        </w:rPr>
        <w:t xml:space="preserve">Note. </w:t>
      </w:r>
      <w:r>
        <w:t>Values are cohort-level means from the completed run. Cycle-length SD is the mean within-participant cycle-length SD. N denotes simulated participants; y, years; d, days.</w:t>
      </w:r>
    </w:p>
    <w:p w14:paraId="37513590" w14:textId="77777777" w:rsidR="004B250B" w:rsidRDefault="00000000">
      <w:r>
        <w:br w:type="page"/>
      </w:r>
    </w:p>
    <w:p w14:paraId="418094ED" w14:textId="77777777" w:rsidR="004B250B" w:rsidRDefault="00000000">
      <w:pPr>
        <w:pStyle w:val="Heading2"/>
      </w:pPr>
      <w:r>
        <w:lastRenderedPageBreak/>
        <w:t>Table 2. Participant-window false-positive results.</w:t>
      </w:r>
    </w:p>
    <w:tbl>
      <w:tblPr>
        <w:tblStyle w:val="TableGrid"/>
        <w:tblW w:w="0" w:type="auto"/>
        <w:jc w:val="center"/>
        <w:tblLook w:val="04A0" w:firstRow="1" w:lastRow="0" w:firstColumn="1" w:lastColumn="0" w:noHBand="0" w:noVBand="1"/>
      </w:tblPr>
      <w:tblGrid>
        <w:gridCol w:w="1398"/>
        <w:gridCol w:w="1397"/>
        <w:gridCol w:w="1397"/>
        <w:gridCol w:w="1397"/>
        <w:gridCol w:w="1398"/>
        <w:gridCol w:w="1397"/>
        <w:gridCol w:w="1398"/>
      </w:tblGrid>
      <w:tr w:rsidR="004B250B" w14:paraId="5155C0FC" w14:textId="77777777">
        <w:trPr>
          <w:tblHeader/>
          <w:jc w:val="center"/>
        </w:trPr>
        <w:tc>
          <w:tcPr>
            <w:tcW w:w="1399" w:type="dxa"/>
            <w:shd w:val="clear" w:color="auto" w:fill="D9EAF7"/>
            <w:vAlign w:val="center"/>
          </w:tcPr>
          <w:p w14:paraId="7CDE2A1A" w14:textId="77777777" w:rsidR="004B250B" w:rsidRDefault="00000000">
            <w:pPr>
              <w:jc w:val="center"/>
            </w:pPr>
            <w:r>
              <w:rPr>
                <w:rFonts w:ascii="Arial" w:hAnsi="Arial"/>
                <w:b/>
                <w:sz w:val="14"/>
              </w:rPr>
              <w:t>Cohort</w:t>
            </w:r>
          </w:p>
        </w:tc>
        <w:tc>
          <w:tcPr>
            <w:tcW w:w="1399" w:type="dxa"/>
            <w:shd w:val="clear" w:color="auto" w:fill="D9EAF7"/>
            <w:vAlign w:val="center"/>
          </w:tcPr>
          <w:p w14:paraId="720217C3" w14:textId="77777777" w:rsidR="004B250B" w:rsidRDefault="00000000">
            <w:pPr>
              <w:jc w:val="center"/>
            </w:pPr>
            <w:r>
              <w:rPr>
                <w:rFonts w:ascii="Arial" w:hAnsi="Arial"/>
                <w:b/>
                <w:sz w:val="14"/>
              </w:rPr>
              <w:t>Analysis window</w:t>
            </w:r>
          </w:p>
        </w:tc>
        <w:tc>
          <w:tcPr>
            <w:tcW w:w="1399" w:type="dxa"/>
            <w:shd w:val="clear" w:color="auto" w:fill="D9EAF7"/>
            <w:vAlign w:val="center"/>
          </w:tcPr>
          <w:p w14:paraId="55567878" w14:textId="77777777" w:rsidR="004B250B" w:rsidRDefault="00000000">
            <w:pPr>
              <w:jc w:val="center"/>
            </w:pPr>
            <w:r>
              <w:rPr>
                <w:rFonts w:ascii="Arial" w:hAnsi="Arial"/>
                <w:b/>
                <w:sz w:val="14"/>
              </w:rPr>
              <w:t>Definition</w:t>
            </w:r>
          </w:p>
        </w:tc>
        <w:tc>
          <w:tcPr>
            <w:tcW w:w="1399" w:type="dxa"/>
            <w:shd w:val="clear" w:color="auto" w:fill="D9EAF7"/>
            <w:vAlign w:val="center"/>
          </w:tcPr>
          <w:p w14:paraId="71586B55" w14:textId="77777777" w:rsidR="004B250B" w:rsidRDefault="00000000">
            <w:pPr>
              <w:jc w:val="center"/>
            </w:pPr>
            <w:r>
              <w:rPr>
                <w:rFonts w:ascii="Arial" w:hAnsi="Arial"/>
                <w:b/>
                <w:sz w:val="14"/>
              </w:rPr>
              <w:t>Classifiable / attempted</w:t>
            </w:r>
          </w:p>
        </w:tc>
        <w:tc>
          <w:tcPr>
            <w:tcW w:w="1399" w:type="dxa"/>
            <w:shd w:val="clear" w:color="auto" w:fill="D9EAF7"/>
            <w:vAlign w:val="center"/>
          </w:tcPr>
          <w:p w14:paraId="681A909D" w14:textId="77777777" w:rsidR="004B250B" w:rsidRDefault="00000000">
            <w:pPr>
              <w:jc w:val="center"/>
            </w:pPr>
            <w:r>
              <w:rPr>
                <w:rFonts w:ascii="Arial" w:hAnsi="Arial"/>
                <w:b/>
                <w:sz w:val="14"/>
              </w:rPr>
              <w:t>Classifiable, % (95% Wilson CI)</w:t>
            </w:r>
          </w:p>
        </w:tc>
        <w:tc>
          <w:tcPr>
            <w:tcW w:w="1399" w:type="dxa"/>
            <w:shd w:val="clear" w:color="auto" w:fill="D9EAF7"/>
            <w:vAlign w:val="center"/>
          </w:tcPr>
          <w:p w14:paraId="5E2AD716" w14:textId="77777777" w:rsidR="004B250B" w:rsidRDefault="00000000">
            <w:pPr>
              <w:jc w:val="center"/>
            </w:pPr>
            <w:r>
              <w:rPr>
                <w:rFonts w:ascii="Arial" w:hAnsi="Arial"/>
                <w:b/>
                <w:sz w:val="14"/>
              </w:rPr>
              <w:t>All attempted, %</w:t>
            </w:r>
          </w:p>
        </w:tc>
        <w:tc>
          <w:tcPr>
            <w:tcW w:w="1399" w:type="dxa"/>
            <w:shd w:val="clear" w:color="auto" w:fill="D9EAF7"/>
            <w:vAlign w:val="center"/>
          </w:tcPr>
          <w:p w14:paraId="2C8A5118" w14:textId="77777777" w:rsidR="004B250B" w:rsidRDefault="00000000">
            <w:pPr>
              <w:jc w:val="center"/>
            </w:pPr>
            <w:r>
              <w:rPr>
                <w:rFonts w:ascii="Arial" w:hAnsi="Arial"/>
                <w:b/>
                <w:sz w:val="14"/>
              </w:rPr>
              <w:t>Indeterminate, %</w:t>
            </w:r>
          </w:p>
        </w:tc>
      </w:tr>
      <w:tr w:rsidR="004B250B" w14:paraId="3F55C7D8" w14:textId="77777777">
        <w:trPr>
          <w:jc w:val="center"/>
        </w:trPr>
        <w:tc>
          <w:tcPr>
            <w:tcW w:w="1399" w:type="dxa"/>
            <w:vAlign w:val="center"/>
          </w:tcPr>
          <w:p w14:paraId="61D97762" w14:textId="77777777" w:rsidR="004B250B" w:rsidRDefault="00000000">
            <w:pPr>
              <w:keepLines/>
              <w:spacing w:after="0"/>
            </w:pPr>
            <w:r>
              <w:rPr>
                <w:sz w:val="14"/>
              </w:rPr>
              <w:t>Healthy ovulatory</w:t>
            </w:r>
          </w:p>
        </w:tc>
        <w:tc>
          <w:tcPr>
            <w:tcW w:w="1399" w:type="dxa"/>
            <w:vAlign w:val="center"/>
          </w:tcPr>
          <w:p w14:paraId="6EC5E3C2" w14:textId="77777777" w:rsidR="004B250B" w:rsidRDefault="00000000">
            <w:pPr>
              <w:keepLines/>
              <w:spacing w:after="0"/>
            </w:pPr>
            <w:r>
              <w:rPr>
                <w:sz w:val="14"/>
              </w:rPr>
              <w:t>36-month full diary</w:t>
            </w:r>
          </w:p>
        </w:tc>
        <w:tc>
          <w:tcPr>
            <w:tcW w:w="1399" w:type="dxa"/>
            <w:vAlign w:val="center"/>
          </w:tcPr>
          <w:p w14:paraId="38BF7EAA" w14:textId="77777777" w:rsidR="004B250B" w:rsidRDefault="00000000">
            <w:pPr>
              <w:keepLines/>
              <w:spacing w:after="0"/>
            </w:pPr>
            <w:r>
              <w:rPr>
                <w:sz w:val="14"/>
              </w:rPr>
              <w:t>Windowed Herzog thresholds</w:t>
            </w:r>
          </w:p>
        </w:tc>
        <w:tc>
          <w:tcPr>
            <w:tcW w:w="1399" w:type="dxa"/>
            <w:vAlign w:val="center"/>
          </w:tcPr>
          <w:p w14:paraId="256B1CE5" w14:textId="77777777" w:rsidR="004B250B" w:rsidRDefault="00000000">
            <w:pPr>
              <w:keepLines/>
              <w:spacing w:after="0"/>
            </w:pPr>
            <w:r>
              <w:rPr>
                <w:sz w:val="14"/>
              </w:rPr>
              <w:t>49,605 / 50,000</w:t>
            </w:r>
          </w:p>
        </w:tc>
        <w:tc>
          <w:tcPr>
            <w:tcW w:w="1399" w:type="dxa"/>
            <w:vAlign w:val="center"/>
          </w:tcPr>
          <w:p w14:paraId="19404E91" w14:textId="77777777" w:rsidR="004B250B" w:rsidRDefault="00000000">
            <w:pPr>
              <w:keepLines/>
              <w:spacing w:after="0"/>
            </w:pPr>
            <w:r>
              <w:rPr>
                <w:sz w:val="14"/>
              </w:rPr>
              <w:t>11.7 (11.4–11.9)</w:t>
            </w:r>
          </w:p>
        </w:tc>
        <w:tc>
          <w:tcPr>
            <w:tcW w:w="1399" w:type="dxa"/>
            <w:vAlign w:val="center"/>
          </w:tcPr>
          <w:p w14:paraId="5312CE31" w14:textId="77777777" w:rsidR="004B250B" w:rsidRDefault="00000000">
            <w:pPr>
              <w:keepLines/>
              <w:spacing w:after="0"/>
            </w:pPr>
            <w:r>
              <w:rPr>
                <w:sz w:val="14"/>
              </w:rPr>
              <w:t>11.6</w:t>
            </w:r>
          </w:p>
        </w:tc>
        <w:tc>
          <w:tcPr>
            <w:tcW w:w="1399" w:type="dxa"/>
            <w:vAlign w:val="center"/>
          </w:tcPr>
          <w:p w14:paraId="137D0C83" w14:textId="77777777" w:rsidR="004B250B" w:rsidRDefault="00000000">
            <w:pPr>
              <w:keepLines/>
              <w:spacing w:after="0"/>
            </w:pPr>
            <w:r>
              <w:rPr>
                <w:sz w:val="14"/>
              </w:rPr>
              <w:t>0.8</w:t>
            </w:r>
          </w:p>
        </w:tc>
      </w:tr>
      <w:tr w:rsidR="004B250B" w14:paraId="1C8F5AA8" w14:textId="77777777">
        <w:trPr>
          <w:jc w:val="center"/>
        </w:trPr>
        <w:tc>
          <w:tcPr>
            <w:tcW w:w="1399" w:type="dxa"/>
            <w:vAlign w:val="center"/>
          </w:tcPr>
          <w:p w14:paraId="58E08388" w14:textId="77777777" w:rsidR="004B250B" w:rsidRDefault="004B250B">
            <w:pPr>
              <w:keepLines/>
              <w:spacing w:after="0"/>
            </w:pPr>
          </w:p>
        </w:tc>
        <w:tc>
          <w:tcPr>
            <w:tcW w:w="1399" w:type="dxa"/>
            <w:vAlign w:val="center"/>
          </w:tcPr>
          <w:p w14:paraId="3822DEFC" w14:textId="77777777" w:rsidR="004B250B" w:rsidRDefault="004B250B">
            <w:pPr>
              <w:keepLines/>
              <w:spacing w:after="0"/>
            </w:pPr>
          </w:p>
        </w:tc>
        <w:tc>
          <w:tcPr>
            <w:tcW w:w="1399" w:type="dxa"/>
            <w:vAlign w:val="center"/>
          </w:tcPr>
          <w:p w14:paraId="2CD13693" w14:textId="77777777" w:rsidR="004B250B" w:rsidRDefault="00000000">
            <w:pPr>
              <w:keepLines/>
              <w:spacing w:after="0"/>
            </w:pPr>
            <w:r>
              <w:rPr>
                <w:sz w:val="14"/>
              </w:rPr>
              <w:t>Windowed Herzog C1/C2 union</w:t>
            </w:r>
          </w:p>
        </w:tc>
        <w:tc>
          <w:tcPr>
            <w:tcW w:w="1399" w:type="dxa"/>
            <w:vAlign w:val="center"/>
          </w:tcPr>
          <w:p w14:paraId="712774C0" w14:textId="77777777" w:rsidR="004B250B" w:rsidRDefault="00000000">
            <w:pPr>
              <w:keepLines/>
              <w:spacing w:after="0"/>
            </w:pPr>
            <w:r>
              <w:rPr>
                <w:sz w:val="14"/>
              </w:rPr>
              <w:t>49,605 / 50,000</w:t>
            </w:r>
          </w:p>
        </w:tc>
        <w:tc>
          <w:tcPr>
            <w:tcW w:w="1399" w:type="dxa"/>
            <w:vAlign w:val="center"/>
          </w:tcPr>
          <w:p w14:paraId="11B6D14E" w14:textId="77777777" w:rsidR="004B250B" w:rsidRDefault="00000000">
            <w:pPr>
              <w:keepLines/>
              <w:spacing w:after="0"/>
            </w:pPr>
            <w:r>
              <w:rPr>
                <w:sz w:val="14"/>
              </w:rPr>
              <w:t>11.7 (11.4–11.9)</w:t>
            </w:r>
          </w:p>
        </w:tc>
        <w:tc>
          <w:tcPr>
            <w:tcW w:w="1399" w:type="dxa"/>
            <w:vAlign w:val="center"/>
          </w:tcPr>
          <w:p w14:paraId="2D8851DD" w14:textId="77777777" w:rsidR="004B250B" w:rsidRDefault="00000000">
            <w:pPr>
              <w:keepLines/>
              <w:spacing w:after="0"/>
            </w:pPr>
            <w:r>
              <w:rPr>
                <w:sz w:val="14"/>
              </w:rPr>
              <w:t>11.6</w:t>
            </w:r>
          </w:p>
        </w:tc>
        <w:tc>
          <w:tcPr>
            <w:tcW w:w="1399" w:type="dxa"/>
            <w:vAlign w:val="center"/>
          </w:tcPr>
          <w:p w14:paraId="61B94B6C" w14:textId="77777777" w:rsidR="004B250B" w:rsidRDefault="00000000">
            <w:pPr>
              <w:keepLines/>
              <w:spacing w:after="0"/>
            </w:pPr>
            <w:r>
              <w:rPr>
                <w:sz w:val="14"/>
              </w:rPr>
              <w:t>0.8</w:t>
            </w:r>
          </w:p>
        </w:tc>
      </w:tr>
      <w:tr w:rsidR="004B250B" w14:paraId="3E939E1B" w14:textId="77777777">
        <w:trPr>
          <w:jc w:val="center"/>
        </w:trPr>
        <w:tc>
          <w:tcPr>
            <w:tcW w:w="1399" w:type="dxa"/>
            <w:vAlign w:val="center"/>
          </w:tcPr>
          <w:p w14:paraId="4295B280" w14:textId="77777777" w:rsidR="004B250B" w:rsidRDefault="004B250B">
            <w:pPr>
              <w:keepLines/>
              <w:spacing w:after="0"/>
            </w:pPr>
          </w:p>
        </w:tc>
        <w:tc>
          <w:tcPr>
            <w:tcW w:w="1399" w:type="dxa"/>
            <w:vAlign w:val="center"/>
          </w:tcPr>
          <w:p w14:paraId="03EDBFAE" w14:textId="77777777" w:rsidR="004B250B" w:rsidRDefault="004B250B">
            <w:pPr>
              <w:keepLines/>
              <w:spacing w:after="0"/>
            </w:pPr>
          </w:p>
        </w:tc>
        <w:tc>
          <w:tcPr>
            <w:tcW w:w="1399" w:type="dxa"/>
            <w:vAlign w:val="center"/>
          </w:tcPr>
          <w:p w14:paraId="52DF2E42" w14:textId="77777777" w:rsidR="004B250B" w:rsidRDefault="00000000">
            <w:pPr>
              <w:keepLines/>
              <w:spacing w:after="0"/>
            </w:pPr>
            <w:r>
              <w:rPr>
                <w:sz w:val="14"/>
              </w:rPr>
              <w:t>Herzog C1/C2 + ≥4 seizure-day minimum</w:t>
            </w:r>
          </w:p>
        </w:tc>
        <w:tc>
          <w:tcPr>
            <w:tcW w:w="1399" w:type="dxa"/>
            <w:vAlign w:val="center"/>
          </w:tcPr>
          <w:p w14:paraId="56FE6EB8" w14:textId="77777777" w:rsidR="004B250B" w:rsidRDefault="00000000">
            <w:pPr>
              <w:keepLines/>
              <w:spacing w:after="0"/>
            </w:pPr>
            <w:r>
              <w:rPr>
                <w:sz w:val="14"/>
              </w:rPr>
              <w:t>48,359 / 50,000</w:t>
            </w:r>
          </w:p>
        </w:tc>
        <w:tc>
          <w:tcPr>
            <w:tcW w:w="1399" w:type="dxa"/>
            <w:vAlign w:val="center"/>
          </w:tcPr>
          <w:p w14:paraId="79EA7363" w14:textId="77777777" w:rsidR="004B250B" w:rsidRDefault="00000000">
            <w:pPr>
              <w:keepLines/>
              <w:spacing w:after="0"/>
            </w:pPr>
            <w:r>
              <w:rPr>
                <w:sz w:val="14"/>
              </w:rPr>
              <w:t>10.6 (10.3–10.9)</w:t>
            </w:r>
          </w:p>
        </w:tc>
        <w:tc>
          <w:tcPr>
            <w:tcW w:w="1399" w:type="dxa"/>
            <w:vAlign w:val="center"/>
          </w:tcPr>
          <w:p w14:paraId="3259A868" w14:textId="77777777" w:rsidR="004B250B" w:rsidRDefault="00000000">
            <w:pPr>
              <w:keepLines/>
              <w:spacing w:after="0"/>
            </w:pPr>
            <w:r>
              <w:rPr>
                <w:sz w:val="14"/>
              </w:rPr>
              <w:t>10.3</w:t>
            </w:r>
          </w:p>
        </w:tc>
        <w:tc>
          <w:tcPr>
            <w:tcW w:w="1399" w:type="dxa"/>
            <w:vAlign w:val="center"/>
          </w:tcPr>
          <w:p w14:paraId="349E78F8" w14:textId="77777777" w:rsidR="004B250B" w:rsidRDefault="00000000">
            <w:pPr>
              <w:keepLines/>
              <w:spacing w:after="0"/>
            </w:pPr>
            <w:r>
              <w:rPr>
                <w:sz w:val="14"/>
              </w:rPr>
              <w:t>3.3</w:t>
            </w:r>
          </w:p>
        </w:tc>
      </w:tr>
      <w:tr w:rsidR="004B250B" w14:paraId="47FBAD71" w14:textId="77777777">
        <w:trPr>
          <w:jc w:val="center"/>
        </w:trPr>
        <w:tc>
          <w:tcPr>
            <w:tcW w:w="1399" w:type="dxa"/>
            <w:vAlign w:val="center"/>
          </w:tcPr>
          <w:p w14:paraId="40254DBF" w14:textId="77777777" w:rsidR="004B250B" w:rsidRDefault="004B250B">
            <w:pPr>
              <w:keepLines/>
              <w:spacing w:after="0"/>
            </w:pPr>
          </w:p>
        </w:tc>
        <w:tc>
          <w:tcPr>
            <w:tcW w:w="1399" w:type="dxa"/>
            <w:vAlign w:val="center"/>
          </w:tcPr>
          <w:p w14:paraId="72246D5A" w14:textId="77777777" w:rsidR="004B250B" w:rsidRDefault="004B250B">
            <w:pPr>
              <w:keepLines/>
              <w:spacing w:after="0"/>
            </w:pPr>
          </w:p>
        </w:tc>
        <w:tc>
          <w:tcPr>
            <w:tcW w:w="1399" w:type="dxa"/>
            <w:vAlign w:val="center"/>
          </w:tcPr>
          <w:p w14:paraId="7A841525" w14:textId="77777777" w:rsidR="004B250B" w:rsidRDefault="00000000">
            <w:pPr>
              <w:keepLines/>
              <w:spacing w:after="0"/>
            </w:pPr>
            <w:r>
              <w:rPr>
                <w:sz w:val="14"/>
              </w:rPr>
              <w:t>Negative-binomial C1/C2 calibration</w:t>
            </w:r>
          </w:p>
        </w:tc>
        <w:tc>
          <w:tcPr>
            <w:tcW w:w="1399" w:type="dxa"/>
            <w:vAlign w:val="center"/>
          </w:tcPr>
          <w:p w14:paraId="382C2B98" w14:textId="77777777" w:rsidR="004B250B" w:rsidRDefault="00000000">
            <w:pPr>
              <w:keepLines/>
              <w:spacing w:after="0"/>
            </w:pPr>
            <w:r>
              <w:rPr>
                <w:sz w:val="14"/>
              </w:rPr>
              <w:t>48,359 / 50,000</w:t>
            </w:r>
          </w:p>
        </w:tc>
        <w:tc>
          <w:tcPr>
            <w:tcW w:w="1399" w:type="dxa"/>
            <w:vAlign w:val="center"/>
          </w:tcPr>
          <w:p w14:paraId="11914980" w14:textId="77777777" w:rsidR="004B250B" w:rsidRDefault="00000000">
            <w:pPr>
              <w:keepLines/>
              <w:spacing w:after="0"/>
            </w:pPr>
            <w:r>
              <w:rPr>
                <w:sz w:val="14"/>
              </w:rPr>
              <w:t>4.4 (4.2–4.6)</w:t>
            </w:r>
          </w:p>
        </w:tc>
        <w:tc>
          <w:tcPr>
            <w:tcW w:w="1399" w:type="dxa"/>
            <w:vAlign w:val="center"/>
          </w:tcPr>
          <w:p w14:paraId="0DBD80D4" w14:textId="77777777" w:rsidR="004B250B" w:rsidRDefault="00000000">
            <w:pPr>
              <w:keepLines/>
              <w:spacing w:after="0"/>
            </w:pPr>
            <w:r>
              <w:rPr>
                <w:sz w:val="14"/>
              </w:rPr>
              <w:t>4.3</w:t>
            </w:r>
          </w:p>
        </w:tc>
        <w:tc>
          <w:tcPr>
            <w:tcW w:w="1399" w:type="dxa"/>
            <w:vAlign w:val="center"/>
          </w:tcPr>
          <w:p w14:paraId="3A0409E0" w14:textId="77777777" w:rsidR="004B250B" w:rsidRDefault="00000000">
            <w:pPr>
              <w:keepLines/>
              <w:spacing w:after="0"/>
            </w:pPr>
            <w:r>
              <w:rPr>
                <w:sz w:val="14"/>
              </w:rPr>
              <w:t>3.3</w:t>
            </w:r>
          </w:p>
        </w:tc>
      </w:tr>
      <w:tr w:rsidR="004B250B" w14:paraId="64FB3262" w14:textId="77777777">
        <w:trPr>
          <w:jc w:val="center"/>
        </w:trPr>
        <w:tc>
          <w:tcPr>
            <w:tcW w:w="1399" w:type="dxa"/>
            <w:vAlign w:val="center"/>
          </w:tcPr>
          <w:p w14:paraId="1D39A471" w14:textId="77777777" w:rsidR="004B250B" w:rsidRDefault="004B250B">
            <w:pPr>
              <w:keepLines/>
              <w:spacing w:after="0"/>
            </w:pPr>
          </w:p>
        </w:tc>
        <w:tc>
          <w:tcPr>
            <w:tcW w:w="1399" w:type="dxa"/>
            <w:vAlign w:val="center"/>
          </w:tcPr>
          <w:p w14:paraId="4766351A" w14:textId="77777777" w:rsidR="004B250B" w:rsidRDefault="00000000">
            <w:pPr>
              <w:keepLines/>
              <w:spacing w:after="0"/>
            </w:pPr>
            <w:r>
              <w:rPr>
                <w:sz w:val="14"/>
              </w:rPr>
              <w:t>3-month calendar</w:t>
            </w:r>
          </w:p>
        </w:tc>
        <w:tc>
          <w:tcPr>
            <w:tcW w:w="1399" w:type="dxa"/>
            <w:vAlign w:val="center"/>
          </w:tcPr>
          <w:p w14:paraId="37100D2C" w14:textId="77777777" w:rsidR="004B250B" w:rsidRDefault="00000000">
            <w:pPr>
              <w:keepLines/>
              <w:spacing w:after="0"/>
            </w:pPr>
            <w:r>
              <w:rPr>
                <w:sz w:val="14"/>
              </w:rPr>
              <w:t>Windowed Herzog thresholds</w:t>
            </w:r>
          </w:p>
        </w:tc>
        <w:tc>
          <w:tcPr>
            <w:tcW w:w="1399" w:type="dxa"/>
            <w:vAlign w:val="center"/>
          </w:tcPr>
          <w:p w14:paraId="7DD62BF2" w14:textId="77777777" w:rsidR="004B250B" w:rsidRDefault="00000000">
            <w:pPr>
              <w:keepLines/>
              <w:spacing w:after="0"/>
            </w:pPr>
            <w:r>
              <w:rPr>
                <w:sz w:val="14"/>
              </w:rPr>
              <w:t>45,321 / 50,000</w:t>
            </w:r>
          </w:p>
        </w:tc>
        <w:tc>
          <w:tcPr>
            <w:tcW w:w="1399" w:type="dxa"/>
            <w:vAlign w:val="center"/>
          </w:tcPr>
          <w:p w14:paraId="1C60D063" w14:textId="77777777" w:rsidR="004B250B" w:rsidRDefault="00000000">
            <w:pPr>
              <w:keepLines/>
              <w:spacing w:after="0"/>
            </w:pPr>
            <w:r>
              <w:rPr>
                <w:sz w:val="14"/>
              </w:rPr>
              <w:t>41.4 (41.0–41.9)</w:t>
            </w:r>
          </w:p>
        </w:tc>
        <w:tc>
          <w:tcPr>
            <w:tcW w:w="1399" w:type="dxa"/>
            <w:vAlign w:val="center"/>
          </w:tcPr>
          <w:p w14:paraId="492727FA" w14:textId="77777777" w:rsidR="004B250B" w:rsidRDefault="00000000">
            <w:pPr>
              <w:keepLines/>
              <w:spacing w:after="0"/>
            </w:pPr>
            <w:r>
              <w:rPr>
                <w:sz w:val="14"/>
              </w:rPr>
              <w:t>37.5</w:t>
            </w:r>
          </w:p>
        </w:tc>
        <w:tc>
          <w:tcPr>
            <w:tcW w:w="1399" w:type="dxa"/>
            <w:vAlign w:val="center"/>
          </w:tcPr>
          <w:p w14:paraId="7E357CA1" w14:textId="77777777" w:rsidR="004B250B" w:rsidRDefault="00000000">
            <w:pPr>
              <w:keepLines/>
              <w:spacing w:after="0"/>
            </w:pPr>
            <w:r>
              <w:rPr>
                <w:sz w:val="14"/>
              </w:rPr>
              <w:t>9.4</w:t>
            </w:r>
          </w:p>
        </w:tc>
      </w:tr>
      <w:tr w:rsidR="004B250B" w14:paraId="5CE41D4C" w14:textId="77777777">
        <w:trPr>
          <w:jc w:val="center"/>
        </w:trPr>
        <w:tc>
          <w:tcPr>
            <w:tcW w:w="1399" w:type="dxa"/>
            <w:vAlign w:val="center"/>
          </w:tcPr>
          <w:p w14:paraId="13C8CA39" w14:textId="77777777" w:rsidR="004B250B" w:rsidRDefault="004B250B">
            <w:pPr>
              <w:keepLines/>
              <w:spacing w:after="0"/>
            </w:pPr>
          </w:p>
        </w:tc>
        <w:tc>
          <w:tcPr>
            <w:tcW w:w="1399" w:type="dxa"/>
            <w:vAlign w:val="center"/>
          </w:tcPr>
          <w:p w14:paraId="1902A069" w14:textId="77777777" w:rsidR="004B250B" w:rsidRDefault="00000000">
            <w:pPr>
              <w:keepLines/>
              <w:spacing w:after="0"/>
            </w:pPr>
            <w:r>
              <w:rPr>
                <w:sz w:val="14"/>
              </w:rPr>
              <w:t>3 complete cycles</w:t>
            </w:r>
          </w:p>
        </w:tc>
        <w:tc>
          <w:tcPr>
            <w:tcW w:w="1399" w:type="dxa"/>
            <w:vAlign w:val="center"/>
          </w:tcPr>
          <w:p w14:paraId="14D09C5C" w14:textId="77777777" w:rsidR="004B250B" w:rsidRDefault="00000000">
            <w:pPr>
              <w:keepLines/>
              <w:spacing w:after="0"/>
            </w:pPr>
            <w:r>
              <w:rPr>
                <w:sz w:val="14"/>
              </w:rPr>
              <w:t>Exact Herzog 2004, any pattern</w:t>
            </w:r>
          </w:p>
        </w:tc>
        <w:tc>
          <w:tcPr>
            <w:tcW w:w="1399" w:type="dxa"/>
            <w:vAlign w:val="center"/>
          </w:tcPr>
          <w:p w14:paraId="220B4273" w14:textId="77777777" w:rsidR="004B250B" w:rsidRDefault="00000000">
            <w:pPr>
              <w:keepLines/>
              <w:spacing w:after="0"/>
            </w:pPr>
            <w:r>
              <w:rPr>
                <w:sz w:val="14"/>
              </w:rPr>
              <w:t>23,206 / 50,000</w:t>
            </w:r>
          </w:p>
        </w:tc>
        <w:tc>
          <w:tcPr>
            <w:tcW w:w="1399" w:type="dxa"/>
            <w:vAlign w:val="center"/>
          </w:tcPr>
          <w:p w14:paraId="25010521" w14:textId="77777777" w:rsidR="004B250B" w:rsidRDefault="00000000">
            <w:pPr>
              <w:keepLines/>
              <w:spacing w:after="0"/>
            </w:pPr>
            <w:r>
              <w:rPr>
                <w:sz w:val="14"/>
              </w:rPr>
              <w:t>50.0 (49.3–50.6)</w:t>
            </w:r>
          </w:p>
        </w:tc>
        <w:tc>
          <w:tcPr>
            <w:tcW w:w="1399" w:type="dxa"/>
            <w:vAlign w:val="center"/>
          </w:tcPr>
          <w:p w14:paraId="332E842D" w14:textId="77777777" w:rsidR="004B250B" w:rsidRDefault="00000000">
            <w:pPr>
              <w:keepLines/>
              <w:spacing w:after="0"/>
            </w:pPr>
            <w:r>
              <w:rPr>
                <w:sz w:val="14"/>
              </w:rPr>
              <w:t>23.2</w:t>
            </w:r>
          </w:p>
        </w:tc>
        <w:tc>
          <w:tcPr>
            <w:tcW w:w="1399" w:type="dxa"/>
            <w:vAlign w:val="center"/>
          </w:tcPr>
          <w:p w14:paraId="1A918D3D" w14:textId="77777777" w:rsidR="004B250B" w:rsidRDefault="00000000">
            <w:pPr>
              <w:keepLines/>
              <w:spacing w:after="0"/>
            </w:pPr>
            <w:r>
              <w:rPr>
                <w:sz w:val="14"/>
              </w:rPr>
              <w:t>53.6</w:t>
            </w:r>
          </w:p>
        </w:tc>
      </w:tr>
      <w:tr w:rsidR="004B250B" w14:paraId="628176C4" w14:textId="77777777">
        <w:trPr>
          <w:jc w:val="center"/>
        </w:trPr>
        <w:tc>
          <w:tcPr>
            <w:tcW w:w="1399" w:type="dxa"/>
            <w:vAlign w:val="center"/>
          </w:tcPr>
          <w:p w14:paraId="3644D908" w14:textId="77777777" w:rsidR="004B250B" w:rsidRDefault="00000000">
            <w:pPr>
              <w:keepLines/>
              <w:spacing w:after="0"/>
            </w:pPr>
            <w:r>
              <w:rPr>
                <w:sz w:val="14"/>
              </w:rPr>
              <w:t>Heterogeneous menstruating-age</w:t>
            </w:r>
          </w:p>
        </w:tc>
        <w:tc>
          <w:tcPr>
            <w:tcW w:w="1399" w:type="dxa"/>
            <w:vAlign w:val="center"/>
          </w:tcPr>
          <w:p w14:paraId="0A46DB61" w14:textId="77777777" w:rsidR="004B250B" w:rsidRDefault="00000000">
            <w:pPr>
              <w:keepLines/>
              <w:spacing w:after="0"/>
            </w:pPr>
            <w:r>
              <w:rPr>
                <w:sz w:val="14"/>
              </w:rPr>
              <w:t>36-month full diary</w:t>
            </w:r>
          </w:p>
        </w:tc>
        <w:tc>
          <w:tcPr>
            <w:tcW w:w="1399" w:type="dxa"/>
            <w:vAlign w:val="center"/>
          </w:tcPr>
          <w:p w14:paraId="5B5AD90D" w14:textId="77777777" w:rsidR="004B250B" w:rsidRDefault="00000000">
            <w:pPr>
              <w:keepLines/>
              <w:spacing w:after="0"/>
            </w:pPr>
            <w:r>
              <w:rPr>
                <w:sz w:val="14"/>
              </w:rPr>
              <w:t>Windowed Herzog thresholds</w:t>
            </w:r>
          </w:p>
        </w:tc>
        <w:tc>
          <w:tcPr>
            <w:tcW w:w="1399" w:type="dxa"/>
            <w:vAlign w:val="center"/>
          </w:tcPr>
          <w:p w14:paraId="4745A622" w14:textId="77777777" w:rsidR="004B250B" w:rsidRDefault="00000000">
            <w:pPr>
              <w:keepLines/>
              <w:spacing w:after="0"/>
            </w:pPr>
            <w:r>
              <w:rPr>
                <w:sz w:val="14"/>
              </w:rPr>
              <w:t>49,587 / 50,000</w:t>
            </w:r>
          </w:p>
        </w:tc>
        <w:tc>
          <w:tcPr>
            <w:tcW w:w="1399" w:type="dxa"/>
            <w:vAlign w:val="center"/>
          </w:tcPr>
          <w:p w14:paraId="56033B18" w14:textId="77777777" w:rsidR="004B250B" w:rsidRDefault="00000000">
            <w:pPr>
              <w:keepLines/>
              <w:spacing w:after="0"/>
            </w:pPr>
            <w:r>
              <w:rPr>
                <w:sz w:val="14"/>
              </w:rPr>
              <w:t>36.0 (35.6–36.5)</w:t>
            </w:r>
          </w:p>
        </w:tc>
        <w:tc>
          <w:tcPr>
            <w:tcW w:w="1399" w:type="dxa"/>
            <w:vAlign w:val="center"/>
          </w:tcPr>
          <w:p w14:paraId="54FEF244" w14:textId="77777777" w:rsidR="004B250B" w:rsidRDefault="00000000">
            <w:pPr>
              <w:keepLines/>
              <w:spacing w:after="0"/>
            </w:pPr>
            <w:r>
              <w:rPr>
                <w:sz w:val="14"/>
              </w:rPr>
              <w:t>35.7</w:t>
            </w:r>
          </w:p>
        </w:tc>
        <w:tc>
          <w:tcPr>
            <w:tcW w:w="1399" w:type="dxa"/>
            <w:vAlign w:val="center"/>
          </w:tcPr>
          <w:p w14:paraId="53A0FFC8" w14:textId="77777777" w:rsidR="004B250B" w:rsidRDefault="00000000">
            <w:pPr>
              <w:keepLines/>
              <w:spacing w:after="0"/>
            </w:pPr>
            <w:r>
              <w:rPr>
                <w:sz w:val="14"/>
              </w:rPr>
              <w:t>0.8</w:t>
            </w:r>
          </w:p>
        </w:tc>
      </w:tr>
      <w:tr w:rsidR="004B250B" w14:paraId="74EB13DB" w14:textId="77777777">
        <w:trPr>
          <w:jc w:val="center"/>
        </w:trPr>
        <w:tc>
          <w:tcPr>
            <w:tcW w:w="1399" w:type="dxa"/>
            <w:vAlign w:val="center"/>
          </w:tcPr>
          <w:p w14:paraId="1BB6389D" w14:textId="77777777" w:rsidR="004B250B" w:rsidRDefault="004B250B">
            <w:pPr>
              <w:keepLines/>
              <w:spacing w:after="0"/>
            </w:pPr>
          </w:p>
        </w:tc>
        <w:tc>
          <w:tcPr>
            <w:tcW w:w="1399" w:type="dxa"/>
            <w:vAlign w:val="center"/>
          </w:tcPr>
          <w:p w14:paraId="38A698BB" w14:textId="77777777" w:rsidR="004B250B" w:rsidRDefault="004B250B">
            <w:pPr>
              <w:keepLines/>
              <w:spacing w:after="0"/>
            </w:pPr>
          </w:p>
        </w:tc>
        <w:tc>
          <w:tcPr>
            <w:tcW w:w="1399" w:type="dxa"/>
            <w:vAlign w:val="center"/>
          </w:tcPr>
          <w:p w14:paraId="6A3E1286" w14:textId="77777777" w:rsidR="004B250B" w:rsidRDefault="00000000">
            <w:pPr>
              <w:keepLines/>
              <w:spacing w:after="0"/>
            </w:pPr>
            <w:r>
              <w:rPr>
                <w:sz w:val="14"/>
              </w:rPr>
              <w:t>Windowed Herzog C1/C2 union</w:t>
            </w:r>
          </w:p>
        </w:tc>
        <w:tc>
          <w:tcPr>
            <w:tcW w:w="1399" w:type="dxa"/>
            <w:vAlign w:val="center"/>
          </w:tcPr>
          <w:p w14:paraId="6A59A1A7" w14:textId="77777777" w:rsidR="004B250B" w:rsidRDefault="00000000">
            <w:pPr>
              <w:keepLines/>
              <w:spacing w:after="0"/>
            </w:pPr>
            <w:r>
              <w:rPr>
                <w:sz w:val="14"/>
              </w:rPr>
              <w:t>49,587 / 50,000</w:t>
            </w:r>
          </w:p>
        </w:tc>
        <w:tc>
          <w:tcPr>
            <w:tcW w:w="1399" w:type="dxa"/>
            <w:vAlign w:val="center"/>
          </w:tcPr>
          <w:p w14:paraId="0B9B70FE" w14:textId="77777777" w:rsidR="004B250B" w:rsidRDefault="00000000">
            <w:pPr>
              <w:keepLines/>
              <w:spacing w:after="0"/>
            </w:pPr>
            <w:r>
              <w:rPr>
                <w:sz w:val="14"/>
              </w:rPr>
              <w:t>11.7 (11.4–12.0)</w:t>
            </w:r>
          </w:p>
        </w:tc>
        <w:tc>
          <w:tcPr>
            <w:tcW w:w="1399" w:type="dxa"/>
            <w:vAlign w:val="center"/>
          </w:tcPr>
          <w:p w14:paraId="654A7446" w14:textId="77777777" w:rsidR="004B250B" w:rsidRDefault="00000000">
            <w:pPr>
              <w:keepLines/>
              <w:spacing w:after="0"/>
            </w:pPr>
            <w:r>
              <w:rPr>
                <w:sz w:val="14"/>
              </w:rPr>
              <w:t>11.6</w:t>
            </w:r>
          </w:p>
        </w:tc>
        <w:tc>
          <w:tcPr>
            <w:tcW w:w="1399" w:type="dxa"/>
            <w:vAlign w:val="center"/>
          </w:tcPr>
          <w:p w14:paraId="745B7D84" w14:textId="77777777" w:rsidR="004B250B" w:rsidRDefault="00000000">
            <w:pPr>
              <w:keepLines/>
              <w:spacing w:after="0"/>
            </w:pPr>
            <w:r>
              <w:rPr>
                <w:sz w:val="14"/>
              </w:rPr>
              <w:t>0.8</w:t>
            </w:r>
          </w:p>
        </w:tc>
      </w:tr>
      <w:tr w:rsidR="004B250B" w14:paraId="5234E095" w14:textId="77777777">
        <w:trPr>
          <w:jc w:val="center"/>
        </w:trPr>
        <w:tc>
          <w:tcPr>
            <w:tcW w:w="1399" w:type="dxa"/>
            <w:vAlign w:val="center"/>
          </w:tcPr>
          <w:p w14:paraId="7965AFC4" w14:textId="77777777" w:rsidR="004B250B" w:rsidRDefault="004B250B">
            <w:pPr>
              <w:keepLines/>
              <w:spacing w:after="0"/>
            </w:pPr>
          </w:p>
        </w:tc>
        <w:tc>
          <w:tcPr>
            <w:tcW w:w="1399" w:type="dxa"/>
            <w:vAlign w:val="center"/>
          </w:tcPr>
          <w:p w14:paraId="4D14F21B" w14:textId="77777777" w:rsidR="004B250B" w:rsidRDefault="004B250B">
            <w:pPr>
              <w:keepLines/>
              <w:spacing w:after="0"/>
            </w:pPr>
          </w:p>
        </w:tc>
        <w:tc>
          <w:tcPr>
            <w:tcW w:w="1399" w:type="dxa"/>
            <w:vAlign w:val="center"/>
          </w:tcPr>
          <w:p w14:paraId="3798D20C" w14:textId="77777777" w:rsidR="004B250B" w:rsidRDefault="00000000">
            <w:pPr>
              <w:keepLines/>
              <w:spacing w:after="0"/>
            </w:pPr>
            <w:r>
              <w:rPr>
                <w:sz w:val="14"/>
              </w:rPr>
              <w:t>Windowed Herzog C3 only</w:t>
            </w:r>
          </w:p>
        </w:tc>
        <w:tc>
          <w:tcPr>
            <w:tcW w:w="1399" w:type="dxa"/>
            <w:vAlign w:val="center"/>
          </w:tcPr>
          <w:p w14:paraId="7CBEE0D6" w14:textId="77777777" w:rsidR="004B250B" w:rsidRDefault="00000000">
            <w:pPr>
              <w:keepLines/>
              <w:spacing w:after="0"/>
            </w:pPr>
            <w:r>
              <w:rPr>
                <w:sz w:val="14"/>
              </w:rPr>
              <w:t>38,783 / 50,000</w:t>
            </w:r>
          </w:p>
        </w:tc>
        <w:tc>
          <w:tcPr>
            <w:tcW w:w="1399" w:type="dxa"/>
            <w:vAlign w:val="center"/>
          </w:tcPr>
          <w:p w14:paraId="41C460B6" w14:textId="77777777" w:rsidR="004B250B" w:rsidRDefault="00000000">
            <w:pPr>
              <w:keepLines/>
              <w:spacing w:after="0"/>
            </w:pPr>
            <w:r>
              <w:rPr>
                <w:sz w:val="14"/>
              </w:rPr>
              <w:t>37.0 (36.6–37.5)</w:t>
            </w:r>
          </w:p>
        </w:tc>
        <w:tc>
          <w:tcPr>
            <w:tcW w:w="1399" w:type="dxa"/>
            <w:vAlign w:val="center"/>
          </w:tcPr>
          <w:p w14:paraId="25BF0068" w14:textId="77777777" w:rsidR="004B250B" w:rsidRDefault="00000000">
            <w:pPr>
              <w:keepLines/>
              <w:spacing w:after="0"/>
            </w:pPr>
            <w:r>
              <w:rPr>
                <w:sz w:val="14"/>
              </w:rPr>
              <w:t>28.7</w:t>
            </w:r>
          </w:p>
        </w:tc>
        <w:tc>
          <w:tcPr>
            <w:tcW w:w="1399" w:type="dxa"/>
            <w:vAlign w:val="center"/>
          </w:tcPr>
          <w:p w14:paraId="2B7F6AE7" w14:textId="77777777" w:rsidR="004B250B" w:rsidRDefault="00000000">
            <w:pPr>
              <w:keepLines/>
              <w:spacing w:after="0"/>
            </w:pPr>
            <w:r>
              <w:rPr>
                <w:sz w:val="14"/>
              </w:rPr>
              <w:t>22.4</w:t>
            </w:r>
          </w:p>
        </w:tc>
      </w:tr>
      <w:tr w:rsidR="004B250B" w14:paraId="2FE83B91" w14:textId="77777777">
        <w:trPr>
          <w:jc w:val="center"/>
        </w:trPr>
        <w:tc>
          <w:tcPr>
            <w:tcW w:w="1399" w:type="dxa"/>
            <w:vAlign w:val="center"/>
          </w:tcPr>
          <w:p w14:paraId="5198849A" w14:textId="77777777" w:rsidR="004B250B" w:rsidRDefault="004B250B">
            <w:pPr>
              <w:keepLines/>
              <w:spacing w:after="0"/>
            </w:pPr>
          </w:p>
        </w:tc>
        <w:tc>
          <w:tcPr>
            <w:tcW w:w="1399" w:type="dxa"/>
            <w:vAlign w:val="center"/>
          </w:tcPr>
          <w:p w14:paraId="6323E4EE" w14:textId="77777777" w:rsidR="004B250B" w:rsidRDefault="004B250B">
            <w:pPr>
              <w:keepLines/>
              <w:spacing w:after="0"/>
            </w:pPr>
          </w:p>
        </w:tc>
        <w:tc>
          <w:tcPr>
            <w:tcW w:w="1399" w:type="dxa"/>
            <w:vAlign w:val="center"/>
          </w:tcPr>
          <w:p w14:paraId="73126842" w14:textId="77777777" w:rsidR="004B250B" w:rsidRDefault="00000000">
            <w:pPr>
              <w:keepLines/>
              <w:spacing w:after="0"/>
            </w:pPr>
            <w:r>
              <w:rPr>
                <w:sz w:val="14"/>
              </w:rPr>
              <w:t>Herzog C1/C2 + ≥4 seizure-day minimum</w:t>
            </w:r>
          </w:p>
        </w:tc>
        <w:tc>
          <w:tcPr>
            <w:tcW w:w="1399" w:type="dxa"/>
            <w:vAlign w:val="center"/>
          </w:tcPr>
          <w:p w14:paraId="2436981A" w14:textId="77777777" w:rsidR="004B250B" w:rsidRDefault="00000000">
            <w:pPr>
              <w:keepLines/>
              <w:spacing w:after="0"/>
            </w:pPr>
            <w:r>
              <w:rPr>
                <w:sz w:val="14"/>
              </w:rPr>
              <w:t>48,333 / 50,000</w:t>
            </w:r>
          </w:p>
        </w:tc>
        <w:tc>
          <w:tcPr>
            <w:tcW w:w="1399" w:type="dxa"/>
            <w:vAlign w:val="center"/>
          </w:tcPr>
          <w:p w14:paraId="5D75D51E" w14:textId="77777777" w:rsidR="004B250B" w:rsidRDefault="00000000">
            <w:pPr>
              <w:keepLines/>
              <w:spacing w:after="0"/>
            </w:pPr>
            <w:r>
              <w:rPr>
                <w:sz w:val="14"/>
              </w:rPr>
              <w:t>10.7 (10.4–10.9)</w:t>
            </w:r>
          </w:p>
        </w:tc>
        <w:tc>
          <w:tcPr>
            <w:tcW w:w="1399" w:type="dxa"/>
            <w:vAlign w:val="center"/>
          </w:tcPr>
          <w:p w14:paraId="0C7DB82B" w14:textId="77777777" w:rsidR="004B250B" w:rsidRDefault="00000000">
            <w:pPr>
              <w:keepLines/>
              <w:spacing w:after="0"/>
            </w:pPr>
            <w:r>
              <w:rPr>
                <w:sz w:val="14"/>
              </w:rPr>
              <w:t>10.3</w:t>
            </w:r>
          </w:p>
        </w:tc>
        <w:tc>
          <w:tcPr>
            <w:tcW w:w="1399" w:type="dxa"/>
            <w:vAlign w:val="center"/>
          </w:tcPr>
          <w:p w14:paraId="4E0EFC0C" w14:textId="77777777" w:rsidR="004B250B" w:rsidRDefault="00000000">
            <w:pPr>
              <w:keepLines/>
              <w:spacing w:after="0"/>
            </w:pPr>
            <w:r>
              <w:rPr>
                <w:sz w:val="14"/>
              </w:rPr>
              <w:t>3.3</w:t>
            </w:r>
          </w:p>
        </w:tc>
      </w:tr>
      <w:tr w:rsidR="004B250B" w14:paraId="7F849339" w14:textId="77777777">
        <w:trPr>
          <w:jc w:val="center"/>
        </w:trPr>
        <w:tc>
          <w:tcPr>
            <w:tcW w:w="1399" w:type="dxa"/>
            <w:vAlign w:val="center"/>
          </w:tcPr>
          <w:p w14:paraId="7B41F008" w14:textId="77777777" w:rsidR="004B250B" w:rsidRDefault="004B250B">
            <w:pPr>
              <w:keepLines/>
              <w:spacing w:after="0"/>
            </w:pPr>
          </w:p>
        </w:tc>
        <w:tc>
          <w:tcPr>
            <w:tcW w:w="1399" w:type="dxa"/>
            <w:vAlign w:val="center"/>
          </w:tcPr>
          <w:p w14:paraId="2BA25240" w14:textId="77777777" w:rsidR="004B250B" w:rsidRDefault="004B250B">
            <w:pPr>
              <w:keepLines/>
              <w:spacing w:after="0"/>
            </w:pPr>
          </w:p>
        </w:tc>
        <w:tc>
          <w:tcPr>
            <w:tcW w:w="1399" w:type="dxa"/>
            <w:vAlign w:val="center"/>
          </w:tcPr>
          <w:p w14:paraId="0D3A37F2" w14:textId="77777777" w:rsidR="004B250B" w:rsidRDefault="00000000">
            <w:pPr>
              <w:keepLines/>
              <w:spacing w:after="0"/>
            </w:pPr>
            <w:r>
              <w:rPr>
                <w:sz w:val="14"/>
              </w:rPr>
              <w:t>Negative-binomial C1/C2 calibration</w:t>
            </w:r>
          </w:p>
        </w:tc>
        <w:tc>
          <w:tcPr>
            <w:tcW w:w="1399" w:type="dxa"/>
            <w:vAlign w:val="center"/>
          </w:tcPr>
          <w:p w14:paraId="0D80F876" w14:textId="77777777" w:rsidR="004B250B" w:rsidRDefault="00000000">
            <w:pPr>
              <w:keepLines/>
              <w:spacing w:after="0"/>
            </w:pPr>
            <w:r>
              <w:rPr>
                <w:sz w:val="14"/>
              </w:rPr>
              <w:t>48,333 / 50,000</w:t>
            </w:r>
          </w:p>
        </w:tc>
        <w:tc>
          <w:tcPr>
            <w:tcW w:w="1399" w:type="dxa"/>
            <w:vAlign w:val="center"/>
          </w:tcPr>
          <w:p w14:paraId="27C88D87" w14:textId="77777777" w:rsidR="004B250B" w:rsidRDefault="00000000">
            <w:pPr>
              <w:keepLines/>
              <w:spacing w:after="0"/>
            </w:pPr>
            <w:r>
              <w:rPr>
                <w:sz w:val="14"/>
              </w:rPr>
              <w:t>4.2 (4.1–4.4)</w:t>
            </w:r>
          </w:p>
        </w:tc>
        <w:tc>
          <w:tcPr>
            <w:tcW w:w="1399" w:type="dxa"/>
            <w:vAlign w:val="center"/>
          </w:tcPr>
          <w:p w14:paraId="53EA3288" w14:textId="77777777" w:rsidR="004B250B" w:rsidRDefault="00000000">
            <w:pPr>
              <w:keepLines/>
              <w:spacing w:after="0"/>
            </w:pPr>
            <w:r>
              <w:rPr>
                <w:sz w:val="14"/>
              </w:rPr>
              <w:t>4.1</w:t>
            </w:r>
          </w:p>
        </w:tc>
        <w:tc>
          <w:tcPr>
            <w:tcW w:w="1399" w:type="dxa"/>
            <w:vAlign w:val="center"/>
          </w:tcPr>
          <w:p w14:paraId="5AA177FA" w14:textId="77777777" w:rsidR="004B250B" w:rsidRDefault="00000000">
            <w:pPr>
              <w:keepLines/>
              <w:spacing w:after="0"/>
            </w:pPr>
            <w:r>
              <w:rPr>
                <w:sz w:val="14"/>
              </w:rPr>
              <w:t>3.3</w:t>
            </w:r>
          </w:p>
        </w:tc>
      </w:tr>
      <w:tr w:rsidR="004B250B" w14:paraId="12B99B73" w14:textId="77777777">
        <w:trPr>
          <w:jc w:val="center"/>
        </w:trPr>
        <w:tc>
          <w:tcPr>
            <w:tcW w:w="1399" w:type="dxa"/>
            <w:vAlign w:val="center"/>
          </w:tcPr>
          <w:p w14:paraId="1C10F702" w14:textId="77777777" w:rsidR="004B250B" w:rsidRDefault="004B250B">
            <w:pPr>
              <w:keepLines/>
              <w:spacing w:after="0"/>
            </w:pPr>
          </w:p>
        </w:tc>
        <w:tc>
          <w:tcPr>
            <w:tcW w:w="1399" w:type="dxa"/>
            <w:vAlign w:val="center"/>
          </w:tcPr>
          <w:p w14:paraId="51E0C099" w14:textId="77777777" w:rsidR="004B250B" w:rsidRDefault="00000000">
            <w:pPr>
              <w:keepLines/>
              <w:spacing w:after="0"/>
            </w:pPr>
            <w:r>
              <w:rPr>
                <w:sz w:val="14"/>
              </w:rPr>
              <w:t>3-month calendar</w:t>
            </w:r>
          </w:p>
        </w:tc>
        <w:tc>
          <w:tcPr>
            <w:tcW w:w="1399" w:type="dxa"/>
            <w:vAlign w:val="center"/>
          </w:tcPr>
          <w:p w14:paraId="36498240" w14:textId="77777777" w:rsidR="004B250B" w:rsidRDefault="00000000">
            <w:pPr>
              <w:keepLines/>
              <w:spacing w:after="0"/>
            </w:pPr>
            <w:r>
              <w:rPr>
                <w:sz w:val="14"/>
              </w:rPr>
              <w:t>Windowed Herzog thresholds</w:t>
            </w:r>
          </w:p>
        </w:tc>
        <w:tc>
          <w:tcPr>
            <w:tcW w:w="1399" w:type="dxa"/>
            <w:vAlign w:val="center"/>
          </w:tcPr>
          <w:p w14:paraId="3D16B4D5" w14:textId="77777777" w:rsidR="004B250B" w:rsidRDefault="00000000">
            <w:pPr>
              <w:keepLines/>
              <w:spacing w:after="0"/>
            </w:pPr>
            <w:r>
              <w:rPr>
                <w:sz w:val="14"/>
              </w:rPr>
              <w:t>45,198 / 50,000</w:t>
            </w:r>
          </w:p>
        </w:tc>
        <w:tc>
          <w:tcPr>
            <w:tcW w:w="1399" w:type="dxa"/>
            <w:vAlign w:val="center"/>
          </w:tcPr>
          <w:p w14:paraId="2B241237" w14:textId="77777777" w:rsidR="004B250B" w:rsidRDefault="00000000">
            <w:pPr>
              <w:keepLines/>
              <w:spacing w:after="0"/>
            </w:pPr>
            <w:r>
              <w:rPr>
                <w:sz w:val="14"/>
              </w:rPr>
              <w:t>50.5 (50.0–51.0)</w:t>
            </w:r>
          </w:p>
        </w:tc>
        <w:tc>
          <w:tcPr>
            <w:tcW w:w="1399" w:type="dxa"/>
            <w:vAlign w:val="center"/>
          </w:tcPr>
          <w:p w14:paraId="21DBA2B9" w14:textId="77777777" w:rsidR="004B250B" w:rsidRDefault="00000000">
            <w:pPr>
              <w:keepLines/>
              <w:spacing w:after="0"/>
            </w:pPr>
            <w:r>
              <w:rPr>
                <w:sz w:val="14"/>
              </w:rPr>
              <w:t>45.7</w:t>
            </w:r>
          </w:p>
        </w:tc>
        <w:tc>
          <w:tcPr>
            <w:tcW w:w="1399" w:type="dxa"/>
            <w:vAlign w:val="center"/>
          </w:tcPr>
          <w:p w14:paraId="01FE456A" w14:textId="77777777" w:rsidR="004B250B" w:rsidRDefault="00000000">
            <w:pPr>
              <w:keepLines/>
              <w:spacing w:after="0"/>
            </w:pPr>
            <w:r>
              <w:rPr>
                <w:sz w:val="14"/>
              </w:rPr>
              <w:t>9.6</w:t>
            </w:r>
          </w:p>
        </w:tc>
      </w:tr>
      <w:tr w:rsidR="004B250B" w14:paraId="5D4D9B76" w14:textId="77777777">
        <w:trPr>
          <w:jc w:val="center"/>
        </w:trPr>
        <w:tc>
          <w:tcPr>
            <w:tcW w:w="1399" w:type="dxa"/>
            <w:vAlign w:val="center"/>
          </w:tcPr>
          <w:p w14:paraId="758D3722" w14:textId="77777777" w:rsidR="004B250B" w:rsidRDefault="004B250B">
            <w:pPr>
              <w:keepLines/>
              <w:spacing w:after="0"/>
            </w:pPr>
          </w:p>
        </w:tc>
        <w:tc>
          <w:tcPr>
            <w:tcW w:w="1399" w:type="dxa"/>
            <w:vAlign w:val="center"/>
          </w:tcPr>
          <w:p w14:paraId="45891893" w14:textId="77777777" w:rsidR="004B250B" w:rsidRDefault="00000000">
            <w:pPr>
              <w:keepLines/>
              <w:spacing w:after="0"/>
            </w:pPr>
            <w:r>
              <w:rPr>
                <w:sz w:val="14"/>
              </w:rPr>
              <w:t>3 complete cycles</w:t>
            </w:r>
          </w:p>
        </w:tc>
        <w:tc>
          <w:tcPr>
            <w:tcW w:w="1399" w:type="dxa"/>
            <w:vAlign w:val="center"/>
          </w:tcPr>
          <w:p w14:paraId="37809798" w14:textId="77777777" w:rsidR="004B250B" w:rsidRDefault="00000000">
            <w:pPr>
              <w:keepLines/>
              <w:spacing w:after="0"/>
            </w:pPr>
            <w:r>
              <w:rPr>
                <w:sz w:val="14"/>
              </w:rPr>
              <w:t>Exact Herzog 2004, any pattern</w:t>
            </w:r>
          </w:p>
        </w:tc>
        <w:tc>
          <w:tcPr>
            <w:tcW w:w="1399" w:type="dxa"/>
            <w:vAlign w:val="center"/>
          </w:tcPr>
          <w:p w14:paraId="5B44740A" w14:textId="77777777" w:rsidR="004B250B" w:rsidRDefault="00000000">
            <w:pPr>
              <w:keepLines/>
              <w:spacing w:after="0"/>
            </w:pPr>
            <w:r>
              <w:rPr>
                <w:sz w:val="14"/>
              </w:rPr>
              <w:t>16,642 / 50,000</w:t>
            </w:r>
          </w:p>
        </w:tc>
        <w:tc>
          <w:tcPr>
            <w:tcW w:w="1399" w:type="dxa"/>
            <w:vAlign w:val="center"/>
          </w:tcPr>
          <w:p w14:paraId="6C248AF5" w14:textId="77777777" w:rsidR="004B250B" w:rsidRDefault="00000000">
            <w:pPr>
              <w:keepLines/>
              <w:spacing w:after="0"/>
            </w:pPr>
            <w:r>
              <w:rPr>
                <w:sz w:val="14"/>
              </w:rPr>
              <w:t>51.2 (50.5–52.0)</w:t>
            </w:r>
          </w:p>
        </w:tc>
        <w:tc>
          <w:tcPr>
            <w:tcW w:w="1399" w:type="dxa"/>
            <w:vAlign w:val="center"/>
          </w:tcPr>
          <w:p w14:paraId="50F3C559" w14:textId="77777777" w:rsidR="004B250B" w:rsidRDefault="00000000">
            <w:pPr>
              <w:keepLines/>
              <w:spacing w:after="0"/>
            </w:pPr>
            <w:r>
              <w:rPr>
                <w:sz w:val="14"/>
              </w:rPr>
              <w:t>17.1</w:t>
            </w:r>
          </w:p>
        </w:tc>
        <w:tc>
          <w:tcPr>
            <w:tcW w:w="1399" w:type="dxa"/>
            <w:vAlign w:val="center"/>
          </w:tcPr>
          <w:p w14:paraId="32E6DA33" w14:textId="77777777" w:rsidR="004B250B" w:rsidRDefault="00000000">
            <w:pPr>
              <w:keepLines/>
              <w:spacing w:after="0"/>
            </w:pPr>
            <w:r>
              <w:rPr>
                <w:sz w:val="14"/>
              </w:rPr>
              <w:t>66.7</w:t>
            </w:r>
          </w:p>
        </w:tc>
      </w:tr>
    </w:tbl>
    <w:p w14:paraId="0551DBE8" w14:textId="77777777" w:rsidR="004B250B" w:rsidRDefault="004B250B">
      <w:pPr>
        <w:spacing w:after="0"/>
      </w:pPr>
    </w:p>
    <w:p w14:paraId="306E052F" w14:textId="77777777" w:rsidR="004B250B" w:rsidRDefault="00000000">
      <w:pPr>
        <w:pStyle w:val="TableNote"/>
      </w:pPr>
      <w:r>
        <w:rPr>
          <w:b/>
        </w:rPr>
        <w:t xml:space="preserve">Note. </w:t>
      </w:r>
      <w:r>
        <w:t xml:space="preserve">All rows use strict Herzog phase labeling. C3 is not applicable in the healthy ovulatory cohort, so the prior healthy C3 row is omitted. Indeterminate means that an applicable rule could not return positive or negative because required phases, cycles, events, or denominator information were insufficient; </w:t>
      </w:r>
      <w:proofErr w:type="spellStart"/>
      <w:r>
        <w:t>nonapplicability</w:t>
      </w:r>
      <w:proofErr w:type="spellEnd"/>
      <w:r>
        <w:t xml:space="preserve"> is distinct. Definition-by-window-by-cohort estimates based on fewer than 1,000 classifiable participant-windows were flagged as unstable.</w:t>
      </w:r>
    </w:p>
    <w:p w14:paraId="07C9B4DE" w14:textId="77777777" w:rsidR="004B250B" w:rsidRDefault="00000000">
      <w:r>
        <w:br w:type="page"/>
      </w:r>
    </w:p>
    <w:p w14:paraId="602C657D" w14:textId="77777777" w:rsidR="004B250B" w:rsidRDefault="00000000">
      <w:pPr>
        <w:pStyle w:val="Heading2"/>
      </w:pPr>
      <w:r>
        <w:lastRenderedPageBreak/>
        <w:t>Table 3. Study-level Monte Carlo summaries for 3-month windows.</w:t>
      </w:r>
    </w:p>
    <w:tbl>
      <w:tblPr>
        <w:tblStyle w:val="TableGrid"/>
        <w:tblW w:w="0" w:type="auto"/>
        <w:jc w:val="center"/>
        <w:tblLook w:val="04A0" w:firstRow="1" w:lastRow="0" w:firstColumn="1" w:lastColumn="0" w:noHBand="0" w:noVBand="1"/>
      </w:tblPr>
      <w:tblGrid>
        <w:gridCol w:w="1397"/>
        <w:gridCol w:w="1397"/>
        <w:gridCol w:w="1397"/>
        <w:gridCol w:w="1397"/>
        <w:gridCol w:w="1398"/>
        <w:gridCol w:w="1398"/>
        <w:gridCol w:w="1398"/>
      </w:tblGrid>
      <w:tr w:rsidR="004B250B" w14:paraId="2427E948" w14:textId="77777777">
        <w:trPr>
          <w:tblHeader/>
          <w:jc w:val="center"/>
        </w:trPr>
        <w:tc>
          <w:tcPr>
            <w:tcW w:w="1399" w:type="dxa"/>
            <w:shd w:val="clear" w:color="auto" w:fill="D9EAF7"/>
            <w:vAlign w:val="center"/>
          </w:tcPr>
          <w:p w14:paraId="223E5922" w14:textId="77777777" w:rsidR="004B250B" w:rsidRDefault="00000000">
            <w:pPr>
              <w:jc w:val="center"/>
            </w:pPr>
            <w:r>
              <w:rPr>
                <w:rFonts w:ascii="Arial" w:hAnsi="Arial"/>
                <w:b/>
                <w:sz w:val="15"/>
              </w:rPr>
              <w:t>Cohort</w:t>
            </w:r>
          </w:p>
        </w:tc>
        <w:tc>
          <w:tcPr>
            <w:tcW w:w="1399" w:type="dxa"/>
            <w:shd w:val="clear" w:color="auto" w:fill="D9EAF7"/>
            <w:vAlign w:val="center"/>
          </w:tcPr>
          <w:p w14:paraId="4CEE3655" w14:textId="77777777" w:rsidR="004B250B" w:rsidRDefault="00000000">
            <w:pPr>
              <w:jc w:val="center"/>
            </w:pPr>
            <w:r>
              <w:rPr>
                <w:rFonts w:ascii="Arial" w:hAnsi="Arial"/>
                <w:b/>
                <w:sz w:val="15"/>
              </w:rPr>
              <w:t>N/study</w:t>
            </w:r>
          </w:p>
        </w:tc>
        <w:tc>
          <w:tcPr>
            <w:tcW w:w="1399" w:type="dxa"/>
            <w:shd w:val="clear" w:color="auto" w:fill="D9EAF7"/>
            <w:vAlign w:val="center"/>
          </w:tcPr>
          <w:p w14:paraId="69A73192" w14:textId="77777777" w:rsidR="004B250B" w:rsidRDefault="00000000">
            <w:pPr>
              <w:jc w:val="center"/>
            </w:pPr>
            <w:r>
              <w:rPr>
                <w:rFonts w:ascii="Arial" w:hAnsi="Arial"/>
                <w:b/>
                <w:sz w:val="15"/>
              </w:rPr>
              <w:t>Definition</w:t>
            </w:r>
          </w:p>
        </w:tc>
        <w:tc>
          <w:tcPr>
            <w:tcW w:w="1399" w:type="dxa"/>
            <w:shd w:val="clear" w:color="auto" w:fill="D9EAF7"/>
            <w:vAlign w:val="center"/>
          </w:tcPr>
          <w:p w14:paraId="4E258DF2" w14:textId="77777777" w:rsidR="004B250B" w:rsidRDefault="00000000">
            <w:pPr>
              <w:jc w:val="center"/>
            </w:pPr>
            <w:r>
              <w:rPr>
                <w:rFonts w:ascii="Arial" w:hAnsi="Arial"/>
                <w:b/>
                <w:sz w:val="15"/>
              </w:rPr>
              <w:t>Mean apparent prevalence</w:t>
            </w:r>
          </w:p>
        </w:tc>
        <w:tc>
          <w:tcPr>
            <w:tcW w:w="1399" w:type="dxa"/>
            <w:shd w:val="clear" w:color="auto" w:fill="D9EAF7"/>
            <w:vAlign w:val="center"/>
          </w:tcPr>
          <w:p w14:paraId="11C369F0" w14:textId="77777777" w:rsidR="004B250B" w:rsidRDefault="00000000">
            <w:pPr>
              <w:jc w:val="center"/>
            </w:pPr>
            <w:r>
              <w:rPr>
                <w:rFonts w:ascii="Arial" w:hAnsi="Arial"/>
                <w:b/>
                <w:sz w:val="15"/>
              </w:rPr>
              <w:t>2.5th–97.5th percentiles</w:t>
            </w:r>
          </w:p>
        </w:tc>
        <w:tc>
          <w:tcPr>
            <w:tcW w:w="1399" w:type="dxa"/>
            <w:shd w:val="clear" w:color="auto" w:fill="D9EAF7"/>
            <w:vAlign w:val="center"/>
          </w:tcPr>
          <w:p w14:paraId="10C3DAAE" w14:textId="77777777" w:rsidR="004B250B" w:rsidRDefault="00000000">
            <w:pPr>
              <w:jc w:val="center"/>
            </w:pPr>
            <w:proofErr w:type="spellStart"/>
            <w:proofErr w:type="gramStart"/>
            <w:r>
              <w:rPr>
                <w:rFonts w:ascii="Arial" w:hAnsi="Arial"/>
                <w:b/>
                <w:sz w:val="15"/>
              </w:rPr>
              <w:t>Pr</w:t>
            </w:r>
            <w:proofErr w:type="spellEnd"/>
            <w:r>
              <w:rPr>
                <w:rFonts w:ascii="Arial" w:hAnsi="Arial"/>
                <w:b/>
                <w:sz w:val="15"/>
              </w:rPr>
              <w:t>(</w:t>
            </w:r>
            <w:proofErr w:type="gramEnd"/>
            <w:r>
              <w:rPr>
                <w:rFonts w:ascii="Arial" w:hAnsi="Arial"/>
                <w:b/>
                <w:sz w:val="15"/>
              </w:rPr>
              <w:t>apparent prevalence ≥39.1%)</w:t>
            </w:r>
          </w:p>
        </w:tc>
        <w:tc>
          <w:tcPr>
            <w:tcW w:w="1399" w:type="dxa"/>
            <w:shd w:val="clear" w:color="auto" w:fill="D9EAF7"/>
            <w:vAlign w:val="center"/>
          </w:tcPr>
          <w:p w14:paraId="44A90B6B" w14:textId="77777777" w:rsidR="004B250B" w:rsidRDefault="00000000">
            <w:pPr>
              <w:jc w:val="center"/>
            </w:pPr>
            <w:proofErr w:type="spellStart"/>
            <w:proofErr w:type="gramStart"/>
            <w:r>
              <w:rPr>
                <w:rFonts w:ascii="Arial" w:hAnsi="Arial"/>
                <w:b/>
                <w:sz w:val="15"/>
              </w:rPr>
              <w:t>Pr</w:t>
            </w:r>
            <w:proofErr w:type="spellEnd"/>
            <w:r>
              <w:rPr>
                <w:rFonts w:ascii="Arial" w:hAnsi="Arial"/>
                <w:b/>
                <w:sz w:val="15"/>
              </w:rPr>
              <w:t>(</w:t>
            </w:r>
            <w:proofErr w:type="gramEnd"/>
            <w:r>
              <w:rPr>
                <w:rFonts w:ascii="Arial" w:hAnsi="Arial"/>
                <w:b/>
                <w:sz w:val="15"/>
              </w:rPr>
              <w:t>apparent prevalence ≥44.2%)</w:t>
            </w:r>
          </w:p>
        </w:tc>
      </w:tr>
      <w:tr w:rsidR="004B250B" w14:paraId="5EC45B5B" w14:textId="77777777">
        <w:trPr>
          <w:jc w:val="center"/>
        </w:trPr>
        <w:tc>
          <w:tcPr>
            <w:tcW w:w="1399" w:type="dxa"/>
            <w:vAlign w:val="center"/>
          </w:tcPr>
          <w:p w14:paraId="2A2D27BB" w14:textId="77777777" w:rsidR="004B250B" w:rsidRDefault="00000000">
            <w:pPr>
              <w:keepLines/>
              <w:spacing w:after="0"/>
            </w:pPr>
            <w:r>
              <w:rPr>
                <w:sz w:val="15"/>
              </w:rPr>
              <w:t>Healthy ovulatory</w:t>
            </w:r>
          </w:p>
        </w:tc>
        <w:tc>
          <w:tcPr>
            <w:tcW w:w="1399" w:type="dxa"/>
            <w:vAlign w:val="center"/>
          </w:tcPr>
          <w:p w14:paraId="2159E9BB" w14:textId="77777777" w:rsidR="004B250B" w:rsidRDefault="00000000">
            <w:pPr>
              <w:keepLines/>
              <w:spacing w:after="0"/>
            </w:pPr>
            <w:r>
              <w:rPr>
                <w:sz w:val="15"/>
              </w:rPr>
              <w:t>30</w:t>
            </w:r>
          </w:p>
        </w:tc>
        <w:tc>
          <w:tcPr>
            <w:tcW w:w="1399" w:type="dxa"/>
            <w:vAlign w:val="center"/>
          </w:tcPr>
          <w:p w14:paraId="116878A3" w14:textId="77777777" w:rsidR="004B250B" w:rsidRDefault="00000000">
            <w:pPr>
              <w:keepLines/>
              <w:spacing w:after="0"/>
            </w:pPr>
            <w:r>
              <w:rPr>
                <w:sz w:val="15"/>
              </w:rPr>
              <w:t>Windowed Herzog thresholds</w:t>
            </w:r>
          </w:p>
        </w:tc>
        <w:tc>
          <w:tcPr>
            <w:tcW w:w="1399" w:type="dxa"/>
            <w:vAlign w:val="center"/>
          </w:tcPr>
          <w:p w14:paraId="6FE8C68D" w14:textId="77777777" w:rsidR="004B250B" w:rsidRDefault="00000000">
            <w:pPr>
              <w:keepLines/>
              <w:spacing w:after="0"/>
            </w:pPr>
            <w:r>
              <w:rPr>
                <w:sz w:val="15"/>
              </w:rPr>
              <w:t>37.7%</w:t>
            </w:r>
          </w:p>
        </w:tc>
        <w:tc>
          <w:tcPr>
            <w:tcW w:w="1399" w:type="dxa"/>
            <w:vAlign w:val="center"/>
          </w:tcPr>
          <w:p w14:paraId="5015F80C" w14:textId="77777777" w:rsidR="004B250B" w:rsidRDefault="00000000">
            <w:pPr>
              <w:keepLines/>
              <w:spacing w:after="0"/>
            </w:pPr>
            <w:r>
              <w:rPr>
                <w:sz w:val="15"/>
              </w:rPr>
              <w:t>20.0%–53.3%</w:t>
            </w:r>
          </w:p>
        </w:tc>
        <w:tc>
          <w:tcPr>
            <w:tcW w:w="1399" w:type="dxa"/>
            <w:vAlign w:val="center"/>
          </w:tcPr>
          <w:p w14:paraId="75D9C2B1" w14:textId="77777777" w:rsidR="004B250B" w:rsidRDefault="00000000">
            <w:pPr>
              <w:keepLines/>
              <w:spacing w:after="0"/>
            </w:pPr>
            <w:r>
              <w:rPr>
                <w:sz w:val="15"/>
              </w:rPr>
              <w:t>46.9%</w:t>
            </w:r>
          </w:p>
        </w:tc>
        <w:tc>
          <w:tcPr>
            <w:tcW w:w="1399" w:type="dxa"/>
            <w:vAlign w:val="center"/>
          </w:tcPr>
          <w:p w14:paraId="3E0EF471" w14:textId="77777777" w:rsidR="004B250B" w:rsidRDefault="00000000">
            <w:pPr>
              <w:keepLines/>
              <w:spacing w:after="0"/>
            </w:pPr>
            <w:r>
              <w:rPr>
                <w:sz w:val="15"/>
              </w:rPr>
              <w:t>20.5%</w:t>
            </w:r>
          </w:p>
        </w:tc>
      </w:tr>
      <w:tr w:rsidR="004B250B" w14:paraId="75CD931F" w14:textId="77777777">
        <w:trPr>
          <w:jc w:val="center"/>
        </w:trPr>
        <w:tc>
          <w:tcPr>
            <w:tcW w:w="1399" w:type="dxa"/>
            <w:vAlign w:val="center"/>
          </w:tcPr>
          <w:p w14:paraId="2DF196C3" w14:textId="77777777" w:rsidR="004B250B" w:rsidRDefault="004B250B">
            <w:pPr>
              <w:keepLines/>
              <w:spacing w:after="0"/>
            </w:pPr>
          </w:p>
        </w:tc>
        <w:tc>
          <w:tcPr>
            <w:tcW w:w="1399" w:type="dxa"/>
            <w:vAlign w:val="center"/>
          </w:tcPr>
          <w:p w14:paraId="2831957A" w14:textId="77777777" w:rsidR="004B250B" w:rsidRDefault="00000000">
            <w:pPr>
              <w:keepLines/>
              <w:spacing w:after="0"/>
            </w:pPr>
            <w:r>
              <w:rPr>
                <w:sz w:val="15"/>
              </w:rPr>
              <w:t>30</w:t>
            </w:r>
          </w:p>
        </w:tc>
        <w:tc>
          <w:tcPr>
            <w:tcW w:w="1399" w:type="dxa"/>
            <w:vAlign w:val="center"/>
          </w:tcPr>
          <w:p w14:paraId="11402C9C" w14:textId="77777777" w:rsidR="004B250B" w:rsidRDefault="00000000">
            <w:pPr>
              <w:keepLines/>
              <w:spacing w:after="0"/>
            </w:pPr>
            <w:r>
              <w:rPr>
                <w:sz w:val="15"/>
              </w:rPr>
              <w:t>Windowed Herzog C1/C2 union</w:t>
            </w:r>
          </w:p>
        </w:tc>
        <w:tc>
          <w:tcPr>
            <w:tcW w:w="1399" w:type="dxa"/>
            <w:vAlign w:val="center"/>
          </w:tcPr>
          <w:p w14:paraId="65FC147E" w14:textId="77777777" w:rsidR="004B250B" w:rsidRDefault="00000000">
            <w:pPr>
              <w:keepLines/>
              <w:spacing w:after="0"/>
            </w:pPr>
            <w:r>
              <w:rPr>
                <w:sz w:val="15"/>
              </w:rPr>
              <w:t>37.7%</w:t>
            </w:r>
          </w:p>
        </w:tc>
        <w:tc>
          <w:tcPr>
            <w:tcW w:w="1399" w:type="dxa"/>
            <w:vAlign w:val="center"/>
          </w:tcPr>
          <w:p w14:paraId="12AB0BFB" w14:textId="77777777" w:rsidR="004B250B" w:rsidRDefault="00000000">
            <w:pPr>
              <w:keepLines/>
              <w:spacing w:after="0"/>
            </w:pPr>
            <w:r>
              <w:rPr>
                <w:sz w:val="15"/>
              </w:rPr>
              <w:t>20.0%–53.3%</w:t>
            </w:r>
          </w:p>
        </w:tc>
        <w:tc>
          <w:tcPr>
            <w:tcW w:w="1399" w:type="dxa"/>
            <w:vAlign w:val="center"/>
          </w:tcPr>
          <w:p w14:paraId="46F7465E" w14:textId="77777777" w:rsidR="004B250B" w:rsidRDefault="00000000">
            <w:pPr>
              <w:keepLines/>
              <w:spacing w:after="0"/>
            </w:pPr>
            <w:r>
              <w:rPr>
                <w:sz w:val="15"/>
              </w:rPr>
              <w:t>46.9%</w:t>
            </w:r>
          </w:p>
        </w:tc>
        <w:tc>
          <w:tcPr>
            <w:tcW w:w="1399" w:type="dxa"/>
            <w:vAlign w:val="center"/>
          </w:tcPr>
          <w:p w14:paraId="1753681B" w14:textId="77777777" w:rsidR="004B250B" w:rsidRDefault="00000000">
            <w:pPr>
              <w:keepLines/>
              <w:spacing w:after="0"/>
            </w:pPr>
            <w:r>
              <w:rPr>
                <w:sz w:val="15"/>
              </w:rPr>
              <w:t>20.5%</w:t>
            </w:r>
          </w:p>
        </w:tc>
      </w:tr>
      <w:tr w:rsidR="004B250B" w14:paraId="57294564" w14:textId="77777777">
        <w:trPr>
          <w:jc w:val="center"/>
        </w:trPr>
        <w:tc>
          <w:tcPr>
            <w:tcW w:w="1399" w:type="dxa"/>
            <w:vAlign w:val="center"/>
          </w:tcPr>
          <w:p w14:paraId="6A91F8C1" w14:textId="77777777" w:rsidR="004B250B" w:rsidRDefault="004B250B">
            <w:pPr>
              <w:keepLines/>
              <w:spacing w:after="0"/>
            </w:pPr>
          </w:p>
        </w:tc>
        <w:tc>
          <w:tcPr>
            <w:tcW w:w="1399" w:type="dxa"/>
            <w:vAlign w:val="center"/>
          </w:tcPr>
          <w:p w14:paraId="7D0104E9" w14:textId="77777777" w:rsidR="004B250B" w:rsidRDefault="00000000">
            <w:pPr>
              <w:keepLines/>
              <w:spacing w:after="0"/>
            </w:pPr>
            <w:r>
              <w:rPr>
                <w:sz w:val="15"/>
              </w:rPr>
              <w:t>50</w:t>
            </w:r>
          </w:p>
        </w:tc>
        <w:tc>
          <w:tcPr>
            <w:tcW w:w="1399" w:type="dxa"/>
            <w:vAlign w:val="center"/>
          </w:tcPr>
          <w:p w14:paraId="2B266811" w14:textId="77777777" w:rsidR="004B250B" w:rsidRDefault="00000000">
            <w:pPr>
              <w:keepLines/>
              <w:spacing w:after="0"/>
            </w:pPr>
            <w:r>
              <w:rPr>
                <w:sz w:val="15"/>
              </w:rPr>
              <w:t>Windowed Herzog thresholds</w:t>
            </w:r>
          </w:p>
        </w:tc>
        <w:tc>
          <w:tcPr>
            <w:tcW w:w="1399" w:type="dxa"/>
            <w:vAlign w:val="center"/>
          </w:tcPr>
          <w:p w14:paraId="7B730C98" w14:textId="77777777" w:rsidR="004B250B" w:rsidRDefault="00000000">
            <w:pPr>
              <w:keepLines/>
              <w:spacing w:after="0"/>
            </w:pPr>
            <w:r>
              <w:rPr>
                <w:sz w:val="15"/>
              </w:rPr>
              <w:t>37.6%</w:t>
            </w:r>
          </w:p>
        </w:tc>
        <w:tc>
          <w:tcPr>
            <w:tcW w:w="1399" w:type="dxa"/>
            <w:vAlign w:val="center"/>
          </w:tcPr>
          <w:p w14:paraId="07B71ACF" w14:textId="77777777" w:rsidR="004B250B" w:rsidRDefault="00000000">
            <w:pPr>
              <w:keepLines/>
              <w:spacing w:after="0"/>
            </w:pPr>
            <w:r>
              <w:rPr>
                <w:sz w:val="15"/>
              </w:rPr>
              <w:t>24.0%–52.0%</w:t>
            </w:r>
          </w:p>
        </w:tc>
        <w:tc>
          <w:tcPr>
            <w:tcW w:w="1399" w:type="dxa"/>
            <w:vAlign w:val="center"/>
          </w:tcPr>
          <w:p w14:paraId="168C26C8" w14:textId="77777777" w:rsidR="004B250B" w:rsidRDefault="00000000">
            <w:pPr>
              <w:keepLines/>
              <w:spacing w:after="0"/>
            </w:pPr>
            <w:r>
              <w:rPr>
                <w:sz w:val="15"/>
              </w:rPr>
              <w:t>41.6%</w:t>
            </w:r>
          </w:p>
        </w:tc>
        <w:tc>
          <w:tcPr>
            <w:tcW w:w="1399" w:type="dxa"/>
            <w:vAlign w:val="center"/>
          </w:tcPr>
          <w:p w14:paraId="19B8873F" w14:textId="77777777" w:rsidR="004B250B" w:rsidRDefault="00000000">
            <w:pPr>
              <w:keepLines/>
              <w:spacing w:after="0"/>
            </w:pPr>
            <w:r>
              <w:rPr>
                <w:sz w:val="15"/>
              </w:rPr>
              <w:t>14.1%</w:t>
            </w:r>
          </w:p>
        </w:tc>
      </w:tr>
      <w:tr w:rsidR="004B250B" w14:paraId="33ECEE7A" w14:textId="77777777">
        <w:trPr>
          <w:jc w:val="center"/>
        </w:trPr>
        <w:tc>
          <w:tcPr>
            <w:tcW w:w="1399" w:type="dxa"/>
            <w:vAlign w:val="center"/>
          </w:tcPr>
          <w:p w14:paraId="6557EE6F" w14:textId="77777777" w:rsidR="004B250B" w:rsidRDefault="004B250B">
            <w:pPr>
              <w:keepLines/>
              <w:spacing w:after="0"/>
            </w:pPr>
          </w:p>
        </w:tc>
        <w:tc>
          <w:tcPr>
            <w:tcW w:w="1399" w:type="dxa"/>
            <w:vAlign w:val="center"/>
          </w:tcPr>
          <w:p w14:paraId="796301BF" w14:textId="77777777" w:rsidR="004B250B" w:rsidRDefault="00000000">
            <w:pPr>
              <w:keepLines/>
              <w:spacing w:after="0"/>
            </w:pPr>
            <w:r>
              <w:rPr>
                <w:sz w:val="15"/>
              </w:rPr>
              <w:t>50</w:t>
            </w:r>
          </w:p>
        </w:tc>
        <w:tc>
          <w:tcPr>
            <w:tcW w:w="1399" w:type="dxa"/>
            <w:vAlign w:val="center"/>
          </w:tcPr>
          <w:p w14:paraId="6646EC07" w14:textId="77777777" w:rsidR="004B250B" w:rsidRDefault="00000000">
            <w:pPr>
              <w:keepLines/>
              <w:spacing w:after="0"/>
            </w:pPr>
            <w:r>
              <w:rPr>
                <w:sz w:val="15"/>
              </w:rPr>
              <w:t>Windowed Herzog C1/C2 union</w:t>
            </w:r>
          </w:p>
        </w:tc>
        <w:tc>
          <w:tcPr>
            <w:tcW w:w="1399" w:type="dxa"/>
            <w:vAlign w:val="center"/>
          </w:tcPr>
          <w:p w14:paraId="49D9BB1C" w14:textId="77777777" w:rsidR="004B250B" w:rsidRDefault="00000000">
            <w:pPr>
              <w:keepLines/>
              <w:spacing w:after="0"/>
            </w:pPr>
            <w:r>
              <w:rPr>
                <w:sz w:val="15"/>
              </w:rPr>
              <w:t>37.6%</w:t>
            </w:r>
          </w:p>
        </w:tc>
        <w:tc>
          <w:tcPr>
            <w:tcW w:w="1399" w:type="dxa"/>
            <w:vAlign w:val="center"/>
          </w:tcPr>
          <w:p w14:paraId="40EBF099" w14:textId="77777777" w:rsidR="004B250B" w:rsidRDefault="00000000">
            <w:pPr>
              <w:keepLines/>
              <w:spacing w:after="0"/>
            </w:pPr>
            <w:r>
              <w:rPr>
                <w:sz w:val="15"/>
              </w:rPr>
              <w:t>24.0%–52.0%</w:t>
            </w:r>
          </w:p>
        </w:tc>
        <w:tc>
          <w:tcPr>
            <w:tcW w:w="1399" w:type="dxa"/>
            <w:vAlign w:val="center"/>
          </w:tcPr>
          <w:p w14:paraId="3679E5BD" w14:textId="77777777" w:rsidR="004B250B" w:rsidRDefault="00000000">
            <w:pPr>
              <w:keepLines/>
              <w:spacing w:after="0"/>
            </w:pPr>
            <w:r>
              <w:rPr>
                <w:sz w:val="15"/>
              </w:rPr>
              <w:t>41.6%</w:t>
            </w:r>
          </w:p>
        </w:tc>
        <w:tc>
          <w:tcPr>
            <w:tcW w:w="1399" w:type="dxa"/>
            <w:vAlign w:val="center"/>
          </w:tcPr>
          <w:p w14:paraId="7D6F5A6C" w14:textId="77777777" w:rsidR="004B250B" w:rsidRDefault="00000000">
            <w:pPr>
              <w:keepLines/>
              <w:spacing w:after="0"/>
            </w:pPr>
            <w:r>
              <w:rPr>
                <w:sz w:val="15"/>
              </w:rPr>
              <w:t>14.1%</w:t>
            </w:r>
          </w:p>
        </w:tc>
      </w:tr>
      <w:tr w:rsidR="004B250B" w14:paraId="3E5EE99C" w14:textId="77777777">
        <w:trPr>
          <w:jc w:val="center"/>
        </w:trPr>
        <w:tc>
          <w:tcPr>
            <w:tcW w:w="1399" w:type="dxa"/>
            <w:vAlign w:val="center"/>
          </w:tcPr>
          <w:p w14:paraId="238580EF" w14:textId="77777777" w:rsidR="004B250B" w:rsidRDefault="004B250B">
            <w:pPr>
              <w:keepLines/>
              <w:spacing w:after="0"/>
            </w:pPr>
          </w:p>
        </w:tc>
        <w:tc>
          <w:tcPr>
            <w:tcW w:w="1399" w:type="dxa"/>
            <w:vAlign w:val="center"/>
          </w:tcPr>
          <w:p w14:paraId="53B016A8" w14:textId="77777777" w:rsidR="004B250B" w:rsidRDefault="00000000">
            <w:pPr>
              <w:keepLines/>
              <w:spacing w:after="0"/>
            </w:pPr>
            <w:r>
              <w:rPr>
                <w:sz w:val="15"/>
              </w:rPr>
              <w:t>100</w:t>
            </w:r>
          </w:p>
        </w:tc>
        <w:tc>
          <w:tcPr>
            <w:tcW w:w="1399" w:type="dxa"/>
            <w:vAlign w:val="center"/>
          </w:tcPr>
          <w:p w14:paraId="25620FF6" w14:textId="77777777" w:rsidR="004B250B" w:rsidRDefault="00000000">
            <w:pPr>
              <w:keepLines/>
              <w:spacing w:after="0"/>
            </w:pPr>
            <w:r>
              <w:rPr>
                <w:sz w:val="15"/>
              </w:rPr>
              <w:t>Windowed Herzog thresholds</w:t>
            </w:r>
          </w:p>
        </w:tc>
        <w:tc>
          <w:tcPr>
            <w:tcW w:w="1399" w:type="dxa"/>
            <w:vAlign w:val="center"/>
          </w:tcPr>
          <w:p w14:paraId="3E0B1D8B" w14:textId="77777777" w:rsidR="004B250B" w:rsidRDefault="00000000">
            <w:pPr>
              <w:keepLines/>
              <w:spacing w:after="0"/>
            </w:pPr>
            <w:r>
              <w:rPr>
                <w:sz w:val="15"/>
              </w:rPr>
              <w:t>37.6%</w:t>
            </w:r>
          </w:p>
        </w:tc>
        <w:tc>
          <w:tcPr>
            <w:tcW w:w="1399" w:type="dxa"/>
            <w:vAlign w:val="center"/>
          </w:tcPr>
          <w:p w14:paraId="4B793AC8" w14:textId="77777777" w:rsidR="004B250B" w:rsidRDefault="00000000">
            <w:pPr>
              <w:keepLines/>
              <w:spacing w:after="0"/>
            </w:pPr>
            <w:r>
              <w:rPr>
                <w:sz w:val="15"/>
              </w:rPr>
              <w:t>28.0%–47.0%</w:t>
            </w:r>
          </w:p>
        </w:tc>
        <w:tc>
          <w:tcPr>
            <w:tcW w:w="1399" w:type="dxa"/>
            <w:vAlign w:val="center"/>
          </w:tcPr>
          <w:p w14:paraId="04D0E9F8" w14:textId="77777777" w:rsidR="004B250B" w:rsidRDefault="00000000">
            <w:pPr>
              <w:keepLines/>
              <w:spacing w:after="0"/>
            </w:pPr>
            <w:r>
              <w:rPr>
                <w:sz w:val="15"/>
              </w:rPr>
              <w:t>34.4%</w:t>
            </w:r>
          </w:p>
        </w:tc>
        <w:tc>
          <w:tcPr>
            <w:tcW w:w="1399" w:type="dxa"/>
            <w:vAlign w:val="center"/>
          </w:tcPr>
          <w:p w14:paraId="5DAC845E" w14:textId="77777777" w:rsidR="004B250B" w:rsidRDefault="00000000">
            <w:pPr>
              <w:keepLines/>
              <w:spacing w:after="0"/>
            </w:pPr>
            <w:r>
              <w:rPr>
                <w:sz w:val="15"/>
              </w:rPr>
              <w:t>7.9%</w:t>
            </w:r>
          </w:p>
        </w:tc>
      </w:tr>
      <w:tr w:rsidR="004B250B" w14:paraId="4141F173" w14:textId="77777777">
        <w:trPr>
          <w:jc w:val="center"/>
        </w:trPr>
        <w:tc>
          <w:tcPr>
            <w:tcW w:w="1399" w:type="dxa"/>
            <w:vAlign w:val="center"/>
          </w:tcPr>
          <w:p w14:paraId="5A34C8E2" w14:textId="77777777" w:rsidR="004B250B" w:rsidRDefault="004B250B">
            <w:pPr>
              <w:keepLines/>
              <w:spacing w:after="0"/>
            </w:pPr>
          </w:p>
        </w:tc>
        <w:tc>
          <w:tcPr>
            <w:tcW w:w="1399" w:type="dxa"/>
            <w:vAlign w:val="center"/>
          </w:tcPr>
          <w:p w14:paraId="360B5D52" w14:textId="77777777" w:rsidR="004B250B" w:rsidRDefault="00000000">
            <w:pPr>
              <w:keepLines/>
              <w:spacing w:after="0"/>
            </w:pPr>
            <w:r>
              <w:rPr>
                <w:sz w:val="15"/>
              </w:rPr>
              <w:t>100</w:t>
            </w:r>
          </w:p>
        </w:tc>
        <w:tc>
          <w:tcPr>
            <w:tcW w:w="1399" w:type="dxa"/>
            <w:vAlign w:val="center"/>
          </w:tcPr>
          <w:p w14:paraId="6D07D6BF" w14:textId="77777777" w:rsidR="004B250B" w:rsidRDefault="00000000">
            <w:pPr>
              <w:keepLines/>
              <w:spacing w:after="0"/>
            </w:pPr>
            <w:r>
              <w:rPr>
                <w:sz w:val="15"/>
              </w:rPr>
              <w:t>Windowed Herzog C1/C2 union</w:t>
            </w:r>
          </w:p>
        </w:tc>
        <w:tc>
          <w:tcPr>
            <w:tcW w:w="1399" w:type="dxa"/>
            <w:vAlign w:val="center"/>
          </w:tcPr>
          <w:p w14:paraId="60C653EC" w14:textId="77777777" w:rsidR="004B250B" w:rsidRDefault="00000000">
            <w:pPr>
              <w:keepLines/>
              <w:spacing w:after="0"/>
            </w:pPr>
            <w:r>
              <w:rPr>
                <w:sz w:val="15"/>
              </w:rPr>
              <w:t>37.6%</w:t>
            </w:r>
          </w:p>
        </w:tc>
        <w:tc>
          <w:tcPr>
            <w:tcW w:w="1399" w:type="dxa"/>
            <w:vAlign w:val="center"/>
          </w:tcPr>
          <w:p w14:paraId="338E6C36" w14:textId="77777777" w:rsidR="004B250B" w:rsidRDefault="00000000">
            <w:pPr>
              <w:keepLines/>
              <w:spacing w:after="0"/>
            </w:pPr>
            <w:r>
              <w:rPr>
                <w:sz w:val="15"/>
              </w:rPr>
              <w:t>28.0%–47.0%</w:t>
            </w:r>
          </w:p>
        </w:tc>
        <w:tc>
          <w:tcPr>
            <w:tcW w:w="1399" w:type="dxa"/>
            <w:vAlign w:val="center"/>
          </w:tcPr>
          <w:p w14:paraId="79DA2789" w14:textId="77777777" w:rsidR="004B250B" w:rsidRDefault="00000000">
            <w:pPr>
              <w:keepLines/>
              <w:spacing w:after="0"/>
            </w:pPr>
            <w:r>
              <w:rPr>
                <w:sz w:val="15"/>
              </w:rPr>
              <w:t>34.4%</w:t>
            </w:r>
          </w:p>
        </w:tc>
        <w:tc>
          <w:tcPr>
            <w:tcW w:w="1399" w:type="dxa"/>
            <w:vAlign w:val="center"/>
          </w:tcPr>
          <w:p w14:paraId="412B9D65" w14:textId="77777777" w:rsidR="004B250B" w:rsidRDefault="00000000">
            <w:pPr>
              <w:keepLines/>
              <w:spacing w:after="0"/>
            </w:pPr>
            <w:r>
              <w:rPr>
                <w:sz w:val="15"/>
              </w:rPr>
              <w:t>7.9%</w:t>
            </w:r>
          </w:p>
        </w:tc>
      </w:tr>
      <w:tr w:rsidR="004B250B" w14:paraId="10426D24" w14:textId="77777777">
        <w:trPr>
          <w:jc w:val="center"/>
        </w:trPr>
        <w:tc>
          <w:tcPr>
            <w:tcW w:w="1399" w:type="dxa"/>
            <w:vAlign w:val="center"/>
          </w:tcPr>
          <w:p w14:paraId="19D8A6BD" w14:textId="77777777" w:rsidR="004B250B" w:rsidRDefault="00000000">
            <w:pPr>
              <w:keepLines/>
              <w:spacing w:after="0"/>
            </w:pPr>
            <w:r>
              <w:rPr>
                <w:sz w:val="15"/>
              </w:rPr>
              <w:t>Heterogeneous menstruating-age</w:t>
            </w:r>
          </w:p>
        </w:tc>
        <w:tc>
          <w:tcPr>
            <w:tcW w:w="1399" w:type="dxa"/>
            <w:vAlign w:val="center"/>
          </w:tcPr>
          <w:p w14:paraId="278171F6" w14:textId="77777777" w:rsidR="004B250B" w:rsidRDefault="00000000">
            <w:pPr>
              <w:keepLines/>
              <w:spacing w:after="0"/>
            </w:pPr>
            <w:r>
              <w:rPr>
                <w:sz w:val="15"/>
              </w:rPr>
              <w:t>30</w:t>
            </w:r>
          </w:p>
        </w:tc>
        <w:tc>
          <w:tcPr>
            <w:tcW w:w="1399" w:type="dxa"/>
            <w:vAlign w:val="center"/>
          </w:tcPr>
          <w:p w14:paraId="2BFDA0EB" w14:textId="77777777" w:rsidR="004B250B" w:rsidRDefault="00000000">
            <w:pPr>
              <w:keepLines/>
              <w:spacing w:after="0"/>
            </w:pPr>
            <w:r>
              <w:rPr>
                <w:sz w:val="15"/>
              </w:rPr>
              <w:t>Windowed Herzog thresholds</w:t>
            </w:r>
          </w:p>
        </w:tc>
        <w:tc>
          <w:tcPr>
            <w:tcW w:w="1399" w:type="dxa"/>
            <w:vAlign w:val="center"/>
          </w:tcPr>
          <w:p w14:paraId="3C1313D7" w14:textId="77777777" w:rsidR="004B250B" w:rsidRDefault="00000000">
            <w:pPr>
              <w:keepLines/>
              <w:spacing w:after="0"/>
            </w:pPr>
            <w:r>
              <w:rPr>
                <w:sz w:val="15"/>
              </w:rPr>
              <w:t>45.9%</w:t>
            </w:r>
          </w:p>
        </w:tc>
        <w:tc>
          <w:tcPr>
            <w:tcW w:w="1399" w:type="dxa"/>
            <w:vAlign w:val="center"/>
          </w:tcPr>
          <w:p w14:paraId="42ECE8FC" w14:textId="77777777" w:rsidR="004B250B" w:rsidRDefault="00000000">
            <w:pPr>
              <w:keepLines/>
              <w:spacing w:after="0"/>
            </w:pPr>
            <w:r>
              <w:rPr>
                <w:sz w:val="15"/>
              </w:rPr>
              <w:t>30.0%–63.3%</w:t>
            </w:r>
          </w:p>
        </w:tc>
        <w:tc>
          <w:tcPr>
            <w:tcW w:w="1399" w:type="dxa"/>
            <w:vAlign w:val="center"/>
          </w:tcPr>
          <w:p w14:paraId="15B2E923" w14:textId="77777777" w:rsidR="004B250B" w:rsidRDefault="00000000">
            <w:pPr>
              <w:keepLines/>
              <w:spacing w:after="0"/>
            </w:pPr>
            <w:r>
              <w:rPr>
                <w:sz w:val="15"/>
              </w:rPr>
              <w:t>80.2%</w:t>
            </w:r>
          </w:p>
        </w:tc>
        <w:tc>
          <w:tcPr>
            <w:tcW w:w="1399" w:type="dxa"/>
            <w:vAlign w:val="center"/>
          </w:tcPr>
          <w:p w14:paraId="0BA6922D" w14:textId="77777777" w:rsidR="004B250B" w:rsidRDefault="00000000">
            <w:pPr>
              <w:keepLines/>
              <w:spacing w:after="0"/>
            </w:pPr>
            <w:r>
              <w:rPr>
                <w:sz w:val="15"/>
              </w:rPr>
              <w:t>54.3%</w:t>
            </w:r>
          </w:p>
        </w:tc>
      </w:tr>
      <w:tr w:rsidR="004B250B" w14:paraId="328FBBC0" w14:textId="77777777">
        <w:trPr>
          <w:jc w:val="center"/>
        </w:trPr>
        <w:tc>
          <w:tcPr>
            <w:tcW w:w="1399" w:type="dxa"/>
            <w:vAlign w:val="center"/>
          </w:tcPr>
          <w:p w14:paraId="5F61B8AC" w14:textId="77777777" w:rsidR="004B250B" w:rsidRDefault="004B250B">
            <w:pPr>
              <w:keepLines/>
              <w:spacing w:after="0"/>
            </w:pPr>
          </w:p>
        </w:tc>
        <w:tc>
          <w:tcPr>
            <w:tcW w:w="1399" w:type="dxa"/>
            <w:vAlign w:val="center"/>
          </w:tcPr>
          <w:p w14:paraId="42F679F9" w14:textId="77777777" w:rsidR="004B250B" w:rsidRDefault="00000000">
            <w:pPr>
              <w:keepLines/>
              <w:spacing w:after="0"/>
            </w:pPr>
            <w:r>
              <w:rPr>
                <w:sz w:val="15"/>
              </w:rPr>
              <w:t>30</w:t>
            </w:r>
          </w:p>
        </w:tc>
        <w:tc>
          <w:tcPr>
            <w:tcW w:w="1399" w:type="dxa"/>
            <w:vAlign w:val="center"/>
          </w:tcPr>
          <w:p w14:paraId="04B216FC" w14:textId="77777777" w:rsidR="004B250B" w:rsidRDefault="00000000">
            <w:pPr>
              <w:keepLines/>
              <w:spacing w:after="0"/>
            </w:pPr>
            <w:r>
              <w:rPr>
                <w:sz w:val="15"/>
              </w:rPr>
              <w:t>Windowed Herzog C1/C2 union</w:t>
            </w:r>
          </w:p>
        </w:tc>
        <w:tc>
          <w:tcPr>
            <w:tcW w:w="1399" w:type="dxa"/>
            <w:vAlign w:val="center"/>
          </w:tcPr>
          <w:p w14:paraId="3F2866A3" w14:textId="77777777" w:rsidR="004B250B" w:rsidRDefault="00000000">
            <w:pPr>
              <w:keepLines/>
              <w:spacing w:after="0"/>
            </w:pPr>
            <w:r>
              <w:rPr>
                <w:sz w:val="15"/>
              </w:rPr>
              <w:t>37.8%</w:t>
            </w:r>
          </w:p>
        </w:tc>
        <w:tc>
          <w:tcPr>
            <w:tcW w:w="1399" w:type="dxa"/>
            <w:vAlign w:val="center"/>
          </w:tcPr>
          <w:p w14:paraId="0BF651B0" w14:textId="77777777" w:rsidR="004B250B" w:rsidRDefault="00000000">
            <w:pPr>
              <w:keepLines/>
              <w:spacing w:after="0"/>
            </w:pPr>
            <w:r>
              <w:rPr>
                <w:sz w:val="15"/>
              </w:rPr>
              <w:t>20.0%–56.7%</w:t>
            </w:r>
          </w:p>
        </w:tc>
        <w:tc>
          <w:tcPr>
            <w:tcW w:w="1399" w:type="dxa"/>
            <w:vAlign w:val="center"/>
          </w:tcPr>
          <w:p w14:paraId="03A87195" w14:textId="77777777" w:rsidR="004B250B" w:rsidRDefault="00000000">
            <w:pPr>
              <w:keepLines/>
              <w:spacing w:after="0"/>
            </w:pPr>
            <w:r>
              <w:rPr>
                <w:sz w:val="15"/>
              </w:rPr>
              <w:t>47.1%</w:t>
            </w:r>
          </w:p>
        </w:tc>
        <w:tc>
          <w:tcPr>
            <w:tcW w:w="1399" w:type="dxa"/>
            <w:vAlign w:val="center"/>
          </w:tcPr>
          <w:p w14:paraId="701A0DC9" w14:textId="77777777" w:rsidR="004B250B" w:rsidRDefault="00000000">
            <w:pPr>
              <w:keepLines/>
              <w:spacing w:after="0"/>
            </w:pPr>
            <w:r>
              <w:rPr>
                <w:sz w:val="15"/>
              </w:rPr>
              <w:t>20.5%</w:t>
            </w:r>
          </w:p>
        </w:tc>
      </w:tr>
      <w:tr w:rsidR="004B250B" w14:paraId="538E4163" w14:textId="77777777">
        <w:trPr>
          <w:jc w:val="center"/>
        </w:trPr>
        <w:tc>
          <w:tcPr>
            <w:tcW w:w="1399" w:type="dxa"/>
            <w:vAlign w:val="center"/>
          </w:tcPr>
          <w:p w14:paraId="4F228599" w14:textId="77777777" w:rsidR="004B250B" w:rsidRDefault="004B250B">
            <w:pPr>
              <w:keepLines/>
              <w:spacing w:after="0"/>
            </w:pPr>
          </w:p>
        </w:tc>
        <w:tc>
          <w:tcPr>
            <w:tcW w:w="1399" w:type="dxa"/>
            <w:vAlign w:val="center"/>
          </w:tcPr>
          <w:p w14:paraId="7A6C180B" w14:textId="77777777" w:rsidR="004B250B" w:rsidRDefault="00000000">
            <w:pPr>
              <w:keepLines/>
              <w:spacing w:after="0"/>
            </w:pPr>
            <w:r>
              <w:rPr>
                <w:sz w:val="15"/>
              </w:rPr>
              <w:t>50</w:t>
            </w:r>
          </w:p>
        </w:tc>
        <w:tc>
          <w:tcPr>
            <w:tcW w:w="1399" w:type="dxa"/>
            <w:vAlign w:val="center"/>
          </w:tcPr>
          <w:p w14:paraId="1FE3598E" w14:textId="77777777" w:rsidR="004B250B" w:rsidRDefault="00000000">
            <w:pPr>
              <w:keepLines/>
              <w:spacing w:after="0"/>
            </w:pPr>
            <w:r>
              <w:rPr>
                <w:sz w:val="15"/>
              </w:rPr>
              <w:t>Windowed Herzog thresholds</w:t>
            </w:r>
          </w:p>
        </w:tc>
        <w:tc>
          <w:tcPr>
            <w:tcW w:w="1399" w:type="dxa"/>
            <w:vAlign w:val="center"/>
          </w:tcPr>
          <w:p w14:paraId="6FEF644A" w14:textId="77777777" w:rsidR="004B250B" w:rsidRDefault="00000000">
            <w:pPr>
              <w:keepLines/>
              <w:spacing w:after="0"/>
            </w:pPr>
            <w:r>
              <w:rPr>
                <w:sz w:val="15"/>
              </w:rPr>
              <w:t>46.0%</w:t>
            </w:r>
          </w:p>
        </w:tc>
        <w:tc>
          <w:tcPr>
            <w:tcW w:w="1399" w:type="dxa"/>
            <w:vAlign w:val="center"/>
          </w:tcPr>
          <w:p w14:paraId="4DE76491" w14:textId="77777777" w:rsidR="004B250B" w:rsidRDefault="00000000">
            <w:pPr>
              <w:keepLines/>
              <w:spacing w:after="0"/>
            </w:pPr>
            <w:r>
              <w:rPr>
                <w:sz w:val="15"/>
              </w:rPr>
              <w:t>32.0%–60.0%</w:t>
            </w:r>
          </w:p>
        </w:tc>
        <w:tc>
          <w:tcPr>
            <w:tcW w:w="1399" w:type="dxa"/>
            <w:vAlign w:val="center"/>
          </w:tcPr>
          <w:p w14:paraId="4109E7EA" w14:textId="77777777" w:rsidR="004B250B" w:rsidRDefault="00000000">
            <w:pPr>
              <w:keepLines/>
              <w:spacing w:after="0"/>
            </w:pPr>
            <w:r>
              <w:rPr>
                <w:sz w:val="15"/>
              </w:rPr>
              <w:t>84.0%</w:t>
            </w:r>
          </w:p>
        </w:tc>
        <w:tc>
          <w:tcPr>
            <w:tcW w:w="1399" w:type="dxa"/>
            <w:vAlign w:val="center"/>
          </w:tcPr>
          <w:p w14:paraId="3412E2A9" w14:textId="77777777" w:rsidR="004B250B" w:rsidRDefault="00000000">
            <w:pPr>
              <w:keepLines/>
              <w:spacing w:after="0"/>
            </w:pPr>
            <w:r>
              <w:rPr>
                <w:sz w:val="15"/>
              </w:rPr>
              <w:t>55.5%</w:t>
            </w:r>
          </w:p>
        </w:tc>
      </w:tr>
      <w:tr w:rsidR="004B250B" w14:paraId="222E2CEE" w14:textId="77777777">
        <w:trPr>
          <w:jc w:val="center"/>
        </w:trPr>
        <w:tc>
          <w:tcPr>
            <w:tcW w:w="1399" w:type="dxa"/>
            <w:vAlign w:val="center"/>
          </w:tcPr>
          <w:p w14:paraId="136F648F" w14:textId="77777777" w:rsidR="004B250B" w:rsidRDefault="004B250B">
            <w:pPr>
              <w:keepLines/>
              <w:spacing w:after="0"/>
            </w:pPr>
          </w:p>
        </w:tc>
        <w:tc>
          <w:tcPr>
            <w:tcW w:w="1399" w:type="dxa"/>
            <w:vAlign w:val="center"/>
          </w:tcPr>
          <w:p w14:paraId="33718383" w14:textId="77777777" w:rsidR="004B250B" w:rsidRDefault="00000000">
            <w:pPr>
              <w:keepLines/>
              <w:spacing w:after="0"/>
            </w:pPr>
            <w:r>
              <w:rPr>
                <w:sz w:val="15"/>
              </w:rPr>
              <w:t>50</w:t>
            </w:r>
          </w:p>
        </w:tc>
        <w:tc>
          <w:tcPr>
            <w:tcW w:w="1399" w:type="dxa"/>
            <w:vAlign w:val="center"/>
          </w:tcPr>
          <w:p w14:paraId="24CF0FF5" w14:textId="77777777" w:rsidR="004B250B" w:rsidRDefault="00000000">
            <w:pPr>
              <w:keepLines/>
              <w:spacing w:after="0"/>
            </w:pPr>
            <w:r>
              <w:rPr>
                <w:sz w:val="15"/>
              </w:rPr>
              <w:t>Windowed Herzog C1/C2 union</w:t>
            </w:r>
          </w:p>
        </w:tc>
        <w:tc>
          <w:tcPr>
            <w:tcW w:w="1399" w:type="dxa"/>
            <w:vAlign w:val="center"/>
          </w:tcPr>
          <w:p w14:paraId="36A3FBE7" w14:textId="77777777" w:rsidR="004B250B" w:rsidRDefault="00000000">
            <w:pPr>
              <w:keepLines/>
              <w:spacing w:after="0"/>
            </w:pPr>
            <w:r>
              <w:rPr>
                <w:sz w:val="15"/>
              </w:rPr>
              <w:t>38.0%</w:t>
            </w:r>
          </w:p>
        </w:tc>
        <w:tc>
          <w:tcPr>
            <w:tcW w:w="1399" w:type="dxa"/>
            <w:vAlign w:val="center"/>
          </w:tcPr>
          <w:p w14:paraId="4C0394D9" w14:textId="77777777" w:rsidR="004B250B" w:rsidRDefault="00000000">
            <w:pPr>
              <w:keepLines/>
              <w:spacing w:after="0"/>
            </w:pPr>
            <w:r>
              <w:rPr>
                <w:sz w:val="15"/>
              </w:rPr>
              <w:t>24.0%–52.0%</w:t>
            </w:r>
          </w:p>
        </w:tc>
        <w:tc>
          <w:tcPr>
            <w:tcW w:w="1399" w:type="dxa"/>
            <w:vAlign w:val="center"/>
          </w:tcPr>
          <w:p w14:paraId="4072310F" w14:textId="77777777" w:rsidR="004B250B" w:rsidRDefault="00000000">
            <w:pPr>
              <w:keepLines/>
              <w:spacing w:after="0"/>
            </w:pPr>
            <w:r>
              <w:rPr>
                <w:sz w:val="15"/>
              </w:rPr>
              <w:t>43.0%</w:t>
            </w:r>
          </w:p>
        </w:tc>
        <w:tc>
          <w:tcPr>
            <w:tcW w:w="1399" w:type="dxa"/>
            <w:vAlign w:val="center"/>
          </w:tcPr>
          <w:p w14:paraId="77D0D953" w14:textId="77777777" w:rsidR="004B250B" w:rsidRDefault="00000000">
            <w:pPr>
              <w:keepLines/>
              <w:spacing w:after="0"/>
            </w:pPr>
            <w:r>
              <w:rPr>
                <w:sz w:val="15"/>
              </w:rPr>
              <w:t>15.1%</w:t>
            </w:r>
          </w:p>
        </w:tc>
      </w:tr>
      <w:tr w:rsidR="004B250B" w14:paraId="64B00CDA" w14:textId="77777777">
        <w:trPr>
          <w:jc w:val="center"/>
        </w:trPr>
        <w:tc>
          <w:tcPr>
            <w:tcW w:w="1399" w:type="dxa"/>
            <w:vAlign w:val="center"/>
          </w:tcPr>
          <w:p w14:paraId="607E6FF7" w14:textId="77777777" w:rsidR="004B250B" w:rsidRDefault="004B250B">
            <w:pPr>
              <w:keepLines/>
              <w:spacing w:after="0"/>
            </w:pPr>
          </w:p>
        </w:tc>
        <w:tc>
          <w:tcPr>
            <w:tcW w:w="1399" w:type="dxa"/>
            <w:vAlign w:val="center"/>
          </w:tcPr>
          <w:p w14:paraId="6D9A37D6" w14:textId="77777777" w:rsidR="004B250B" w:rsidRDefault="00000000">
            <w:pPr>
              <w:keepLines/>
              <w:spacing w:after="0"/>
            </w:pPr>
            <w:r>
              <w:rPr>
                <w:sz w:val="15"/>
              </w:rPr>
              <w:t>100</w:t>
            </w:r>
          </w:p>
        </w:tc>
        <w:tc>
          <w:tcPr>
            <w:tcW w:w="1399" w:type="dxa"/>
            <w:vAlign w:val="center"/>
          </w:tcPr>
          <w:p w14:paraId="505CF62A" w14:textId="77777777" w:rsidR="004B250B" w:rsidRDefault="00000000">
            <w:pPr>
              <w:keepLines/>
              <w:spacing w:after="0"/>
            </w:pPr>
            <w:r>
              <w:rPr>
                <w:sz w:val="15"/>
              </w:rPr>
              <w:t>Windowed Herzog thresholds</w:t>
            </w:r>
          </w:p>
        </w:tc>
        <w:tc>
          <w:tcPr>
            <w:tcW w:w="1399" w:type="dxa"/>
            <w:vAlign w:val="center"/>
          </w:tcPr>
          <w:p w14:paraId="195C98FB" w14:textId="77777777" w:rsidR="004B250B" w:rsidRDefault="00000000">
            <w:pPr>
              <w:keepLines/>
              <w:spacing w:after="0"/>
            </w:pPr>
            <w:r>
              <w:rPr>
                <w:sz w:val="15"/>
              </w:rPr>
              <w:t>45.9%</w:t>
            </w:r>
          </w:p>
        </w:tc>
        <w:tc>
          <w:tcPr>
            <w:tcW w:w="1399" w:type="dxa"/>
            <w:vAlign w:val="center"/>
          </w:tcPr>
          <w:p w14:paraId="106581FE" w14:textId="77777777" w:rsidR="004B250B" w:rsidRDefault="00000000">
            <w:pPr>
              <w:keepLines/>
              <w:spacing w:after="0"/>
            </w:pPr>
            <w:r>
              <w:rPr>
                <w:sz w:val="15"/>
              </w:rPr>
              <w:t>36.0%–56.0%</w:t>
            </w:r>
          </w:p>
        </w:tc>
        <w:tc>
          <w:tcPr>
            <w:tcW w:w="1399" w:type="dxa"/>
            <w:vAlign w:val="center"/>
          </w:tcPr>
          <w:p w14:paraId="2138B894" w14:textId="77777777" w:rsidR="004B250B" w:rsidRDefault="00000000">
            <w:pPr>
              <w:keepLines/>
              <w:spacing w:after="0"/>
            </w:pPr>
            <w:r>
              <w:rPr>
                <w:sz w:val="15"/>
              </w:rPr>
              <w:t>90.3%</w:t>
            </w:r>
          </w:p>
        </w:tc>
        <w:tc>
          <w:tcPr>
            <w:tcW w:w="1399" w:type="dxa"/>
            <w:vAlign w:val="center"/>
          </w:tcPr>
          <w:p w14:paraId="180DCE4D" w14:textId="77777777" w:rsidR="004B250B" w:rsidRDefault="00000000">
            <w:pPr>
              <w:keepLines/>
              <w:spacing w:after="0"/>
            </w:pPr>
            <w:r>
              <w:rPr>
                <w:sz w:val="15"/>
              </w:rPr>
              <w:t>60.8%</w:t>
            </w:r>
          </w:p>
        </w:tc>
      </w:tr>
      <w:tr w:rsidR="004B250B" w14:paraId="213C098B" w14:textId="77777777">
        <w:trPr>
          <w:jc w:val="center"/>
        </w:trPr>
        <w:tc>
          <w:tcPr>
            <w:tcW w:w="1399" w:type="dxa"/>
            <w:vAlign w:val="center"/>
          </w:tcPr>
          <w:p w14:paraId="50E9FFD4" w14:textId="77777777" w:rsidR="004B250B" w:rsidRDefault="004B250B">
            <w:pPr>
              <w:keepLines/>
              <w:spacing w:after="0"/>
            </w:pPr>
          </w:p>
        </w:tc>
        <w:tc>
          <w:tcPr>
            <w:tcW w:w="1399" w:type="dxa"/>
            <w:vAlign w:val="center"/>
          </w:tcPr>
          <w:p w14:paraId="3C0852CA" w14:textId="77777777" w:rsidR="004B250B" w:rsidRDefault="00000000">
            <w:pPr>
              <w:keepLines/>
              <w:spacing w:after="0"/>
            </w:pPr>
            <w:r>
              <w:rPr>
                <w:sz w:val="15"/>
              </w:rPr>
              <w:t>100</w:t>
            </w:r>
          </w:p>
        </w:tc>
        <w:tc>
          <w:tcPr>
            <w:tcW w:w="1399" w:type="dxa"/>
            <w:vAlign w:val="center"/>
          </w:tcPr>
          <w:p w14:paraId="265CE301" w14:textId="77777777" w:rsidR="004B250B" w:rsidRDefault="00000000">
            <w:pPr>
              <w:keepLines/>
              <w:spacing w:after="0"/>
            </w:pPr>
            <w:r>
              <w:rPr>
                <w:sz w:val="15"/>
              </w:rPr>
              <w:t>Windowed Herzog C1/C2 union</w:t>
            </w:r>
          </w:p>
        </w:tc>
        <w:tc>
          <w:tcPr>
            <w:tcW w:w="1399" w:type="dxa"/>
            <w:vAlign w:val="center"/>
          </w:tcPr>
          <w:p w14:paraId="547D6C1D" w14:textId="77777777" w:rsidR="004B250B" w:rsidRDefault="00000000">
            <w:pPr>
              <w:keepLines/>
              <w:spacing w:after="0"/>
            </w:pPr>
            <w:r>
              <w:rPr>
                <w:sz w:val="15"/>
              </w:rPr>
              <w:t>37.8%</w:t>
            </w:r>
          </w:p>
        </w:tc>
        <w:tc>
          <w:tcPr>
            <w:tcW w:w="1399" w:type="dxa"/>
            <w:vAlign w:val="center"/>
          </w:tcPr>
          <w:p w14:paraId="6AA96AB3" w14:textId="77777777" w:rsidR="004B250B" w:rsidRDefault="00000000">
            <w:pPr>
              <w:keepLines/>
              <w:spacing w:after="0"/>
            </w:pPr>
            <w:r>
              <w:rPr>
                <w:sz w:val="15"/>
              </w:rPr>
              <w:t>29.0%–48.0%</w:t>
            </w:r>
          </w:p>
        </w:tc>
        <w:tc>
          <w:tcPr>
            <w:tcW w:w="1399" w:type="dxa"/>
            <w:vAlign w:val="center"/>
          </w:tcPr>
          <w:p w14:paraId="006F50E3" w14:textId="77777777" w:rsidR="004B250B" w:rsidRDefault="00000000">
            <w:pPr>
              <w:keepLines/>
              <w:spacing w:after="0"/>
            </w:pPr>
            <w:r>
              <w:rPr>
                <w:sz w:val="15"/>
              </w:rPr>
              <w:t>36.0%</w:t>
            </w:r>
          </w:p>
        </w:tc>
        <w:tc>
          <w:tcPr>
            <w:tcW w:w="1399" w:type="dxa"/>
            <w:vAlign w:val="center"/>
          </w:tcPr>
          <w:p w14:paraId="497ED19B" w14:textId="77777777" w:rsidR="004B250B" w:rsidRDefault="00000000">
            <w:pPr>
              <w:keepLines/>
              <w:spacing w:after="0"/>
            </w:pPr>
            <w:r>
              <w:rPr>
                <w:sz w:val="15"/>
              </w:rPr>
              <w:t>8.5%</w:t>
            </w:r>
          </w:p>
        </w:tc>
      </w:tr>
    </w:tbl>
    <w:p w14:paraId="1746DD75" w14:textId="77777777" w:rsidR="004B250B" w:rsidRDefault="004B250B">
      <w:pPr>
        <w:spacing w:after="0"/>
      </w:pPr>
    </w:p>
    <w:p w14:paraId="14AAA1AE" w14:textId="77777777" w:rsidR="004B250B" w:rsidRDefault="00000000">
      <w:pPr>
        <w:pStyle w:val="TableNote"/>
      </w:pPr>
      <w:r>
        <w:rPr>
          <w:b/>
        </w:rPr>
        <w:t xml:space="preserve">Note. </w:t>
      </w:r>
      <w:r>
        <w:t>Each row summarizes 10,000 simulated studies using one random valid 3-month window per selected participant. Ranges are empirical percentiles across simulated studies, not confidence intervals. The 39.1% benchmark is aligned with the Herzog 2004 three-cycle/two-of-three rule; 44.2% is the reported NIH Progesterone Trial proportion.</w:t>
      </w:r>
    </w:p>
    <w:p w14:paraId="71095152" w14:textId="77777777" w:rsidR="004B250B" w:rsidRDefault="00000000">
      <w:r>
        <w:br w:type="page"/>
      </w:r>
    </w:p>
    <w:p w14:paraId="0D81B113" w14:textId="77777777" w:rsidR="004B250B" w:rsidRDefault="00000000">
      <w:pPr>
        <w:pStyle w:val="Heading1"/>
      </w:pPr>
      <w:r>
        <w:lastRenderedPageBreak/>
        <w:t>Figure Legends and Figures</w:t>
      </w:r>
    </w:p>
    <w:p w14:paraId="4372EA2A" w14:textId="77777777" w:rsidR="004B250B" w:rsidRDefault="00000000">
      <w:pPr>
        <w:keepNext/>
      </w:pPr>
      <w:r>
        <w:rPr>
          <w:b/>
          <w:sz w:val="18"/>
        </w:rPr>
        <w:t>Figure 1. False-positive rates by length of observation window. Bars show the percentage of classifiable calendar-window participant-windows classified by strict Herzog phase labeling under independence. The dashed 5% line is a visual reference to the prespecified regression Type I error rate; it is not an expected target for the Herzog ratio rules.</w:t>
      </w:r>
    </w:p>
    <w:p w14:paraId="2A8E12F1" w14:textId="77777777" w:rsidR="004B250B" w:rsidRDefault="00000000">
      <w:pPr>
        <w:jc w:val="center"/>
      </w:pPr>
      <w:r>
        <w:rPr>
          <w:noProof/>
        </w:rPr>
        <w:drawing>
          <wp:inline distT="0" distB="0" distL="0" distR="0" wp14:anchorId="00391531" wp14:editId="28EEAA08">
            <wp:extent cx="6126480" cy="2298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alse_positive_by_window_v5.png"/>
                    <pic:cNvPicPr/>
                  </pic:nvPicPr>
                  <pic:blipFill>
                    <a:blip r:embed="rId8"/>
                    <a:stretch>
                      <a:fillRect/>
                    </a:stretch>
                  </pic:blipFill>
                  <pic:spPr>
                    <a:xfrm>
                      <a:off x="0" y="0"/>
                      <a:ext cx="6126480" cy="2298015"/>
                    </a:xfrm>
                    <a:prstGeom prst="rect">
                      <a:avLst/>
                    </a:prstGeom>
                  </pic:spPr>
                </pic:pic>
              </a:graphicData>
            </a:graphic>
          </wp:inline>
        </w:drawing>
      </w:r>
    </w:p>
    <w:p w14:paraId="27797E8B" w14:textId="77777777" w:rsidR="004B250B" w:rsidRDefault="00000000">
      <w:pPr>
        <w:keepNext/>
      </w:pPr>
      <w:r>
        <w:rPr>
          <w:b/>
          <w:sz w:val="18"/>
        </w:rPr>
        <w:t>Figure 2. Pattern decomposition of false-positive catamenial classifications. Stacked bars show mutually exclusive participant-window categories in 36-month strict-Herzog windows. Percentages use all attempted windows. C3 is not applicable in the healthy ovulatory cohort; zero-height C3 segments there are not measured zero rates.</w:t>
      </w:r>
    </w:p>
    <w:p w14:paraId="7AF86FE9" w14:textId="77777777" w:rsidR="004B250B" w:rsidRDefault="00000000">
      <w:pPr>
        <w:jc w:val="center"/>
      </w:pPr>
      <w:r>
        <w:rPr>
          <w:noProof/>
        </w:rPr>
        <w:drawing>
          <wp:inline distT="0" distB="0" distL="0" distR="0" wp14:anchorId="66FDB558" wp14:editId="2E22E14A">
            <wp:extent cx="6126480" cy="39497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ttern_decomposition_v5.png"/>
                    <pic:cNvPicPr/>
                  </pic:nvPicPr>
                  <pic:blipFill>
                    <a:blip r:embed="rId9"/>
                    <a:stretch>
                      <a:fillRect/>
                    </a:stretch>
                  </pic:blipFill>
                  <pic:spPr>
                    <a:xfrm>
                      <a:off x="0" y="0"/>
                      <a:ext cx="6126480" cy="3949714"/>
                    </a:xfrm>
                    <a:prstGeom prst="rect">
                      <a:avLst/>
                    </a:prstGeom>
                  </pic:spPr>
                </pic:pic>
              </a:graphicData>
            </a:graphic>
          </wp:inline>
        </w:drawing>
      </w:r>
    </w:p>
    <w:p w14:paraId="27EA408C" w14:textId="77777777" w:rsidR="004B250B" w:rsidRDefault="00000000">
      <w:pPr>
        <w:keepNext/>
      </w:pPr>
      <w:r>
        <w:rPr>
          <w:b/>
          <w:sz w:val="18"/>
        </w:rPr>
        <w:lastRenderedPageBreak/>
        <w:t>Figure 3. False-positive prevalence in simulated 3-month studies. Distributions show apparent prevalence in 10,000 studies using strict-Herzog windowed thresholds for n=30, 50, and 100. Vertical lines mark the historical 39.1% and 44.2% benchmarks.</w:t>
      </w:r>
    </w:p>
    <w:p w14:paraId="60BAFAEC" w14:textId="77777777" w:rsidR="004B250B" w:rsidRDefault="00000000">
      <w:pPr>
        <w:jc w:val="center"/>
      </w:pPr>
      <w:r>
        <w:rPr>
          <w:noProof/>
        </w:rPr>
        <w:drawing>
          <wp:inline distT="0" distB="0" distL="0" distR="0" wp14:anchorId="0B299214" wp14:editId="54D5B399">
            <wp:extent cx="6126480" cy="23979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6126480" cy="2397903"/>
                    </a:xfrm>
                    <a:prstGeom prst="rect">
                      <a:avLst/>
                    </a:prstGeom>
                  </pic:spPr>
                </pic:pic>
              </a:graphicData>
            </a:graphic>
          </wp:inline>
        </w:drawing>
      </w:r>
    </w:p>
    <w:sectPr w:rsidR="004B250B" w:rsidSect="00034616">
      <w:headerReference w:type="default" r:id="rId11"/>
      <w:footerReference w:type="default" r:id="rId12"/>
      <w:pgSz w:w="12240" w:h="15840"/>
      <w:pgMar w:top="1080" w:right="1224" w:bottom="1080" w:left="1224"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6E072D" w14:textId="77777777" w:rsidR="00852DEF" w:rsidRDefault="00852DEF">
      <w:pPr>
        <w:spacing w:line="240" w:lineRule="auto"/>
      </w:pPr>
      <w:r>
        <w:separator/>
      </w:r>
    </w:p>
  </w:endnote>
  <w:endnote w:type="continuationSeparator" w:id="0">
    <w:p w14:paraId="66513CA3" w14:textId="77777777" w:rsidR="00852DEF" w:rsidRDefault="00852D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8223CD" w14:textId="77777777" w:rsidR="004B250B" w:rsidRDefault="00000000">
    <w:pPr>
      <w:pStyle w:val="Footer"/>
      <w:jc w:val="right"/>
    </w:pPr>
    <w:r>
      <w:fldChar w:fldCharType="begin"/>
    </w:r>
    <w:r>
      <w:instrText xml:space="preserve"> PAGE </w:instrText>
    </w:r>
    <w:r>
      <w:fldChar w:fldCharType="separate"/>
    </w:r>
    <w:r w:rsidR="00053C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8F6158" w14:textId="77777777" w:rsidR="00852DEF" w:rsidRDefault="00852DEF">
      <w:pPr>
        <w:spacing w:line="240" w:lineRule="auto"/>
      </w:pPr>
      <w:r>
        <w:separator/>
      </w:r>
    </w:p>
  </w:footnote>
  <w:footnote w:type="continuationSeparator" w:id="0">
    <w:p w14:paraId="6F8DE6AA" w14:textId="77777777" w:rsidR="00852DEF" w:rsidRDefault="00852D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CDA404"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3615679">
    <w:abstractNumId w:val="8"/>
  </w:num>
  <w:num w:numId="2" w16cid:durableId="1893343724">
    <w:abstractNumId w:val="6"/>
  </w:num>
  <w:num w:numId="3" w16cid:durableId="2022856732">
    <w:abstractNumId w:val="5"/>
  </w:num>
  <w:num w:numId="4" w16cid:durableId="319115374">
    <w:abstractNumId w:val="4"/>
  </w:num>
  <w:num w:numId="5" w16cid:durableId="418796325">
    <w:abstractNumId w:val="7"/>
  </w:num>
  <w:num w:numId="6" w16cid:durableId="1635018121">
    <w:abstractNumId w:val="3"/>
  </w:num>
  <w:num w:numId="7" w16cid:durableId="1552113819">
    <w:abstractNumId w:val="2"/>
  </w:num>
  <w:num w:numId="8" w16cid:durableId="297732597">
    <w:abstractNumId w:val="1"/>
  </w:num>
  <w:num w:numId="9" w16cid:durableId="9180591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E29"/>
    <w:rsid w:val="00003413"/>
    <w:rsid w:val="000140A6"/>
    <w:rsid w:val="00034616"/>
    <w:rsid w:val="00035C0E"/>
    <w:rsid w:val="00053CE4"/>
    <w:rsid w:val="0006063C"/>
    <w:rsid w:val="000C6639"/>
    <w:rsid w:val="000C7F3A"/>
    <w:rsid w:val="000D4174"/>
    <w:rsid w:val="000D76B7"/>
    <w:rsid w:val="000E14BB"/>
    <w:rsid w:val="00122398"/>
    <w:rsid w:val="00124921"/>
    <w:rsid w:val="001343AF"/>
    <w:rsid w:val="001441D1"/>
    <w:rsid w:val="0015074B"/>
    <w:rsid w:val="001515C8"/>
    <w:rsid w:val="00162362"/>
    <w:rsid w:val="001661A1"/>
    <w:rsid w:val="00171C99"/>
    <w:rsid w:val="00171DB7"/>
    <w:rsid w:val="00181CFA"/>
    <w:rsid w:val="00187F55"/>
    <w:rsid w:val="00192EC0"/>
    <w:rsid w:val="001E7C9B"/>
    <w:rsid w:val="002214F1"/>
    <w:rsid w:val="002241AD"/>
    <w:rsid w:val="00245DC0"/>
    <w:rsid w:val="002468DF"/>
    <w:rsid w:val="00252310"/>
    <w:rsid w:val="00264E07"/>
    <w:rsid w:val="00273C26"/>
    <w:rsid w:val="002752EA"/>
    <w:rsid w:val="0029061E"/>
    <w:rsid w:val="00291B8A"/>
    <w:rsid w:val="0029639D"/>
    <w:rsid w:val="002B084B"/>
    <w:rsid w:val="002B448D"/>
    <w:rsid w:val="0031215A"/>
    <w:rsid w:val="00326F90"/>
    <w:rsid w:val="003470BE"/>
    <w:rsid w:val="00393AE2"/>
    <w:rsid w:val="003A1FE9"/>
    <w:rsid w:val="003A6960"/>
    <w:rsid w:val="004034AC"/>
    <w:rsid w:val="004317BD"/>
    <w:rsid w:val="004370B3"/>
    <w:rsid w:val="00461591"/>
    <w:rsid w:val="00462B1A"/>
    <w:rsid w:val="004A4F3D"/>
    <w:rsid w:val="004A6B28"/>
    <w:rsid w:val="004B250B"/>
    <w:rsid w:val="004D5618"/>
    <w:rsid w:val="004E0820"/>
    <w:rsid w:val="00527A3D"/>
    <w:rsid w:val="00550220"/>
    <w:rsid w:val="0055574E"/>
    <w:rsid w:val="005561B0"/>
    <w:rsid w:val="00584202"/>
    <w:rsid w:val="00596135"/>
    <w:rsid w:val="005D2486"/>
    <w:rsid w:val="005D648A"/>
    <w:rsid w:val="00695D97"/>
    <w:rsid w:val="006A3065"/>
    <w:rsid w:val="006A5650"/>
    <w:rsid w:val="006A7C0E"/>
    <w:rsid w:val="006F223B"/>
    <w:rsid w:val="006F2A3B"/>
    <w:rsid w:val="007073D1"/>
    <w:rsid w:val="00721572"/>
    <w:rsid w:val="00734262"/>
    <w:rsid w:val="0074441A"/>
    <w:rsid w:val="00766F8D"/>
    <w:rsid w:val="00793F4A"/>
    <w:rsid w:val="007D2872"/>
    <w:rsid w:val="007E1DA8"/>
    <w:rsid w:val="007E4B9C"/>
    <w:rsid w:val="007E64D8"/>
    <w:rsid w:val="00806295"/>
    <w:rsid w:val="00852DEF"/>
    <w:rsid w:val="00887623"/>
    <w:rsid w:val="008B766C"/>
    <w:rsid w:val="008E4D89"/>
    <w:rsid w:val="008F2692"/>
    <w:rsid w:val="009076FA"/>
    <w:rsid w:val="009325E3"/>
    <w:rsid w:val="009326FD"/>
    <w:rsid w:val="00932BEC"/>
    <w:rsid w:val="0093491F"/>
    <w:rsid w:val="00957D92"/>
    <w:rsid w:val="0098476B"/>
    <w:rsid w:val="009B00D6"/>
    <w:rsid w:val="009C7826"/>
    <w:rsid w:val="00A10598"/>
    <w:rsid w:val="00A22A73"/>
    <w:rsid w:val="00A65778"/>
    <w:rsid w:val="00AA1D8D"/>
    <w:rsid w:val="00AB7D70"/>
    <w:rsid w:val="00AC6858"/>
    <w:rsid w:val="00AD7D3C"/>
    <w:rsid w:val="00B0051E"/>
    <w:rsid w:val="00B033F7"/>
    <w:rsid w:val="00B248FE"/>
    <w:rsid w:val="00B25F86"/>
    <w:rsid w:val="00B35E5A"/>
    <w:rsid w:val="00B41555"/>
    <w:rsid w:val="00B47730"/>
    <w:rsid w:val="00B80FB5"/>
    <w:rsid w:val="00B9378A"/>
    <w:rsid w:val="00B972AA"/>
    <w:rsid w:val="00BA1FAB"/>
    <w:rsid w:val="00BA4574"/>
    <w:rsid w:val="00BA6609"/>
    <w:rsid w:val="00BC3FF5"/>
    <w:rsid w:val="00C223E7"/>
    <w:rsid w:val="00C3706C"/>
    <w:rsid w:val="00C406D1"/>
    <w:rsid w:val="00C460D2"/>
    <w:rsid w:val="00C94F0B"/>
    <w:rsid w:val="00CA5AF3"/>
    <w:rsid w:val="00CB0664"/>
    <w:rsid w:val="00CB1F27"/>
    <w:rsid w:val="00CB29DC"/>
    <w:rsid w:val="00CC486E"/>
    <w:rsid w:val="00D62C09"/>
    <w:rsid w:val="00D8577D"/>
    <w:rsid w:val="00D874AD"/>
    <w:rsid w:val="00DA0C79"/>
    <w:rsid w:val="00DA5F04"/>
    <w:rsid w:val="00DB69EF"/>
    <w:rsid w:val="00DF21FC"/>
    <w:rsid w:val="00E24A71"/>
    <w:rsid w:val="00E30C79"/>
    <w:rsid w:val="00E33554"/>
    <w:rsid w:val="00E55EDA"/>
    <w:rsid w:val="00E85A09"/>
    <w:rsid w:val="00E92E41"/>
    <w:rsid w:val="00EA795B"/>
    <w:rsid w:val="00EB299D"/>
    <w:rsid w:val="00EB4125"/>
    <w:rsid w:val="00F2119F"/>
    <w:rsid w:val="00F31434"/>
    <w:rsid w:val="00F416AF"/>
    <w:rsid w:val="00F503D2"/>
    <w:rsid w:val="00F527C8"/>
    <w:rsid w:val="00F65C16"/>
    <w:rsid w:val="00F90B97"/>
    <w:rsid w:val="00F931F3"/>
    <w:rsid w:val="00F96D75"/>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AB3488"/>
  <w14:defaultImageDpi w14:val="300"/>
  <w15:docId w15:val="{AC9E39F1-F212-8F4A-8775-547A5DEF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 w:type="paragraph" w:styleId="Bibliography">
    <w:name w:val="Bibliography"/>
    <w:basedOn w:val="Normal"/>
    <w:next w:val="Normal"/>
    <w:uiPriority w:val="37"/>
    <w:unhideWhenUsed/>
    <w:rsid w:val="00E24A71"/>
    <w:pPr>
      <w:tabs>
        <w:tab w:val="left" w:pos="500"/>
      </w:tabs>
      <w:spacing w:after="24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79</TotalTime>
  <Pages>12</Pages>
  <Words>7478</Words>
  <Characters>42626</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False Positive Catamenial Epilepsy Classification: A Simulation Study</vt:lpstr>
    </vt:vector>
  </TitlesOfParts>
  <Manager/>
  <Company/>
  <LinksUpToDate>false</LinksUpToDate>
  <CharactersWithSpaces>50004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False Positive Catamenial Epilepsy Classification: A Simulation Study</dc:title>
  <dc:subject>False-positive catamenial epilepsy classification under simulated independence</dc:subject>
  <dc:creator>Daniel M. Goldenholz et al.</dc:creator>
  <cp:keywords>catamenial epilepsy, seizure diary, menstrual cycle, simulation</cp:keywords>
  <dc:description>generated by python-docx</dc:description>
  <cp:lastModifiedBy>Goldenholz, Daniel M (HMFP - Neurology )</cp:lastModifiedBy>
  <cp:revision>27</cp:revision>
  <dcterms:created xsi:type="dcterms:W3CDTF">2026-07-25T11:50:00Z</dcterms:created>
  <dcterms:modified xsi:type="dcterms:W3CDTF">2026-07-30T20:52:00Z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id="DDpmQ3BF"/&gt;&lt;style id="http://www.zotero.org/styles/epilepsia" locale="en-US" hasBibliography="1" bibliographyStyleHasBeenSet="1"/&gt;&lt;prefs&gt;&lt;pref name="fieldType" value="Field"/&gt;&lt;/prefs&gt;&lt;/data&gt;</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ies>
</file>