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FA4608" w14:textId="77777777" w:rsidR="004B250B" w:rsidRDefault="00000000">
      <w:pPr>
        <w:pStyle w:val="Title"/>
        <w:jc w:val="center"/>
      </w:pPr>
      <w:r>
        <w:t>False Positive Catamenial Epilepsy Classification: A Simulation Study</w:t>
      </w:r>
    </w:p>
    <w:p w14:paraId="6F5D9125" w14:textId="77777777" w:rsidR="004B250B" w:rsidRDefault="00000000">
      <w:pPr>
        <w:jc w:val="center"/>
      </w:pPr>
      <w:r>
        <w:rPr>
          <w:b/>
        </w:rPr>
        <w:t>Research Article</w:t>
      </w:r>
    </w:p>
    <w:p w14:paraId="73963C63" w14:textId="77777777" w:rsidR="004B250B" w:rsidRDefault="00000000">
      <w:pPr>
        <w:jc w:val="center"/>
      </w:pPr>
      <w:r>
        <w:t>Daniel M. Goldenholz, MD, PhD¹; Wesley T. Kerr, MD, PhD²˒³˒⁴; Sharon Chiang, MD, PhD⁵; M. Brandon Westover, MD, PhD⁶; Rachael L. Sumner, PhD⁷˒⁸</w:t>
      </w:r>
    </w:p>
    <w:p w14:paraId="65979D38" w14:textId="77777777" w:rsidR="004B250B" w:rsidRDefault="00000000">
      <w:pPr>
        <w:jc w:val="center"/>
      </w:pPr>
      <w:r>
        <w:t>Author emails and ORCID iDs: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047765E8" w14:textId="77777777" w:rsidR="004B250B" w:rsidRDefault="00000000">
      <w:r>
        <w:t>¹ Department of Neurology, Beth Israel Deaconess Medical Center, Harvard Medical School, Boston, Massachusetts, USA</w:t>
      </w:r>
    </w:p>
    <w:p w14:paraId="738D32B8" w14:textId="77777777" w:rsidR="004B250B" w:rsidRDefault="00000000">
      <w:r>
        <w:t>² Department of Neurology, University of Pittsburgh, Pittsburgh, Pennsylvania, USA</w:t>
      </w:r>
    </w:p>
    <w:p w14:paraId="0ADFBAF4" w14:textId="77777777" w:rsidR="004B250B" w:rsidRDefault="00000000">
      <w:r>
        <w:t>³ Department of Biomedical Informatics, University of Pittsburgh, Pittsburgh, Pennsylvania, USA</w:t>
      </w:r>
    </w:p>
    <w:p w14:paraId="4413CABA" w14:textId="77777777" w:rsidR="004B250B" w:rsidRDefault="00000000">
      <w:r>
        <w:t>⁴ Department of Psychiatry, University of Pittsburgh, Pittsburgh, Pennsylvania, USA</w:t>
      </w:r>
    </w:p>
    <w:p w14:paraId="4655223A" w14:textId="77777777" w:rsidR="004B250B" w:rsidRDefault="00000000">
      <w:r>
        <w:t>⁵ Department of Neurology and Weill Institute for Neurosciences, University of California, San Francisco, San Francisco, California, USA</w:t>
      </w:r>
    </w:p>
    <w:p w14:paraId="4B0EF10C" w14:textId="77777777" w:rsidR="004B250B" w:rsidRDefault="00000000">
      <w:r>
        <w:t>⁶ Department of Neurology and Neurological Sciences, Stanford University School of Medicine, Stanford, California, USA</w:t>
      </w:r>
    </w:p>
    <w:p w14:paraId="17423B5E" w14:textId="77777777" w:rsidR="004B250B" w:rsidRDefault="00000000">
      <w:r>
        <w:t>⁷ Department of Biomedicine and Medical Diagnostics, Auckland University of Technology, Auckland, New Zealand</w:t>
      </w:r>
    </w:p>
    <w:p w14:paraId="62EC4F1A" w14:textId="77777777" w:rsidR="004B250B" w:rsidRDefault="00000000">
      <w:r>
        <w:t>⁸ School of Pharmacy, University of Auckland, Auckland, New Zealand</w:t>
      </w:r>
    </w:p>
    <w:p w14:paraId="1EA37D00" w14:textId="77777777"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00FF39B4" w14:textId="77777777" w:rsidR="004B250B" w:rsidRDefault="00000000">
      <w:r>
        <w:rPr>
          <w:b/>
        </w:rPr>
        <w:t xml:space="preserve">Running title: </w:t>
      </w:r>
      <w:r>
        <w:t>False Positive Catamenial Classification</w:t>
      </w:r>
    </w:p>
    <w:p w14:paraId="5A55538E" w14:textId="77777777" w:rsidR="004B250B" w:rsidRDefault="00000000">
      <w:r>
        <w:rPr>
          <w:b/>
        </w:rPr>
        <w:t xml:space="preserve">Title character count (including spaces): </w:t>
      </w:r>
      <w:r>
        <w:t>69</w:t>
      </w:r>
    </w:p>
    <w:p w14:paraId="16734C07" w14:textId="77777777" w:rsidR="004B250B" w:rsidRDefault="00000000">
      <w:r>
        <w:t>Abstract word count: 221</w:t>
      </w:r>
    </w:p>
    <w:p w14:paraId="60385486" w14:textId="77777777" w:rsidR="004B250B" w:rsidRDefault="00000000">
      <w:r>
        <w:t>Main-text word count (Introduction through Discussion, including headings): 2725</w:t>
      </w:r>
    </w:p>
    <w:p w14:paraId="6C0F8A6B" w14:textId="77777777" w:rsidR="004B250B" w:rsidRDefault="00000000">
      <w:r>
        <w:t>References: 20</w:t>
      </w:r>
    </w:p>
    <w:p w14:paraId="2B3E20BC" w14:textId="77777777" w:rsidR="004B250B" w:rsidRDefault="00000000">
      <w:r>
        <w:rPr>
          <w:b/>
        </w:rPr>
        <w:t xml:space="preserve">Main tables / figures: </w:t>
      </w:r>
      <w:r>
        <w:t>3 / 3 (6 combined)</w:t>
      </w:r>
    </w:p>
    <w:p w14:paraId="097A9B80" w14:textId="77777777" w:rsidR="004B250B" w:rsidRDefault="00000000">
      <w:r>
        <w:t>Supporting information: Appendix S1; Appendix Tables A1–A8 and Figures A1–A4; Tables S1–S8 and Figures S1–S5</w:t>
      </w:r>
    </w:p>
    <w:p w14:paraId="3FAC30C0" w14:textId="77777777" w:rsidR="004B250B" w:rsidRDefault="00000000">
      <w:r>
        <w:br w:type="page"/>
      </w:r>
    </w:p>
    <w:p w14:paraId="4BD718E1" w14:textId="77777777" w:rsidR="004B250B" w:rsidRDefault="00000000">
      <w:pPr>
        <w:pStyle w:val="Heading1"/>
      </w:pPr>
      <w:r>
        <w:lastRenderedPageBreak/>
        <w:t>Abstract</w:t>
      </w:r>
    </w:p>
    <w:p w14:paraId="15E2557E" w14:textId="77777777"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26F68FE0" w14:textId="41600A48" w:rsidR="004B250B" w:rsidRDefault="00000000">
      <w:r>
        <w:t xml:space="preserve">Methods: We simulated 100,000 synthetic participants for 36 months in healthy ovulatory and heterogeneously ovulatory menstruating-age cohorts. CHOCOLATES generated seizure diaries, and HORMONE-CYCLE independently generated menstrual and hormone diaries; diaries were aligned by calendar day. </w:t>
      </w:r>
      <w:r w:rsidR="00782623">
        <w:t xml:space="preserve">A healthy ovulatory cohort (healthy-cycle) and heterogeneous cohort were separately evaluated. </w:t>
      </w:r>
      <w:r>
        <w:t>We applied</w:t>
      </w:r>
      <w:r w:rsidR="00782623">
        <w:t xml:space="preserve"> standard </w:t>
      </w:r>
      <w:r>
        <w:t xml:space="preserve">phase definitions and </w:t>
      </w:r>
      <w:r w:rsidR="00782623">
        <w:t xml:space="preserve">hormone </w:t>
      </w:r>
      <w:r>
        <w:t>pattern-specific seizure-frequency ratio thresholds across calendar, complete-cycle, and full-diary windows. A negative-binomial analysis was used as a statistical calibration check.</w:t>
      </w:r>
    </w:p>
    <w:p w14:paraId="5BFA5AB1" w14:textId="54F76C41" w:rsidR="004B250B" w:rsidRPr="009F30D2" w:rsidRDefault="00000000">
      <w:r>
        <w:t xml:space="preserve">Results: Three-month false-positive rates were 41.6% </w:t>
      </w:r>
      <w:r w:rsidR="00782623">
        <w:t>(health cohort) (</w:t>
      </w:r>
      <w:r>
        <w:t xml:space="preserve">and 50.9% </w:t>
      </w:r>
      <w:r w:rsidR="00782623">
        <w:t>(</w:t>
      </w:r>
      <w:r>
        <w:t>heterogeneous cohort</w:t>
      </w:r>
      <w:r w:rsidR="00782623">
        <w:t>)</w:t>
      </w:r>
      <w:r>
        <w:t xml:space="preserve">. In 36-month windows, CE was classified in 11.4% </w:t>
      </w:r>
      <w:r w:rsidR="00782623">
        <w:t xml:space="preserve">(healthy cohort) </w:t>
      </w:r>
      <w:r>
        <w:t>and 35.9%</w:t>
      </w:r>
      <w:r w:rsidR="00782623">
        <w:t xml:space="preserve"> (heterogeneous cohort)</w:t>
      </w:r>
      <w:r>
        <w:t>. In the heterogeneous cohort, the C1/C2 rate was 11.6%, whereas C3 occurred in 37.1% of applicable windows. C1/C2 negative-binomial rates were 4.3% and 4.3%; the exploratory C3 model was positive in 6.1% of classifiable audit participants (95% confidence interval, 3.5%–10.3%).</w:t>
      </w:r>
    </w:p>
    <w:p w14:paraId="2E761BBB" w14:textId="77777777" w:rsidR="004B250B" w:rsidRDefault="00000000" w:rsidP="00D00F04">
      <w:r>
        <w:t>Significance: False-positive CE classification is common when independent seizure and menstrual-cycle simulations are overlaid, particularly for heterogeneous cycles when C3 logic is used. Population, observation duration, phase definitions, and minimum-data rules materially affect results and should be reported explicitly.</w:t>
      </w:r>
    </w:p>
    <w:p w14:paraId="0412B033" w14:textId="77777777" w:rsidR="004B250B" w:rsidRDefault="00000000">
      <w:r>
        <w:rPr>
          <w:b/>
        </w:rPr>
        <w:t xml:space="preserve">Keywords: </w:t>
      </w:r>
      <w:r>
        <w:t>catamenial epilepsy; false-positive classification; menstrual cycle; seizure diary; simulation</w:t>
      </w:r>
    </w:p>
    <w:p w14:paraId="5BFE5125" w14:textId="77777777" w:rsidR="004B250B" w:rsidRDefault="00000000">
      <w:pPr>
        <w:pStyle w:val="Heading1"/>
      </w:pPr>
      <w:r>
        <w:t>Key Points</w:t>
      </w:r>
    </w:p>
    <w:p w14:paraId="16F14953" w14:textId="3300CAD6" w:rsidR="00D00F04" w:rsidRDefault="00000000" w:rsidP="00637F0C">
      <w:pPr>
        <w:pStyle w:val="ListBullet"/>
      </w:pPr>
      <w:r>
        <w:t>Despite independence, 36-month Herzog false-positive rates were 11.4% in healthy-ovulatory and 35.9% in heterogeneous cohorts.</w:t>
      </w:r>
    </w:p>
    <w:p w14:paraId="4196A45B" w14:textId="77777777" w:rsidR="004B250B" w:rsidRDefault="00000000">
      <w:pPr>
        <w:pStyle w:val="ListBullet"/>
      </w:pPr>
      <w:r>
        <w:t>The heterogeneous-cohort excess was primarily C3/inadequate-luteal-phase driven; full-diary C1/C2 rates were similar between cohorts.</w:t>
      </w:r>
    </w:p>
    <w:p w14:paraId="4B2C2188" w14:textId="77777777" w:rsidR="004B250B" w:rsidRDefault="00000000">
      <w:pPr>
        <w:pStyle w:val="ListBullet"/>
      </w:pPr>
      <w:r>
        <w:t>Three-month observation windows produced substantially higher false-positive classification than longer monitoring.</w:t>
      </w:r>
    </w:p>
    <w:p w14:paraId="770F3C83" w14:textId="77777777" w:rsidR="00D00F04" w:rsidRDefault="00D00F04">
      <w:pPr>
        <w:pStyle w:val="ListBullet"/>
      </w:pPr>
      <w:r>
        <w:t>Report the phase, its temporal definition, the comparison method, and prespecified minimum-data requirements.</w:t>
      </w:r>
    </w:p>
    <w:p w14:paraId="4CFCCD2E" w14:textId="77777777" w:rsidR="004B250B" w:rsidRDefault="00000000">
      <w:pPr>
        <w:pStyle w:val="Heading1"/>
      </w:pPr>
      <w:r>
        <w:t>Introduction</w:t>
      </w:r>
    </w:p>
    <w:p w14:paraId="19584843" w14:textId="37B7F58C"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r w:rsidR="00BA66A5">
        <w:t>the most often reported since formulated by Herzog and colleagues</w:t>
      </w:r>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r w:rsidR="00BA66A5">
        <w:t>. However,</w:t>
      </w:r>
      <w:r>
        <w:t xml:space="preserve"> reported prevalence </w:t>
      </w:r>
      <w:r w:rsidR="00BA66A5">
        <w:t xml:space="preserve">of CE </w:t>
      </w:r>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r w:rsidR="00BA66A5">
        <w:t xml:space="preserve"> </w:t>
      </w:r>
    </w:p>
    <w:p w14:paraId="1FA48133" w14:textId="501DE5EB"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r w:rsidR="00D54B26">
        <w:t>S</w:t>
      </w:r>
      <w:r w:rsidR="00E55EDA">
        <w:t xml:space="preserve">uch chance occurrences </w:t>
      </w:r>
      <w:r w:rsidR="00D54B26">
        <w:t>represent</w:t>
      </w:r>
      <w:r w:rsidR="00E55EDA">
        <w:t xml:space="preserve"> </w:t>
      </w:r>
      <w:r w:rsidR="00252310" w:rsidRPr="00252310">
        <w:rPr>
          <w:i/>
          <w:iCs/>
        </w:rPr>
        <w:t>false-positive classification</w:t>
      </w:r>
      <w:r w:rsidR="00D54B26">
        <w:rPr>
          <w:i/>
          <w:iCs/>
        </w:rPr>
        <w:t>s of CE</w:t>
      </w:r>
      <w:r w:rsidR="00E55EDA">
        <w:t xml:space="preserve">. </w:t>
      </w:r>
      <w:r>
        <w:t>Ratio definitions are especially vulnerable with sparse events: a small comparator count can yield a large or undefined ratio.</w:t>
      </w:r>
      <w:r w:rsidR="00766F8D">
        <w:fldChar w:fldCharType="begin"/>
      </w:r>
      <w:r w:rsidR="007118BA">
        <w:instrText xml:space="preserve"> ADDIN ZOTERO_ITEM CSL_CITATION {"citationID":"HLOrXBzB","properties":{"unsorted":false,"formattedCitation":"\\super 3\\uc0\\u8211{}5\\nosupersub{}","plainCitation":"3–5","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118BA" w:rsidRPr="007118BA">
        <w:rPr>
          <w:rFonts w:eastAsiaTheme="minorEastAsia" w:cs="Times New Roman"/>
          <w:szCs w:val="24"/>
          <w:vertAlign w:val="superscript"/>
        </w:rPr>
        <w:t>3–5</w:t>
      </w:r>
      <w:r w:rsidR="00766F8D">
        <w:fldChar w:fldCharType="end"/>
      </w:r>
      <w:r w:rsidR="00E55EDA">
        <w:t xml:space="preserve"> </w:t>
      </w:r>
    </w:p>
    <w:p w14:paraId="05EEFF1A" w14:textId="715900DA" w:rsidR="00E046BE" w:rsidRDefault="00E046BE" w:rsidP="00E046BE">
      <w:r>
        <w:t xml:space="preserve">Determining the rate of false-positive classification of CE </w:t>
      </w:r>
      <w:r w:rsidR="00303E3A">
        <w:t xml:space="preserve">under independence </w:t>
      </w:r>
      <w:r>
        <w:t xml:space="preserve">will contribute improved understanding of the state of the field of CE research and diagnosis. </w:t>
      </w:r>
      <w:r w:rsidR="00303E3A">
        <w:t xml:space="preserve">While the </w:t>
      </w:r>
      <w:r w:rsidR="007118BA">
        <w:t>false positive rate</w:t>
      </w:r>
      <w:r w:rsidR="00303E3A">
        <w:t xml:space="preserve"> will not provide an estimate of population prevalence of CE, it </w:t>
      </w:r>
      <w:r w:rsidR="007118BA">
        <w:t xml:space="preserve">can contextualize </w:t>
      </w:r>
      <w:r w:rsidR="00303E3A">
        <w:t xml:space="preserve">the contribution of false-positive CE classification to current commonly reported CE rates. Such research is important because patients with epilepsy have treatments modified, added, or withheld based on beliefs around the presence or absence of CE. </w:t>
      </w:r>
    </w:p>
    <w:p w14:paraId="63041BFB" w14:textId="23C80BA8" w:rsidR="007118BA" w:rsidRDefault="007118BA" w:rsidP="007118BA">
      <w:r>
        <w:t xml:space="preserve">We conducted a realistic simulation with diaries and hormone cycles generated independently to estimate false-positive CE classification across definitions and observation windows. The study evaluates specificity behavior </w:t>
      </w:r>
      <w:r>
        <w:lastRenderedPageBreak/>
        <w:t xml:space="preserve">only. Our aim was to determine the expected “noise” produced by completely independent systems overlapping by chance. </w:t>
      </w:r>
    </w:p>
    <w:p w14:paraId="462B522A" w14:textId="77777777" w:rsidR="007118BA" w:rsidRDefault="007118BA" w:rsidP="00E046BE"/>
    <w:p w14:paraId="3CBD36AD" w14:textId="77777777" w:rsidR="004B250B" w:rsidRDefault="00000000">
      <w:pPr>
        <w:pStyle w:val="Heading1"/>
      </w:pPr>
      <w:r>
        <w:t>Methods</w:t>
      </w:r>
    </w:p>
    <w:p w14:paraId="41E76776" w14:textId="77777777" w:rsidR="00252310" w:rsidRPr="00252310" w:rsidRDefault="00000000">
      <w:pPr>
        <w:rPr>
          <w:u w:val="single"/>
        </w:rPr>
      </w:pPr>
      <w:r w:rsidRPr="00252310">
        <w:rPr>
          <w:u w:val="single"/>
        </w:rPr>
        <w:t>Study design</w:t>
      </w:r>
    </w:p>
    <w:p w14:paraId="6578E0D3" w14:textId="7E82A83F" w:rsidR="004B250B" w:rsidRDefault="00000000">
      <w:r>
        <w:t>For each synthetic participant, seizure and menstrual/hormone diaries were generated independently for 36 months and aligned directly by calendar-day index. Analyses were stratified by cohort and phase-labeling mode.</w:t>
      </w:r>
    </w:p>
    <w:p w14:paraId="6955D903" w14:textId="77777777" w:rsidR="00252310" w:rsidRDefault="00000000">
      <w:r w:rsidRPr="00252310">
        <w:rPr>
          <w:u w:val="single"/>
        </w:rPr>
        <w:t>Cohorts</w:t>
      </w:r>
    </w:p>
    <w:p w14:paraId="1D734A8B" w14:textId="757D7F3B"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r w:rsidR="00E87E03">
        <w:t xml:space="preserve">regular </w:t>
      </w:r>
      <w:r>
        <w:t xml:space="preserve">ovulatory cycling.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6AFF7309" w14:textId="77777777" w:rsidR="00252310" w:rsidRPr="00252310" w:rsidRDefault="00000000">
      <w:pPr>
        <w:rPr>
          <w:u w:val="single"/>
        </w:rPr>
      </w:pPr>
      <w:r w:rsidRPr="00252310">
        <w:rPr>
          <w:u w:val="single"/>
        </w:rPr>
        <w:t>Diary simulators</w:t>
      </w:r>
    </w:p>
    <w:p w14:paraId="64ED177B" w14:textId="26C28933"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multidien cycles, and </w:t>
      </w:r>
      <w:r w:rsidR="007F5FD7">
        <w:t>maximum seizure rates</w:t>
      </w:r>
      <w:r>
        <w:t xml:space="preserve">. </w:t>
      </w:r>
      <w:r w:rsidR="00124921">
        <w:fldChar w:fldCharType="begin"/>
      </w:r>
      <w:r w:rsidR="007118BA">
        <w:instrText xml:space="preserve"> ADDIN ZOTERO_ITEM CSL_CITATION {"citationID":"3QNIab7e","properties":{"unsorted":false,"formattedCitation":"\\super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7118BA" w:rsidRPr="007118BA">
        <w:rPr>
          <w:rFonts w:eastAsiaTheme="minorEastAsia" w:cs="Times New Roman"/>
          <w:szCs w:val="24"/>
          <w:vertAlign w:val="superscript"/>
        </w:rPr>
        <w:t>6</w:t>
      </w:r>
      <w:r w:rsidR="00124921">
        <w:fldChar w:fldCharType="end"/>
      </w:r>
      <w:r>
        <w:t xml:space="preserve"> HORMONE-CYCLE is a custom simulator developed for the present project and released as an open-source community tool</w:t>
      </w:r>
      <w:r w:rsidR="000D76B7">
        <w:t xml:space="preserve"> (see Appendix)</w:t>
      </w:r>
      <w:r>
        <w:t xml:space="preserve">. </w:t>
      </w:r>
      <w:r w:rsidR="005D648A">
        <w:fldChar w:fldCharType="begin"/>
      </w:r>
      <w:r w:rsidR="007118BA">
        <w:instrText xml:space="preserve"> ADDIN ZOTERO_ITEM CSL_CITATION {"citationID":"D0Me1eIh","properties":{"unsorted":false,"formattedCitation":"\\super 7\\nosupersub{}","plainCitation":"7","noteIndex":0},"citationItems":[{"id":846,"uris":["http://zotero.org/users/1538114/items/BBSUV5B4"],"itemData":{"id":846,"type":"software","genre":"Python","license":"MIT","medium":"Python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7118BA" w:rsidRPr="007118BA">
        <w:rPr>
          <w:rFonts w:eastAsiaTheme="minorEastAsia" w:cs="Times New Roman"/>
          <w:szCs w:val="24"/>
          <w:vertAlign w:val="superscript"/>
        </w:rPr>
        <w:t>7</w:t>
      </w:r>
      <w:r w:rsidR="005D648A">
        <w:fldChar w:fldCharType="end"/>
      </w:r>
      <w:r>
        <w:t xml:space="preserve"> </w:t>
      </w:r>
      <w:r w:rsidR="00E12A4A">
        <w:t xml:space="preserve">It begins on a randomly selected day within a cycle and proceeds from there. </w:t>
      </w:r>
      <w:r>
        <w:t xml:space="preserve">It assigns age-specific participant variability components, samples right-skewed cycle realizations, and generates daily bleeding, ovulation, estradiol, and progesterone trajectories. Full hormone trajectories were retained for validation and the prespecified 1% daily audit sample. Both </w:t>
      </w:r>
      <w:r w:rsidR="00F923DC">
        <w:t xml:space="preserve">hormone and seizure </w:t>
      </w:r>
      <w:r>
        <w:t>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7118BA">
        <w:instrText xml:space="preserve"> ADDIN ZOTERO_ITEM CSL_CITATION {"citationID":"syjPk4OX","properties":{"unsorted":false,"formattedCitation":"\\super 8\\uc0\\u8211{}10\\nosupersub{}","plainCitation":"8–10","noteIndex":0},"citationItems":[{"id":788,"uris":["http://zotero.org/users/1538114/items/RQGUHW73"],"itemData":{"id":788,"type":"article-journal","archive_location":"16776638","container-title":"Clinical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7118BA" w:rsidRPr="007118BA">
        <w:rPr>
          <w:rFonts w:eastAsiaTheme="minorEastAsia" w:cs="Times New Roman"/>
          <w:szCs w:val="24"/>
          <w:vertAlign w:val="superscript"/>
        </w:rPr>
        <w:t>8–10</w:t>
      </w:r>
      <w:r w:rsidR="00D62C09">
        <w:fldChar w:fldCharType="end"/>
      </w:r>
      <w:r>
        <w:t xml:space="preserve"> </w:t>
      </w:r>
      <w:r w:rsidR="00CA5AF3">
        <w:fldChar w:fldCharType="begin"/>
      </w:r>
      <w:r w:rsidR="007118BA">
        <w:instrText xml:space="preserve"> ADDIN ZOTERO_ITEM CSL_CITATION {"citationID":"iQSrCXXC","properties":{"unsorted":false,"formattedCitation":"\\super 11\\nosupersub{}","plainCitation":"11","noteIndex":0},"citationItems":[{"id":790,"uris":["http://zotero.org/users/1538114/items/AZR8XN6P"],"itemData":{"id":790,"type":"article-journal","container-title":"Journal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7118BA" w:rsidRPr="007118BA">
        <w:rPr>
          <w:rFonts w:eastAsiaTheme="minorEastAsia" w:cs="Times New Roman"/>
          <w:szCs w:val="24"/>
          <w:vertAlign w:val="superscript"/>
        </w:rPr>
        <w:t>11</w:t>
      </w:r>
      <w:r w:rsidR="00CA5AF3">
        <w:fldChar w:fldCharType="end"/>
      </w:r>
    </w:p>
    <w:p w14:paraId="76AAA338" w14:textId="26045C64" w:rsidR="004B250B" w:rsidRDefault="00000000">
      <w:r>
        <w:t xml:space="preserve">As a separate aggregate cross-check, simulated 12-month age-stratified cycle means and participant-specific standard deviations were compared with a global period-tracking cohort. </w:t>
      </w:r>
      <w:r>
        <w:fldChar w:fldCharType="begin"/>
      </w:r>
      <w:r w:rsidR="007118BA">
        <w:instrText xml:space="preserve"> ADDIN ZOTERO_ITEM CSL_CITATION {"citationID":"idca2d4bbb","properties":{"unsorted":false,"formattedCitation":"\\super 12\\nosupersub{}","plainCitation":"12","noteIndex":0},"citationItems":[{"id":936,"uris":["http://zotero.org/users/1538114/items/H25WKPM3"],"itemData":{"id":936,"type":"article-journal","archive_location":"38702411","container-title":"Scientific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sidR="007118BA" w:rsidRPr="007118BA">
        <w:rPr>
          <w:rFonts w:eastAsiaTheme="minorEastAsia" w:cs="Times New Roman"/>
          <w:szCs w:val="24"/>
          <w:vertAlign w:val="superscript"/>
        </w:rPr>
        <w:t>12</w:t>
      </w:r>
      <w:r>
        <w:fldChar w:fldCharType="end"/>
      </w:r>
      <w:r>
        <w:t xml:space="preserve"> The comparison was prespecified as an external summary-level check rather than individual-level validation</w:t>
      </w:r>
      <w:r w:rsidR="00877A78">
        <w:t xml:space="preserve"> (see </w:t>
      </w:r>
      <w:r>
        <w:t>Appendix S1</w:t>
      </w:r>
      <w:r w:rsidR="00877A78">
        <w:t>).</w:t>
      </w:r>
    </w:p>
    <w:p w14:paraId="62693785" w14:textId="77777777" w:rsidR="000D76B7" w:rsidRPr="000D76B7" w:rsidRDefault="00000000">
      <w:pPr>
        <w:rPr>
          <w:u w:val="single"/>
        </w:rPr>
      </w:pPr>
      <w:r w:rsidRPr="000D76B7">
        <w:rPr>
          <w:u w:val="single"/>
        </w:rPr>
        <w:t>Phase labeling and Herzog criteria</w:t>
      </w:r>
    </w:p>
    <w:p w14:paraId="7983DC67" w14:textId="150AED53"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7118BA">
        <w:instrText xml:space="preserve"> ADDIN ZOTERO_ITEM CSL_CITATION {"citationID":"KZCTFQ4q","properties":{"unsorted":false,"formattedCitation":"\\super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7118BA" w:rsidRPr="007118BA">
        <w:rPr>
          <w:rFonts w:eastAsiaTheme="minorEastAsia" w:cs="Times New Roman"/>
          <w:szCs w:val="24"/>
          <w:vertAlign w:val="superscript"/>
        </w:rPr>
        <w:t>16</w:t>
      </w:r>
      <w:r w:rsidR="001661A1">
        <w:fldChar w:fldCharType="end"/>
      </w:r>
    </w:p>
    <w:p w14:paraId="52AB5B9F" w14:textId="5B6C5FF9"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7118BA">
        <w:instrText xml:space="preserve"> ADDIN ZOTERO_ITEM CSL_CITATION {"citationID":"mgTkcd27","properties":{"unsorted":false,"formattedCitation":"\\super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7118BA" w:rsidRPr="007118BA">
        <w:rPr>
          <w:rFonts w:eastAsiaTheme="minorEastAsia" w:cs="Times New Roman"/>
          <w:szCs w:val="24"/>
          <w:vertAlign w:val="superscript"/>
        </w:rPr>
        <w:t>16</w:t>
      </w:r>
      <w:r w:rsidR="000C7F3A">
        <w:fldChar w:fldCharType="end"/>
      </w:r>
      <w:r>
        <w:t xml:space="preserve"> A ratio was undefined when its numerator or comparator phase was absent or when both phase rates were zero; a positive numerator with zero comparator was treated as positive infinity.</w:t>
      </w:r>
    </w:p>
    <w:p w14:paraId="12E6B483" w14:textId="77777777" w:rsidR="00AC6858" w:rsidRPr="00AC6858" w:rsidRDefault="00000000">
      <w:pPr>
        <w:rPr>
          <w:u w:val="single"/>
        </w:rPr>
      </w:pPr>
      <w:r w:rsidRPr="00AC6858">
        <w:rPr>
          <w:u w:val="single"/>
        </w:rPr>
        <w:t>C3 applicabilit</w:t>
      </w:r>
      <w:r w:rsidR="00AC6858" w:rsidRPr="00AC6858">
        <w:rPr>
          <w:u w:val="single"/>
        </w:rPr>
        <w:t>y</w:t>
      </w:r>
    </w:p>
    <w:p w14:paraId="37A7BF96" w14:textId="653E604F" w:rsidR="004B250B" w:rsidRDefault="00000000">
      <w:r>
        <w:t xml:space="preserve">In the heterogeneous cohort, the </w:t>
      </w:r>
      <w:r w:rsidR="00877A78">
        <w:t xml:space="preserve">software </w:t>
      </w:r>
      <w:r>
        <w:t>assigned a simulator-generated inadequate-luteal-phase indicator to all nonovulatory cycles and cycles without a valid ovulation day or progesterone field. For other ovulatory cycles, it used the maximum progesterone concentration on days 5–9 after ovulation, falling back to all postovulation days if that window was absent, and designated values &lt;5.0 ng/mL as inadequate. The C3 ratio then used only designated cycles. The 5.0-ng/mL cutoff follows the operational ovulatory criterion in the original Herzog study</w:t>
      </w:r>
      <w:r w:rsidR="00CC32E7">
        <w:t xml:space="preserve"> (see Appendix S1).</w:t>
      </w:r>
      <w:r w:rsidR="00B9378A">
        <w:fldChar w:fldCharType="begin"/>
      </w:r>
      <w:r w:rsidR="007118BA">
        <w:instrText xml:space="preserve"> ADDIN ZOTERO_ITEM CSL_CITATION {"citationID":"QEeNVymh","properties":{"unsorted":false,"formattedCitation":"\\super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7118BA" w:rsidRPr="007118BA">
        <w:rPr>
          <w:rFonts w:eastAsiaTheme="minorEastAsia" w:cs="Times New Roman"/>
          <w:szCs w:val="24"/>
          <w:vertAlign w:val="superscript"/>
        </w:rPr>
        <w:t>16</w:t>
      </w:r>
      <w:r w:rsidR="00B9378A">
        <w:fldChar w:fldCharType="end"/>
      </w:r>
    </w:p>
    <w:p w14:paraId="396DA799" w14:textId="77777777" w:rsidR="00AC6858" w:rsidRPr="00AC6858" w:rsidRDefault="0074441A">
      <w:pPr>
        <w:rPr>
          <w:u w:val="single"/>
        </w:rPr>
      </w:pPr>
      <w:r>
        <w:rPr>
          <w:u w:val="single"/>
        </w:rPr>
        <w:lastRenderedPageBreak/>
        <w:t xml:space="preserve">CE </w:t>
      </w:r>
      <w:r w:rsidRPr="00AC6858">
        <w:rPr>
          <w:u w:val="single"/>
        </w:rPr>
        <w:t>Classification definitions</w:t>
      </w:r>
    </w:p>
    <w:p w14:paraId="3EC364B6" w14:textId="7F1B78AA" w:rsidR="004B250B" w:rsidRDefault="00470D9D" w:rsidP="00470D9D">
      <w:r>
        <w:t>The exact Herzog 2004 cycle definition required exactly three complete 23–35-day cycles and the same positive pattern in at least two cycles.</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r>
        <w:t xml:space="preserve"> In contrast, our windowed Herzog cycle definition pooled the phase-specific seizure-frequency ratios within each calendar, complete-cycle, or full-diary window.</w:t>
      </w:r>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68FB6292" w14:textId="77777777" w:rsidR="00AC6858" w:rsidRPr="00AC6858" w:rsidRDefault="00000000">
      <w:pPr>
        <w:rPr>
          <w:u w:val="single"/>
        </w:rPr>
      </w:pPr>
      <w:r w:rsidRPr="00AC6858">
        <w:rPr>
          <w:u w:val="single"/>
        </w:rPr>
        <w:t>Model-concordant statistical calibration checks</w:t>
      </w:r>
    </w:p>
    <w:p w14:paraId="0F016DAF" w14:textId="22D43777" w:rsidR="004B250B" w:rsidRDefault="00000000">
      <w:r>
        <w:t xml:space="preserve">Recurrent heterogeneous seizure counts are overdispersed, motivating </w:t>
      </w:r>
      <w:r w:rsidR="0074441A">
        <w:t xml:space="preserve">negative binomial </w:t>
      </w:r>
      <w:r>
        <w:t>rather than simple Poisson models.</w:t>
      </w:r>
      <w:r w:rsidR="00001E29">
        <w:fldChar w:fldCharType="begin"/>
      </w:r>
      <w:r w:rsidR="007118BA">
        <w:instrText xml:space="preserve"> ADDIN ZOTERO_ITEM CSL_CITATION {"citationID":"bmB8Cjh7","properties":{"unsorted":false,"formattedCitation":"\\super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7118BA" w:rsidRPr="007118BA">
        <w:rPr>
          <w:rFonts w:eastAsiaTheme="minorEastAsia" w:cs="Times New Roman"/>
          <w:szCs w:val="24"/>
          <w:vertAlign w:val="superscript"/>
        </w:rPr>
        <w:t>6</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w:t>
      </w:r>
      <w:r w:rsidR="00AA1798">
        <w:t xml:space="preserve">was </w:t>
      </w:r>
      <w:r>
        <w:t>a model-concordant statistical calibration check.</w:t>
      </w:r>
    </w:p>
    <w:p w14:paraId="44D9829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67743857" w14:textId="77777777" w:rsidR="00AC6858" w:rsidRPr="00AC6858" w:rsidRDefault="00000000">
      <w:pPr>
        <w:rPr>
          <w:u w:val="single"/>
        </w:rPr>
      </w:pPr>
      <w:r w:rsidRPr="00AC6858">
        <w:rPr>
          <w:u w:val="single"/>
        </w:rPr>
        <w:t>Outcomes and statistics</w:t>
      </w:r>
    </w:p>
    <w:p w14:paraId="70A25F1C" w14:textId="4260970A"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 xml:space="preserve">applicability was kept separate. Definition-by-window-by-cohort estimates with fewer than 1,000 classifiable participant-windows were flagged as unstable. Wilson intervals quantify Monte Carlo uncertainty in a simulated proportion and do not include model-form uncertainty. </w:t>
      </w:r>
      <w:r w:rsidR="00AA1798">
        <w:t>As a demonstration of how small studies may look, t</w:t>
      </w:r>
      <w:r>
        <w:t>en thousand simulated studies of 30, 50, or 100 participants sampled one random valid 3-month window per participant.</w:t>
      </w:r>
    </w:p>
    <w:p w14:paraId="20279887" w14:textId="0E8F2710" w:rsidR="00F747FA" w:rsidRPr="00327CC6" w:rsidRDefault="00000000">
      <w:pPr>
        <w:rPr>
          <w:u w:val="single"/>
        </w:rPr>
      </w:pPr>
      <w:r w:rsidRPr="00327CC6">
        <w:rPr>
          <w:u w:val="single"/>
        </w:rPr>
        <w:t xml:space="preserve">Ethics </w:t>
      </w:r>
    </w:p>
    <w:p w14:paraId="2A134757" w14:textId="24DA4EC8" w:rsidR="004B250B" w:rsidRDefault="0096784E">
      <w:r>
        <w:t xml:space="preserve">This study used only synthetic data. Institutional review board approval, patient consent, and clinical-trial registration were not applicable. </w:t>
      </w:r>
    </w:p>
    <w:p w14:paraId="40A49558" w14:textId="77777777" w:rsidR="004B250B" w:rsidRDefault="00000000">
      <w:pPr>
        <w:pStyle w:val="Heading1"/>
      </w:pPr>
      <w:r>
        <w:t>Results</w:t>
      </w:r>
    </w:p>
    <w:p w14:paraId="0502286A" w14:textId="77777777" w:rsidR="00AC6858" w:rsidRPr="00AC6858" w:rsidRDefault="00000000">
      <w:pPr>
        <w:rPr>
          <w:u w:val="single"/>
        </w:rPr>
      </w:pPr>
      <w:r w:rsidRPr="00AC6858">
        <w:rPr>
          <w:u w:val="single"/>
        </w:rPr>
        <w:t>Simulation cohort</w:t>
      </w:r>
    </w:p>
    <w:p w14:paraId="3ED51D03" w14:textId="77777777" w:rsidR="004B250B" w:rsidRDefault="00000000">
      <w:r>
        <w:t>The completed run included 100,000 synthetic participants. The healthy ovulatory cohort had 100.0% ovulatory cycles by design; the heterogeneous cohort had 79.0% ovulatory cycles, greater within-participant cycle-length variability, and similar seizure burden (Table 1). Every diary began at a randomly selected menstrual-cycle phase.</w:t>
      </w:r>
    </w:p>
    <w:p w14:paraId="10C6BFE7" w14:textId="77777777" w:rsidR="007E1DA8" w:rsidRDefault="00000000">
      <w:pPr>
        <w:rPr>
          <w:u w:val="single"/>
        </w:rPr>
      </w:pPr>
      <w:r w:rsidRPr="00AC6858">
        <w:rPr>
          <w:u w:val="single"/>
        </w:rPr>
        <w:t>Full-diary</w:t>
      </w:r>
      <w:r w:rsidR="007E1DA8">
        <w:rPr>
          <w:u w:val="single"/>
        </w:rPr>
        <w:t xml:space="preserve"> CE</w:t>
      </w:r>
      <w:r w:rsidRPr="00AC6858">
        <w:rPr>
          <w:u w:val="single"/>
        </w:rPr>
        <w:t xml:space="preserve"> classification</w:t>
      </w:r>
    </w:p>
    <w:p w14:paraId="33BCC328" w14:textId="660D0A72" w:rsidR="00470D9D" w:rsidRDefault="00470D9D">
      <w:pPr>
        <w:rPr>
          <w:u w:val="single"/>
        </w:rPr>
      </w:pPr>
      <w:r>
        <w:t>We used strict Herzog phase labeling and the prespecified windowed Herzog pattern-specific ratio thresholds across each participant’s full 36-month diary. CE was classified in 11.4% of classifiable healthy-ovulatory participant-windows and in 35.9% of classifiable heterogeneous-cohort participant-windows under independence (Table 2). In the heterogeneous cohort, the C1/C2 union was 11.6%, whereas C3 was positive in 37.1% of C3-applicable windows. Thus, the between-cohort difference in the composite endpoint was primarily driven by the simulator-</w:t>
      </w:r>
      <w:r>
        <w:lastRenderedPageBreak/>
        <w:t xml:space="preserve">generated inadequate-luteal-phase designation. </w:t>
      </w:r>
      <w:r w:rsidR="00AA1798">
        <w:t xml:space="preserve">In </w:t>
      </w:r>
      <w:r>
        <w:t>the retained 1% audit sample, the heterogeneous cohort’s mean inadequate-luteal-phase cycle fraction was 22.8%.</w:t>
      </w:r>
    </w:p>
    <w:p w14:paraId="32B73DA3" w14:textId="77777777" w:rsidR="00AC6858" w:rsidRPr="00AC6858" w:rsidRDefault="00000000">
      <w:pPr>
        <w:rPr>
          <w:u w:val="single"/>
        </w:rPr>
      </w:pPr>
      <w:r w:rsidRPr="00AC6858">
        <w:rPr>
          <w:u w:val="single"/>
        </w:rPr>
        <w:t>Observation windows</w:t>
      </w:r>
    </w:p>
    <w:p w14:paraId="3AC46185" w14:textId="77777777" w:rsidR="004B250B" w:rsidRDefault="00000000">
      <w:r>
        <w:t>Three-month false-positive rates were 41.6% and 50.9% in the healthy and heterogeneous cohorts, respectively. Rates declined with longer monitoring but remained definition-dependent (Figure 1). Exact Herzog applied to three complete cycles yielded 50.5% and 52.2% among classifiable windows, while many attempted windows were indeterminate. Appendix S1 reports C3 across every saved calendar and complete-cycle duration, minimum-data threshold sensitivities, and cumulative simulated C1, C2, and C3 ratio distributions.</w:t>
      </w:r>
    </w:p>
    <w:p w14:paraId="1ADDF3D9" w14:textId="77777777" w:rsidR="00AC6858" w:rsidRPr="00AC6858" w:rsidRDefault="00000000">
      <w:pPr>
        <w:rPr>
          <w:u w:val="single"/>
        </w:rPr>
      </w:pPr>
      <w:r w:rsidRPr="00AC6858">
        <w:rPr>
          <w:u w:val="single"/>
        </w:rPr>
        <w:t>Calibration checks</w:t>
      </w:r>
    </w:p>
    <w:p w14:paraId="4FE09F14" w14:textId="75F79142" w:rsidR="004B250B" w:rsidRDefault="007F5FD7">
      <w:r>
        <w:t xml:space="preserve">The full-diary C1/C2 negative-binomial false-positive rate was 4.3% in </w:t>
      </w:r>
      <w:r w:rsidR="00AA1798">
        <w:t xml:space="preserve">both </w:t>
      </w:r>
      <w:r>
        <w:t xml:space="preserve">healthy </w:t>
      </w:r>
      <w:r w:rsidR="00AA1798">
        <w:t xml:space="preserve">and heterogeneous </w:t>
      </w:r>
      <w:r>
        <w:t>cohort</w:t>
      </w:r>
      <w:r w:rsidR="00AA1798">
        <w:t>s</w:t>
      </w:r>
      <w:r>
        <w:t>, close to the prespecified 5% Type I error rate. In the 1% daily audit sample, 427 of 500 heterogeneous participants had a C3-applicable ratio window, but only 197 met the exploratory C3 model’s four-complete-inadequate-luteal-phase-cycle and four-seizure-day requirements. 12 participants were positive (6.1%; 95% Wilson confidence interval, 3.5%–10.3%; 2.4% of all 500 attempted participants).</w:t>
      </w:r>
    </w:p>
    <w:p w14:paraId="77439489" w14:textId="77777777" w:rsidR="00AC6858" w:rsidRPr="00AC6858" w:rsidRDefault="00000000">
      <w:pPr>
        <w:rPr>
          <w:u w:val="single"/>
        </w:rPr>
      </w:pPr>
      <w:r w:rsidRPr="00AC6858">
        <w:rPr>
          <w:u w:val="single"/>
        </w:rPr>
        <w:t>Study-level and feature summaries</w:t>
      </w:r>
    </w:p>
    <w:p w14:paraId="76A6368A" w14:textId="358C818F"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w:t>
      </w:r>
      <w:r w:rsidR="00AA1798">
        <w:t>.</w:t>
      </w:r>
    </w:p>
    <w:p w14:paraId="61874630" w14:textId="77777777" w:rsidR="004B250B" w:rsidRDefault="00000000">
      <w:pPr>
        <w:pStyle w:val="Heading1"/>
      </w:pPr>
      <w:r>
        <w:t>Discussion</w:t>
      </w:r>
    </w:p>
    <w:p w14:paraId="1D9C9B99" w14:textId="12E60D18" w:rsidR="00D85222" w:rsidRDefault="00470D9D" w:rsidP="008215F2">
      <w:r>
        <w:t xml:space="preserve">This study </w:t>
      </w:r>
      <w:r w:rsidR="008215F2">
        <w:t>quantified</w:t>
      </w:r>
      <w:r>
        <w:t xml:space="preserve"> the false positive classification of several CE definitions using simulations that could not possibly </w:t>
      </w:r>
      <w:r w:rsidR="008215F2">
        <w:t>include</w:t>
      </w:r>
      <w:r>
        <w:t xml:space="preserve"> CE.</w:t>
      </w:r>
      <w:r w:rsidR="008215F2">
        <w:t xml:space="preserve"> </w:t>
      </w:r>
      <w:r>
        <w:t>Using pooled ratio criteria in random three-calendar-month windows, false-positive classification occurred in 41.6% of healthy-ovulatory and 50.9% of heterogeneous-cohort participant-windows. These results demonstrate the</w:t>
      </w:r>
      <w:r w:rsidR="003A2E02">
        <w:t xml:space="preserve"> potential</w:t>
      </w:r>
      <w:r>
        <w:t xml:space="preserve"> </w:t>
      </w:r>
      <w:r w:rsidR="003A2E02">
        <w:t>inaccuracy</w:t>
      </w:r>
      <w:r>
        <w:t xml:space="preserve"> of ratio-based classification </w:t>
      </w:r>
      <w:r w:rsidR="003A2E02">
        <w:t>with</w:t>
      </w:r>
      <w:r>
        <w:t xml:space="preserve"> short observation periods. They should not be compared directly with published CE prevalence estimates</w:t>
      </w:r>
      <w:r w:rsidR="008215F2">
        <w:fldChar w:fldCharType="begin"/>
      </w:r>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r>
        <w:t>of 39.1% and 44.2%, because those estimates were obtained in clinical cohorts using different cycle-eligibility, reproducibility, and denominator rules.</w:t>
      </w:r>
      <w:r w:rsidR="008215F2">
        <w:t xml:space="preserve"> </w:t>
      </w:r>
    </w:p>
    <w:p w14:paraId="1C09EF3C" w14:textId="6A530E4F" w:rsidR="00D85222" w:rsidRDefault="00D85222" w:rsidP="008215F2">
      <w:r>
        <w:t>The analysis most closely aligned with the original Herzog 2004 procedure applied the same-pattern-in-two-of-three rule to exactly complete</w:t>
      </w:r>
      <w:r w:rsidR="003A2E02">
        <w:t xml:space="preserve"> three</w:t>
      </w:r>
      <w:r>
        <w:t xml:space="preserve"> 23–35-day cycles. Under that definition, false-positive classification occurred in 50.5% and 52.2%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w:t>
      </w:r>
      <w:r w:rsidR="003A2E02">
        <w:t xml:space="preserve">true </w:t>
      </w:r>
      <w:r>
        <w:t>clinical cohorts.</w:t>
      </w:r>
    </w:p>
    <w:p w14:paraId="442BA28B" w14:textId="77777777" w:rsidR="00D85222" w:rsidRDefault="00D85222" w:rsidP="008215F2">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p>
    <w:p w14:paraId="59078EDA" w14:textId="58B86597" w:rsidR="00D85222" w:rsidRDefault="00D85222" w:rsidP="008215F2"/>
    <w:p w14:paraId="120031AA" w14:textId="77777777" w:rsidR="004B250B" w:rsidRDefault="00C063CB" w:rsidP="008215F2">
      <w:r>
        <w:t>The largest heterogeneous-cohort excess was C3-driven, whereas C1/C2 behavior was similar between cohorts.</w:t>
      </w:r>
    </w:p>
    <w:p w14:paraId="7BA756EB" w14:textId="19966761" w:rsidR="00886E0F" w:rsidRDefault="003A2E02">
      <w:r>
        <w:t xml:space="preserve">Our results raise </w:t>
      </w:r>
      <w:r w:rsidR="0098580A">
        <w:t xml:space="preserve">the question </w:t>
      </w:r>
      <w:r w:rsidR="00ED1221">
        <w:t>of</w:t>
      </w:r>
      <w:r w:rsidR="0098580A">
        <w:t xml:space="preserve"> whether C1/C2/C3 as reported in the literature </w:t>
      </w:r>
      <w:r w:rsidR="00C063CB">
        <w:t>are anything other than statistical artefact</w:t>
      </w:r>
      <w:r w:rsidR="0098580A">
        <w:t xml:space="preserve">. </w:t>
      </w:r>
      <w:r w:rsidR="00C063CB">
        <w:t xml:space="preserve">In support of the Herzog classification and definition of CE, the simulations </w:t>
      </w:r>
      <w:r w:rsidR="00A73594">
        <w:t>do not perfectly over</w:t>
      </w:r>
      <w:r w:rsidR="0056505E">
        <w:t xml:space="preserve">lay onto empirical and </w:t>
      </w:r>
      <w:r w:rsidR="008510E8">
        <w:t>real-world</w:t>
      </w:r>
      <w:r w:rsidR="00A73594">
        <w:t xml:space="preserve"> relationship</w:t>
      </w:r>
      <w:r w:rsidR="0056505E">
        <w:t>s</w:t>
      </w:r>
      <w:r w:rsidR="00A73594">
        <w:t xml:space="preserve"> between the menstrual cycle and seizures</w:t>
      </w:r>
      <w:r w:rsidR="00311E34">
        <w:t>. For example, when degree of C1 exacerbation is account</w:t>
      </w:r>
      <w:r w:rsidR="005D6D01">
        <w:t>ed for</w:t>
      </w:r>
      <w:r w:rsidR="00311E34">
        <w:t xml:space="preserve"> (</w:t>
      </w:r>
      <w:r w:rsidR="00C063CB">
        <w:t>Supplementary</w:t>
      </w:r>
      <w:r w:rsidR="00311E34">
        <w:t xml:space="preserve"> </w:t>
      </w:r>
      <w:r w:rsidR="00C063CB">
        <w:t>Table S4</w:t>
      </w:r>
      <w:r w:rsidR="00311E34">
        <w:t xml:space="preserve">) the false-positive rate underestimates prevalence. </w:t>
      </w:r>
      <w:r w:rsidR="00C178F6">
        <w:t>Across cumulative C1 ratio thresholds from 1.69 to 10, the proportions reported by Herzog (2015)</w:t>
      </w:r>
      <w:r w:rsidR="00C178F6">
        <w:fldChar w:fldCharType="begin"/>
      </w:r>
      <w:r w:rsidR="00C178F6">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178F6">
        <w:fldChar w:fldCharType="separate"/>
      </w:r>
      <w:r w:rsidR="00C178F6" w:rsidRPr="00F503D2">
        <w:rPr>
          <w:rFonts w:eastAsiaTheme="minorEastAsia" w:cs="Times New Roman"/>
          <w:szCs w:val="24"/>
          <w:vertAlign w:val="superscript"/>
        </w:rPr>
        <w:t>2</w:t>
      </w:r>
      <w:r w:rsidR="00C178F6">
        <w:fldChar w:fldCharType="end"/>
      </w:r>
      <w:r w:rsidR="00C178F6">
        <w:t xml:space="preserve"> exceeded the corresponding simulated heterogeneous-cohort proportions by 1.01–10.81 percentage points, equivalent to relative differences of 19%–87% (Appendix Table S4).</w:t>
      </w:r>
    </w:p>
    <w:p w14:paraId="6CA9117B" w14:textId="6E407070" w:rsidR="0056505E" w:rsidRDefault="00ED1221">
      <w:r>
        <w:lastRenderedPageBreak/>
        <w:t>There is a considerable body of literature on how menstrual cycle steroidal fluctuations can physiologically exacerbate seizures</w:t>
      </w:r>
      <w:r w:rsidR="00C22BE3">
        <w:t xml:space="preserve"> </w:t>
      </w:r>
      <w:r w:rsidR="00C22BE3">
        <w:fldChar w:fldCharType="begin"/>
      </w:r>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22BE3">
        <w:fldChar w:fldCharType="separate"/>
      </w:r>
      <w:r w:rsidR="00C22BE3" w:rsidRPr="00F503D2">
        <w:rPr>
          <w:rFonts w:eastAsiaTheme="minorEastAsia" w:cs="Times New Roman"/>
          <w:szCs w:val="24"/>
          <w:vertAlign w:val="superscript"/>
        </w:rPr>
        <w:t>2</w:t>
      </w:r>
      <w:r w:rsidR="00C22BE3">
        <w:fldChar w:fldCharType="end"/>
      </w:r>
      <w:r>
        <w:t xml:space="preserve">. Further, there are </w:t>
      </w:r>
      <w:r w:rsidR="003A2E02">
        <w:t xml:space="preserve">some limited conflicting </w:t>
      </w:r>
      <w:r>
        <w:t>studies</w:t>
      </w:r>
      <w:r w:rsidR="003A2E02">
        <w:t>, some of which</w:t>
      </w:r>
      <w:r>
        <w:t xml:space="preserve"> report that treatments that stop the fluctuations of hormones may be effective in reducing seizure burden in women reporting CE</w:t>
      </w:r>
      <w:r w:rsidR="003A2E02">
        <w:t>.</w:t>
      </w:r>
      <w:r>
        <w:fldChar w:fldCharType="begin"/>
      </w:r>
      <w:r w:rsidR="007118BA">
        <w:instrText xml:space="preserve"> ADDIN ZOTERO_ITEM CSL_CITATION {"citationID":"0MZvkEqL","properties":{"unsorted":false,"formattedCitation":"\\super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7118BA" w:rsidRPr="007118BA">
        <w:rPr>
          <w:rFonts w:eastAsiaTheme="minorEastAsia" w:cs="Times New Roman"/>
          <w:szCs w:val="24"/>
          <w:vertAlign w:val="superscript"/>
        </w:rPr>
        <w:t>16</w:t>
      </w:r>
      <w:r>
        <w:fldChar w:fldCharType="end"/>
      </w:r>
      <w:r>
        <w:t xml:space="preserve"> </w:t>
      </w:r>
      <w:r>
        <w:fldChar w:fldCharType="begin"/>
      </w:r>
      <w:r w:rsidR="007118BA">
        <w:instrText xml:space="preserve"> ADDIN ZOTERO_ITEM CSL_CITATION {"citationID":"eTSd3Eut","properties":{"unsorted":false,"formattedCitation":"\\super 17,18\\nosupersub{}","plainCitation":"17,18","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007118BA" w:rsidRPr="007118BA">
        <w:rPr>
          <w:rFonts w:eastAsiaTheme="minorEastAsia" w:cs="Times New Roman"/>
          <w:szCs w:val="24"/>
          <w:vertAlign w:val="superscript"/>
        </w:rPr>
        <w:t>17,18</w:t>
      </w:r>
      <w:r>
        <w:fldChar w:fldCharType="end"/>
      </w:r>
      <w:r w:rsidR="00C063CB">
        <w:t xml:space="preserve"> </w:t>
      </w:r>
    </w:p>
    <w:p w14:paraId="5E482AEB" w14:textId="7F7AC019" w:rsidR="00CA5711" w:rsidRDefault="00CA5711">
      <w:r>
        <w:t>T</w:t>
      </w:r>
      <w:r w:rsidR="0056505E">
        <w:t xml:space="preserve">his simulation study suggests </w:t>
      </w:r>
      <w:r w:rsidR="003A2E02">
        <w:t>true</w:t>
      </w:r>
      <w:r w:rsidR="0056505E">
        <w:t xml:space="preserve"> rates of CE </w:t>
      </w:r>
      <w:r w:rsidR="003A2E02">
        <w:t>may be considerably lower than those</w:t>
      </w:r>
      <w:r w:rsidR="0056505E">
        <w:t xml:space="preserve"> diagnosed using the Herzog criteria</w:t>
      </w:r>
      <w:r w:rsidR="0056505E">
        <w:fldChar w:fldCharType="begin"/>
      </w:r>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56505E">
        <w:fldChar w:fldCharType="separate"/>
      </w:r>
      <w:r w:rsidR="0056505E" w:rsidRPr="00F503D2">
        <w:rPr>
          <w:rFonts w:eastAsiaTheme="minorEastAsia" w:cs="Times New Roman"/>
          <w:szCs w:val="24"/>
          <w:vertAlign w:val="superscript"/>
        </w:rPr>
        <w:t>2</w:t>
      </w:r>
      <w:r w:rsidR="0056505E">
        <w:fldChar w:fldCharType="end"/>
      </w:r>
      <w:r w:rsidR="0056505E">
        <w:t>. Furthermore, that the current commonly used definitions are</w:t>
      </w:r>
      <w:r w:rsidR="00345356">
        <w:t xml:space="preserve"> very</w:t>
      </w:r>
      <w:r w:rsidR="0056505E">
        <w:t xml:space="preserve"> vulnerable to </w:t>
      </w:r>
      <w:r>
        <w:t>statistical artefact</w:t>
      </w:r>
      <w:r w:rsidR="0056505E">
        <w:t>. As such, t</w:t>
      </w:r>
      <w:r w:rsidR="00886E0F">
        <w:t>his study points to s</w:t>
      </w:r>
      <w:r w:rsidR="00000000">
        <w:t>everal design implications fo</w:t>
      </w:r>
      <w:r w:rsidR="00886E0F">
        <w:t>r future research into CE</w:t>
      </w:r>
      <w:r w:rsidR="00000000">
        <w:t>. First, short-window ratio classifications require caution when seizure counts are sparse. Second, C1, C2, and C3 should be reported separately. Third, classifiable and all-attempted denominators should be shown together</w:t>
      </w:r>
      <w:r w:rsidR="00E658C1">
        <w:t>. Fourth, it may be time to reconsider CE definitions in order to increase specificity.</w:t>
      </w:r>
    </w:p>
    <w:p w14:paraId="11A37408" w14:textId="05F83A15" w:rsidR="00CA5711" w:rsidRDefault="00CA5711">
      <w:r>
        <w:t xml:space="preserve">Future empirical studies into CE and treatments ought to </w:t>
      </w:r>
      <w:r w:rsidR="005D6D01">
        <w:t>consider</w:t>
      </w:r>
      <w:r>
        <w:t xml:space="preserve"> the risk of false-positive in considering power calculations and group assignment.  </w:t>
      </w:r>
      <w:r w:rsidRPr="00CA5711">
        <w:t xml:space="preserve">Future </w:t>
      </w:r>
      <w:r w:rsidR="003A77D4">
        <w:t>directions for the simulation work</w:t>
      </w:r>
      <w:r w:rsidR="003A77D4" w:rsidRPr="00CA5711">
        <w:t xml:space="preserve"> </w:t>
      </w:r>
      <w:r w:rsidR="003A77D4">
        <w:t>includes</w:t>
      </w:r>
      <w:r w:rsidR="003A77D4" w:rsidRPr="00CA5711">
        <w:t xml:space="preserve"> </w:t>
      </w:r>
      <w:r w:rsidRPr="00CA5711">
        <w:t>compar</w:t>
      </w:r>
      <w:r w:rsidR="003A77D4">
        <w:t>ing</w:t>
      </w:r>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r w:rsidR="003A77D4">
        <w:t xml:space="preserve"> Such work requires long-term real-world seizure and menstrual cycle diaries. </w:t>
      </w:r>
    </w:p>
    <w:p w14:paraId="46A717A5" w14:textId="77777777" w:rsidR="00C063CB" w:rsidRPr="00327CC6" w:rsidRDefault="00C063CB">
      <w:pPr>
        <w:rPr>
          <w:u w:val="single"/>
        </w:rPr>
      </w:pPr>
      <w:r w:rsidRPr="00327CC6">
        <w:rPr>
          <w:u w:val="single"/>
        </w:rPr>
        <w:t>Strengths and limitations</w:t>
      </w:r>
    </w:p>
    <w:p w14:paraId="1342EC63" w14:textId="19BC32C3"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7118BA">
        <w:instrText xml:space="preserve"> ADDIN ZOTERO_ITEM CSL_CITATION {"citationID":"DW9Ll3k3","properties":{"unsorted":false,"formattedCitation":"\\super 19\\nosupersub{}","plainCitation":"19","noteIndex":0},"citationItems":[{"id":849,"uris":["http://zotero.org/users/1538114/items/MT3JJG7G"],"itemData":{"id":849,"type":"article-journal","abstract":"Catamenial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7118BA" w:rsidRPr="007118BA">
        <w:rPr>
          <w:rFonts w:eastAsiaTheme="minorEastAsia" w:cs="Times New Roman"/>
          <w:szCs w:val="24"/>
          <w:vertAlign w:val="superscript"/>
        </w:rPr>
        <w:t>19</w:t>
      </w:r>
      <w:r w:rsidR="00122398">
        <w:fldChar w:fldCharType="end"/>
      </w:r>
    </w:p>
    <w:p w14:paraId="09734478" w14:textId="7CAE9F46" w:rsidR="004B250B" w:rsidRDefault="00000000">
      <w:r>
        <w:t>The study is limited by simulator</w:t>
      </w:r>
      <w:r w:rsidR="00E658C1">
        <w:t xml:space="preserve"> </w:t>
      </w:r>
      <w:r>
        <w:t>assumptions. CHOCOLATES and HORMONE-CYCLE were calibrated to published features, but summary-level calibration and the held-out aggregate cycle cross-check do not substitute for external validation using paired real diaries.</w:t>
      </w:r>
      <w:r w:rsidR="00E658C1">
        <w:t xml:space="preserve"> </w:t>
      </w:r>
      <w:r>
        <w:t>Agreement</w:t>
      </w:r>
      <w:r w:rsidR="00E658C1">
        <w:t xml:space="preserve"> between HORMONE-CYCLE and published literature</w:t>
      </w:r>
      <w:r>
        <w:t xml:space="preserve"> was strongest at ages 18–45 and was more qualified after age 50 because the two large app cohorts reported different variability magnitudes. The configured heterogeneous-cohort modifiers are stress-test assumptions, the 5.0-ng/mL C3 rule operationalizes one historical definition, and no diary missingness was explicitly simulated (both simulators were developed to match self-reported diar</w:t>
      </w:r>
      <w:r w:rsidR="00E658C1">
        <w:t>ie</w:t>
      </w:r>
      <w:r>
        <w:t>s). The hormone waveform is a daily population-median envelope rather than an individual endocrine time series; it omits within-day pulsatility</w:t>
      </w:r>
      <w:r w:rsidR="006F2A08">
        <w:t xml:space="preserve">. For modeling purposes, we assigned the failed-wave pattern to a plausible 25% of long-follicular cycles. </w:t>
      </w:r>
      <w:r>
        <w:t>Treatment changes and long-term seizure-rate trends were outside the scope of this paper and could invalidate stationarity assumptions. The study does not evaluate false negatives or adjudicated seizure types.</w:t>
      </w:r>
    </w:p>
    <w:p w14:paraId="408D43A4" w14:textId="08218D27" w:rsidR="007118BA" w:rsidRDefault="007118BA" w:rsidP="007118BA">
      <w:r>
        <w:t>Retrospective self-report of CE may be less reliable compared with prospective seizure diaries</w:t>
      </w:r>
      <w:r>
        <w:fldChar w:fldCharType="begin"/>
      </w:r>
      <w:r>
        <w:instrText xml:space="preserve"> ADDIN ZOTERO_ITEM CSL_CITATION {"citationID":"sg4AwVM3","properties":{"unsorted":false,"formattedCitation":"\\super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r>
        <w:t>. This may reflect unrecognized diary-defined patterns, incomplete reporting of seizures, perceived patterns that are in fact spurious correlation, or instability of the pattern across limited observation windows. Both methods may be valid under the right conditions.</w:t>
      </w:r>
      <w:r>
        <w:fldChar w:fldCharType="begin"/>
      </w:r>
      <w:r>
        <w:instrText xml:space="preserve"> ADDIN ZOTERO_ITEM CSL_CITATION {"citationID":"YxHC9Ydh","properties":{"unsorted":false,"formattedCitation":"\\super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p>
    <w:p w14:paraId="46561F05" w14:textId="274F92E8" w:rsidR="00D34224" w:rsidRDefault="00D34224">
      <w:r>
        <w:t>The model-concordant negative-binomial findings address implementation-level calibration under related model assumptions</w:t>
      </w:r>
      <w:r w:rsidR="003A77D4">
        <w:t xml:space="preserve">. These tests don’t consider </w:t>
      </w:r>
      <w:r>
        <w:t xml:space="preserve">clinical usefulness or superiority. C1/C2 rates near 5% are expected for tests constructed around a 5% Type I error rate; ratio rules have no analogous guarantee. The exploratory C3 estimate was imprecise and used stricter eligibility in </w:t>
      </w:r>
      <w:r w:rsidR="006F2A08">
        <w:t>the</w:t>
      </w:r>
      <w:r>
        <w:t xml:space="preserve"> audit sample, </w:t>
      </w:r>
      <w:r w:rsidR="006F2A08">
        <w:t>therefore</w:t>
      </w:r>
      <w:r>
        <w:t xml:space="preserve"> it should not be read as a direct replacement for the ratio-based C3 result. </w:t>
      </w:r>
      <w:r w:rsidR="006F2A08">
        <w:t>The</w:t>
      </w:r>
      <w:r>
        <w:t xml:space="preserve"> purpose </w:t>
      </w:r>
      <w:r w:rsidR="006F2A08">
        <w:t>was</w:t>
      </w:r>
      <w:r>
        <w:t xml:space="preserve"> to show that </w:t>
      </w:r>
      <w:r w:rsidR="006F2A08">
        <w:t>the</w:t>
      </w:r>
      <w:r>
        <w:t xml:space="preserve"> C3 contrast can be calibrated</w:t>
      </w:r>
      <w:r w:rsidR="006F2A08">
        <w:t>.</w:t>
      </w:r>
    </w:p>
    <w:p w14:paraId="70F0CC2B" w14:textId="16074B18" w:rsidR="004B250B" w:rsidRDefault="00000000">
      <w:r>
        <w:t xml:space="preserve">In conclusion, </w:t>
      </w:r>
      <w:r w:rsidR="006F2A08">
        <w:t>CE</w:t>
      </w:r>
      <w:r>
        <w:t xml:space="preserve"> </w:t>
      </w:r>
      <w:r w:rsidR="009076FA">
        <w:t>mis</w:t>
      </w:r>
      <w:r>
        <w:t xml:space="preserve">classification </w:t>
      </w:r>
      <w:r w:rsidR="00C31E67">
        <w:t xml:space="preserve">may </w:t>
      </w:r>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60D58727" w14:textId="77777777" w:rsidR="004B250B" w:rsidRDefault="00000000">
      <w:pPr>
        <w:pStyle w:val="Heading1"/>
      </w:pPr>
      <w:r>
        <w:t>Acknowledgments</w:t>
      </w:r>
    </w:p>
    <w:p w14:paraId="7AAED4D5" w14:textId="30D88E7E" w:rsidR="004B250B" w:rsidRDefault="00000000">
      <w:r>
        <w:t xml:space="preserve">The authors thank the people </w:t>
      </w:r>
      <w:r w:rsidR="00303E3A">
        <w:t>whose</w:t>
      </w:r>
      <w:r>
        <w:t xml:space="preserve"> menstrual and seizure diaries contributed to the published statistical targets used by the two simulators.</w:t>
      </w:r>
    </w:p>
    <w:p w14:paraId="2027DE46" w14:textId="77777777" w:rsidR="004B250B" w:rsidRDefault="00000000">
      <w:r>
        <w:t>Artificial Intelligence Use Disclosure</w:t>
      </w:r>
    </w:p>
    <w:p w14:paraId="3486F6AD" w14:textId="77777777" w:rsidR="004B250B" w:rsidRDefault="00000000">
      <w:r>
        <w:lastRenderedPageBreak/>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38B21D1F" w14:textId="77777777" w:rsidR="004B250B" w:rsidRDefault="00000000">
      <w:pPr>
        <w:pStyle w:val="Heading1"/>
      </w:pPr>
      <w:r>
        <w:t>Study Funding</w:t>
      </w:r>
    </w:p>
    <w:p w14:paraId="2413F2AC"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2C51841B" w14:textId="77777777" w:rsidR="004B250B" w:rsidRDefault="00000000">
      <w:pPr>
        <w:pStyle w:val="Heading1"/>
      </w:pPr>
      <w:r>
        <w:t>Conflict of Interest</w:t>
      </w:r>
    </w:p>
    <w:p w14:paraId="4E45CE8F" w14:textId="77777777" w:rsidR="00C178F6" w:rsidRDefault="00000000" w:rsidP="00867CB7">
      <w:r>
        <w:t>DMG reports funding from NIH K23NS124656, NIH R21NS142800, and the American Board of Psychiatry and Neurology. MBW is a co-founder of, serves as a scientific advisor and consultant to, and has a personal equity interest in Beacon Biosignals. The remaining authors have no conflicts of interest to disclose.</w:t>
      </w:r>
    </w:p>
    <w:p w14:paraId="67121A1D" w14:textId="77777777" w:rsidR="004B250B" w:rsidRDefault="00000000" w:rsidP="00327CC6">
      <w:pPr>
        <w:pStyle w:val="Heading1"/>
      </w:pPr>
      <w:r>
        <w:t>Author Contributions</w:t>
      </w:r>
    </w:p>
    <w:p w14:paraId="3C80C664"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3347CDD6" w14:textId="77777777" w:rsidR="004B250B" w:rsidRDefault="00000000">
      <w:pPr>
        <w:pStyle w:val="Heading1"/>
      </w:pPr>
      <w:r>
        <w:t>Data and Code Availability</w:t>
      </w:r>
    </w:p>
    <w:p w14:paraId="64B0469C" w14:textId="77777777" w:rsidR="004B250B" w:rsidRDefault="00000000">
      <w:r>
        <w:t>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config_random_start_full.yaml, and the Appendix S1 tables were derived from those primary outputs.</w:t>
      </w:r>
    </w:p>
    <w:p w14:paraId="5991AD88" w14:textId="77777777" w:rsidR="004B250B" w:rsidRDefault="00000000">
      <w:pPr>
        <w:pStyle w:val="Heading1"/>
      </w:pPr>
      <w:r>
        <w:t>Ethical Publication Statement</w:t>
      </w:r>
    </w:p>
    <w:p w14:paraId="44BB1299" w14:textId="77777777" w:rsidR="004B250B" w:rsidRDefault="00000000">
      <w:r>
        <w:t>We confirm that we have read the Journal’s position on issues involved in ethical publication and affirm that this report is consistent with those guidelines.</w:t>
      </w:r>
    </w:p>
    <w:p w14:paraId="57C54967" w14:textId="77777777" w:rsidR="004B250B" w:rsidRDefault="00000000">
      <w:pPr>
        <w:pStyle w:val="Heading1"/>
      </w:pPr>
      <w:r>
        <w:t>Supporting Information</w:t>
      </w:r>
    </w:p>
    <w:p w14:paraId="469DDBBE" w14:textId="77777777" w:rsidR="004B250B" w:rsidRDefault="00000000">
      <w:r>
        <w:t>Appendix S1 contains the simulator source-to-parameter map, healthy-cycle calibration and held-out aggregate validation, hormone-waveform numerical and visual checks, representative hormone traces, assumption review, C3 algorithm, cumulative simulated Herzog-ratio panels, window and minimum-data sensitivities, exploratory C3 negative-binomial calibration check, pattern decomposition, feature associations, Appendix Tables A1–A8, Appendix Figures A1–A4, Tables S1–S8, and Figures S1–S5.</w:t>
      </w:r>
    </w:p>
    <w:p w14:paraId="3103F45F" w14:textId="77777777" w:rsidR="004B250B" w:rsidRDefault="00000000">
      <w:pPr>
        <w:pStyle w:val="Heading1"/>
      </w:pPr>
      <w:r>
        <w:t>References</w:t>
      </w:r>
    </w:p>
    <w:p w14:paraId="758622ED" w14:textId="77777777" w:rsidR="007118BA" w:rsidRPr="007118BA" w:rsidRDefault="00000000" w:rsidP="007118BA">
      <w:pPr>
        <w:pStyle w:val="Bibliography"/>
        <w:rPr>
          <w:rFonts w:eastAsiaTheme="minorEastAsia" w:cs="Times New Roman"/>
        </w:rPr>
      </w:pPr>
      <w:r>
        <w:fldChar w:fldCharType="begin"/>
      </w:r>
      <w:r w:rsidR="007118BA">
        <w:instrText xml:space="preserve"> ADDIN ZOTERO_BIBL {"uncited":[],"omitted":[],"custom":[]} CSL_BIBLIOGRAPHY </w:instrText>
      </w:r>
      <w:r>
        <w:fldChar w:fldCharType="separate"/>
      </w:r>
      <w:r w:rsidR="007118BA" w:rsidRPr="007118BA">
        <w:rPr>
          <w:rFonts w:eastAsiaTheme="minorEastAsia" w:cs="Times New Roman"/>
        </w:rPr>
        <w:t xml:space="preserve">1. </w:t>
      </w:r>
      <w:r w:rsidR="007118BA" w:rsidRPr="007118BA">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35F6C5F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 </w:t>
      </w:r>
      <w:r w:rsidRPr="007118BA">
        <w:rPr>
          <w:rFonts w:eastAsiaTheme="minorEastAsia" w:cs="Times New Roman"/>
        </w:rPr>
        <w:tab/>
        <w:t xml:space="preserve">Herzog AG. Catamenial epilepsy: Update on prevalence, pathophysiology and treatment from the findings of the NIH Progesterone Treatment Trial. Seizure. 2015; 28:18–25. </w:t>
      </w:r>
    </w:p>
    <w:p w14:paraId="5714CBA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3. </w:t>
      </w:r>
      <w:r w:rsidRPr="007118BA">
        <w:rPr>
          <w:rFonts w:eastAsiaTheme="minorEastAsia" w:cs="Times New Roman"/>
        </w:rPr>
        <w:tab/>
        <w:t xml:space="preserve">Karoly PJ, Cook MJ, Maturana M, Nurse ES, Payne D, Brinkmann BH, et al. Forecasting cycles of seizure likelihood. Epilepsia. 2020; 61(4):776–86. </w:t>
      </w:r>
    </w:p>
    <w:p w14:paraId="53D681DD" w14:textId="77777777" w:rsidR="007118BA" w:rsidRPr="007118BA" w:rsidRDefault="007118BA" w:rsidP="007118BA">
      <w:pPr>
        <w:pStyle w:val="Bibliography"/>
        <w:rPr>
          <w:rFonts w:eastAsiaTheme="minorEastAsia" w:cs="Times New Roman"/>
        </w:rPr>
      </w:pPr>
      <w:r w:rsidRPr="007118BA">
        <w:rPr>
          <w:rFonts w:eastAsiaTheme="minorEastAsia" w:cs="Times New Roman"/>
        </w:rPr>
        <w:lastRenderedPageBreak/>
        <w:t xml:space="preserve">4. </w:t>
      </w:r>
      <w:r w:rsidRPr="007118BA">
        <w:rPr>
          <w:rFonts w:eastAsiaTheme="minorEastAsia" w:cs="Times New Roman"/>
        </w:rPr>
        <w:tab/>
        <w:t xml:space="preserve">Karoly PJ, Rao VR, Gregg NM, Worrell GA, Bernard C, Cook MJ, et al. Cycles in epilepsy. Nat Rev Neurol. 2021; 17(5):267–84. </w:t>
      </w:r>
    </w:p>
    <w:p w14:paraId="6740E93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5. </w:t>
      </w:r>
      <w:r w:rsidRPr="007118BA">
        <w:rPr>
          <w:rFonts w:eastAsiaTheme="minorEastAsia" w:cs="Times New Roman"/>
        </w:rPr>
        <w:tab/>
        <w:t xml:space="preserve">Baud MO, Kleen JK, Mirro EA, Andrechak JC, King-Stephens D, Chang EF, et al. Multi-day rhythms modulate seizure risk in epilepsy. Nat Commun. 2018; 9(1):88. </w:t>
      </w:r>
    </w:p>
    <w:p w14:paraId="403F5BA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6. </w:t>
      </w:r>
      <w:r w:rsidRPr="007118BA">
        <w:rPr>
          <w:rFonts w:eastAsiaTheme="minorEastAsia" w:cs="Times New Roman"/>
        </w:rPr>
        <w:tab/>
        <w:t xml:space="preserve">Goldenholz DM, Westover MB. Flexible realistic simulation of seizure occurrence recapitulating statistical properties of seizure diaries. Epilepsia. 2023; 64(2):396–405. </w:t>
      </w:r>
    </w:p>
    <w:p w14:paraId="59AB5DB2"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7. </w:t>
      </w:r>
      <w:r w:rsidRPr="007118BA">
        <w:rPr>
          <w:rFonts w:eastAsiaTheme="minorEastAsia" w:cs="Times New Roman"/>
        </w:rPr>
        <w:tab/>
        <w:t>Daniel Goldenholz. HORMONE-CYCLE [Internet]. GoldenholzLab; 2026. Available from: https://github.com/GoldenholzLab/catamenial-epilepsy-sim.git</w:t>
      </w:r>
    </w:p>
    <w:p w14:paraId="1E365B92"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8. </w:t>
      </w:r>
      <w:r w:rsidRPr="007118BA">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2663A4B7"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9. </w:t>
      </w:r>
      <w:r w:rsidRPr="007118BA">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57B2CE8E"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10. </w:t>
      </w:r>
      <w:r w:rsidRPr="007118BA">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01AB01C5"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11. </w:t>
      </w:r>
      <w:r w:rsidRPr="007118BA">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186F906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12. </w:t>
      </w:r>
      <w:r w:rsidRPr="007118BA">
        <w:rPr>
          <w:rFonts w:eastAsiaTheme="minorEastAsia" w:cs="Times New Roman"/>
        </w:rPr>
        <w:tab/>
        <w:t xml:space="preserve">Cunningham AC, Pal L, Wickham AP, Prentice C, Goddard FGB, Klepchukova A, et al. Chronicling menstrual cycle patterns across the reproductive lifespan with real-world data. Scientific Reports. 2024; 14(1):10172. </w:t>
      </w:r>
    </w:p>
    <w:p w14:paraId="0B045F60"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13. </w:t>
      </w:r>
      <w:r w:rsidRPr="007118BA">
        <w:rPr>
          <w:rFonts w:eastAsiaTheme="minorEastAsia" w:cs="Times New Roman"/>
        </w:rPr>
        <w:tab/>
        <w:t xml:space="preserve">Harlow SD, Baird DD, Weinberg CR, Wilcox AJ. Urinary oestrogen patterns in long follicular phases. Hum Reprod. 2000; 15(1):11–6. </w:t>
      </w:r>
    </w:p>
    <w:p w14:paraId="41CB8BB7"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14. </w:t>
      </w:r>
      <w:r w:rsidRPr="007118BA">
        <w:rPr>
          <w:rFonts w:eastAsiaTheme="minorEastAsia" w:cs="Times New Roman"/>
        </w:rPr>
        <w:tab/>
        <w:t xml:space="preserve">Mumford SL, Steiner AZ, Pollack AZ, Perkins NJ, Filiberto AC, Albert PS, et al. The utility of menstrual cycle length as an indicator of cumulative hormonal exposure. J Clin Endocrinol Metab. 2012; 97(10):E1871-1879. </w:t>
      </w:r>
    </w:p>
    <w:p w14:paraId="38BBBAE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15. </w:t>
      </w:r>
      <w:r w:rsidRPr="007118BA">
        <w:rPr>
          <w:rFonts w:eastAsiaTheme="minorEastAsia" w:cs="Times New Roman"/>
        </w:rPr>
        <w:tab/>
        <w:t xml:space="preserve">Anckaert E, Jank A, Petzold J, Rohsmann F, Paris R, Renggli M, et al. Extensive monitoring of the natural menstrual cycle using the serum biomarkers estradiol, luteinizing hormone and progesterone. Pract Lab Med. 2021; 25:e00211. </w:t>
      </w:r>
    </w:p>
    <w:p w14:paraId="14FE1E71"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16. </w:t>
      </w:r>
      <w:r w:rsidRPr="007118BA">
        <w:rPr>
          <w:rFonts w:eastAsiaTheme="minorEastAsia" w:cs="Times New Roman"/>
        </w:rPr>
        <w:tab/>
        <w:t xml:space="preserve">Herzog AG, Klein P, Ransil BJ. Three patterns of catamenial epilepsy. Epilepsia. 1997; 38(10):1082–8. </w:t>
      </w:r>
    </w:p>
    <w:p w14:paraId="73E285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17. </w:t>
      </w:r>
      <w:r w:rsidRPr="007118BA">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54269A0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18. </w:t>
      </w:r>
      <w:r w:rsidRPr="007118BA">
        <w:rPr>
          <w:rFonts w:eastAsiaTheme="minorEastAsia" w:cs="Times New Roman"/>
        </w:rPr>
        <w:tab/>
        <w:t xml:space="preserve">Maguire MJ, Nevitt SJ. Treatments for seizures in catamenial (menstrual-related) epilepsy. Cochrane Database Syst Rev. 2021; 9(9):CD013225. </w:t>
      </w:r>
    </w:p>
    <w:p w14:paraId="67EF746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19. </w:t>
      </w:r>
      <w:r w:rsidRPr="007118BA">
        <w:rPr>
          <w:rFonts w:eastAsiaTheme="minorEastAsia" w:cs="Times New Roman"/>
        </w:rPr>
        <w:tab/>
        <w:t xml:space="preserve">Alshakhouri M, Sharpe C, Bergin P, Sumner RL. Female sex steroids and epilepsy: Part 2. A practical and human focus on catamenial epilepsy. Epilepsia. 2024; 65(3):569–82. </w:t>
      </w:r>
    </w:p>
    <w:p w14:paraId="685265CB"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20. </w:t>
      </w:r>
      <w:r w:rsidRPr="007118BA">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61F1432D" w14:textId="3C1801AD" w:rsidR="00434999" w:rsidRDefault="00000000" w:rsidP="007118BA">
      <w:pPr>
        <w:pStyle w:val="Bibliography"/>
      </w:pPr>
      <w:r>
        <w:fldChar w:fldCharType="end"/>
      </w:r>
    </w:p>
    <w:p w14:paraId="7FAB067C" w14:textId="77777777" w:rsidR="004B250B" w:rsidRDefault="00000000">
      <w:r>
        <w:lastRenderedPageBreak/>
        <w:br w:type="page"/>
      </w:r>
    </w:p>
    <w:p w14:paraId="5F24CDE3" w14:textId="77777777" w:rsidR="004B250B" w:rsidRDefault="00000000">
      <w:pPr>
        <w:pStyle w:val="Heading1"/>
      </w:pPr>
      <w:r>
        <w:lastRenderedPageBreak/>
        <w:t>Tables</w:t>
      </w:r>
    </w:p>
    <w:p w14:paraId="21FB6DA2"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476"/>
        <w:gridCol w:w="983"/>
        <w:gridCol w:w="922"/>
        <w:gridCol w:w="908"/>
        <w:gridCol w:w="964"/>
        <w:gridCol w:w="964"/>
        <w:gridCol w:w="1043"/>
        <w:gridCol w:w="1114"/>
        <w:gridCol w:w="1408"/>
      </w:tblGrid>
      <w:tr w:rsidR="004B250B" w14:paraId="1AAEBFA9" w14:textId="77777777">
        <w:trPr>
          <w:tblHeader/>
          <w:jc w:val="center"/>
        </w:trPr>
        <w:tc>
          <w:tcPr>
            <w:tcW w:w="1088" w:type="dxa"/>
            <w:shd w:val="clear" w:color="auto" w:fill="D9EAF7"/>
            <w:vAlign w:val="center"/>
          </w:tcPr>
          <w:p w14:paraId="45A9B678" w14:textId="77777777" w:rsidR="004B250B" w:rsidRDefault="00000000">
            <w:pPr>
              <w:jc w:val="center"/>
            </w:pPr>
            <w:r>
              <w:rPr>
                <w:rFonts w:ascii="Arial" w:hAnsi="Arial"/>
                <w:b/>
                <w:sz w:val="16"/>
              </w:rPr>
              <w:t>Cohort</w:t>
            </w:r>
          </w:p>
        </w:tc>
        <w:tc>
          <w:tcPr>
            <w:tcW w:w="1088" w:type="dxa"/>
            <w:shd w:val="clear" w:color="auto" w:fill="D9EAF7"/>
            <w:vAlign w:val="center"/>
          </w:tcPr>
          <w:p w14:paraId="1AC9F289" w14:textId="77777777" w:rsidR="004B250B" w:rsidRDefault="00000000">
            <w:pPr>
              <w:jc w:val="center"/>
            </w:pPr>
            <w:r>
              <w:rPr>
                <w:rFonts w:ascii="Arial" w:hAnsi="Arial"/>
                <w:b/>
                <w:sz w:val="16"/>
              </w:rPr>
              <w:t>N</w:t>
            </w:r>
          </w:p>
        </w:tc>
        <w:tc>
          <w:tcPr>
            <w:tcW w:w="1088" w:type="dxa"/>
            <w:shd w:val="clear" w:color="auto" w:fill="D9EAF7"/>
            <w:vAlign w:val="center"/>
          </w:tcPr>
          <w:p w14:paraId="506A3C8C"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16A1AB57"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5336F256"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7DFB9CE3"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38BEB3E4" w14:textId="77777777" w:rsidR="004B250B" w:rsidRDefault="00000000">
            <w:pPr>
              <w:jc w:val="center"/>
            </w:pPr>
            <w:r>
              <w:rPr>
                <w:rFonts w:ascii="Arial" w:hAnsi="Arial"/>
                <w:b/>
                <w:sz w:val="16"/>
              </w:rPr>
              <w:t>Ovulatory cycles</w:t>
            </w:r>
          </w:p>
        </w:tc>
        <w:tc>
          <w:tcPr>
            <w:tcW w:w="1088" w:type="dxa"/>
            <w:shd w:val="clear" w:color="auto" w:fill="D9EAF7"/>
            <w:vAlign w:val="center"/>
          </w:tcPr>
          <w:p w14:paraId="0707FC3C" w14:textId="77777777" w:rsidR="004B250B" w:rsidRDefault="00000000">
            <w:pPr>
              <w:jc w:val="center"/>
            </w:pPr>
            <w:r>
              <w:rPr>
                <w:rFonts w:ascii="Arial" w:hAnsi="Arial"/>
                <w:b/>
                <w:sz w:val="16"/>
              </w:rPr>
              <w:t>Seizure days/month</w:t>
            </w:r>
          </w:p>
        </w:tc>
        <w:tc>
          <w:tcPr>
            <w:tcW w:w="1088" w:type="dxa"/>
            <w:shd w:val="clear" w:color="auto" w:fill="D9EAF7"/>
            <w:vAlign w:val="center"/>
          </w:tcPr>
          <w:p w14:paraId="58644B6F" w14:textId="77777777" w:rsidR="004B250B" w:rsidRDefault="00000000">
            <w:pPr>
              <w:jc w:val="center"/>
            </w:pPr>
            <w:r>
              <w:rPr>
                <w:rFonts w:ascii="Arial" w:hAnsi="Arial"/>
                <w:b/>
                <w:sz w:val="16"/>
              </w:rPr>
              <w:t>Seizures/month</w:t>
            </w:r>
          </w:p>
        </w:tc>
      </w:tr>
      <w:tr w:rsidR="004B250B" w14:paraId="00EFC970" w14:textId="77777777">
        <w:trPr>
          <w:jc w:val="center"/>
        </w:trPr>
        <w:tc>
          <w:tcPr>
            <w:tcW w:w="1088" w:type="dxa"/>
            <w:vAlign w:val="center"/>
          </w:tcPr>
          <w:p w14:paraId="3CFB842C" w14:textId="77777777" w:rsidR="004B250B" w:rsidRDefault="00000000">
            <w:pPr>
              <w:keepLines/>
              <w:spacing w:after="0"/>
            </w:pPr>
            <w:r>
              <w:t>Healthy ovulatory</w:t>
            </w:r>
          </w:p>
        </w:tc>
        <w:tc>
          <w:tcPr>
            <w:tcW w:w="1088" w:type="dxa"/>
            <w:vAlign w:val="center"/>
          </w:tcPr>
          <w:p w14:paraId="180A544B" w14:textId="77777777" w:rsidR="004B250B" w:rsidRDefault="00000000">
            <w:pPr>
              <w:keepLines/>
              <w:spacing w:after="0"/>
            </w:pPr>
            <w:r>
              <w:t>50,000</w:t>
            </w:r>
          </w:p>
        </w:tc>
        <w:tc>
          <w:tcPr>
            <w:tcW w:w="1088" w:type="dxa"/>
            <w:vAlign w:val="center"/>
          </w:tcPr>
          <w:p w14:paraId="5F507F96" w14:textId="77777777" w:rsidR="004B250B" w:rsidRDefault="00000000">
            <w:pPr>
              <w:keepLines/>
              <w:spacing w:after="0"/>
            </w:pPr>
            <w:r>
              <w:t>31.5</w:t>
            </w:r>
          </w:p>
        </w:tc>
        <w:tc>
          <w:tcPr>
            <w:tcW w:w="1088" w:type="dxa"/>
            <w:vAlign w:val="center"/>
          </w:tcPr>
          <w:p w14:paraId="2E3B7C21" w14:textId="77777777" w:rsidR="004B250B" w:rsidRDefault="00000000">
            <w:pPr>
              <w:keepLines/>
              <w:spacing w:after="0"/>
            </w:pPr>
            <w:r>
              <w:t>7.8</w:t>
            </w:r>
          </w:p>
        </w:tc>
        <w:tc>
          <w:tcPr>
            <w:tcW w:w="1088" w:type="dxa"/>
            <w:vAlign w:val="center"/>
          </w:tcPr>
          <w:p w14:paraId="3B15C146" w14:textId="77777777" w:rsidR="004B250B" w:rsidRDefault="00000000">
            <w:pPr>
              <w:keepLines/>
              <w:spacing w:after="0"/>
            </w:pPr>
            <w:r>
              <w:t>28.75</w:t>
            </w:r>
          </w:p>
        </w:tc>
        <w:tc>
          <w:tcPr>
            <w:tcW w:w="1088" w:type="dxa"/>
            <w:vAlign w:val="center"/>
          </w:tcPr>
          <w:p w14:paraId="4CA4789D" w14:textId="77777777" w:rsidR="004B250B" w:rsidRDefault="00000000">
            <w:pPr>
              <w:keepLines/>
              <w:spacing w:after="0"/>
            </w:pPr>
            <w:r>
              <w:t>3.93</w:t>
            </w:r>
          </w:p>
        </w:tc>
        <w:tc>
          <w:tcPr>
            <w:tcW w:w="1088" w:type="dxa"/>
            <w:vAlign w:val="center"/>
          </w:tcPr>
          <w:p w14:paraId="5CB4053C" w14:textId="77777777" w:rsidR="004B250B" w:rsidRDefault="00000000">
            <w:pPr>
              <w:keepLines/>
              <w:spacing w:after="0"/>
            </w:pPr>
            <w:r>
              <w:t>100.0%</w:t>
            </w:r>
          </w:p>
        </w:tc>
        <w:tc>
          <w:tcPr>
            <w:tcW w:w="1088" w:type="dxa"/>
            <w:vAlign w:val="center"/>
          </w:tcPr>
          <w:p w14:paraId="0139C5B6" w14:textId="77777777" w:rsidR="004B250B" w:rsidRDefault="00000000">
            <w:pPr>
              <w:keepLines/>
              <w:spacing w:after="0"/>
            </w:pPr>
            <w:r>
              <w:t>2.46</w:t>
            </w:r>
          </w:p>
        </w:tc>
        <w:tc>
          <w:tcPr>
            <w:tcW w:w="1088" w:type="dxa"/>
            <w:vAlign w:val="center"/>
          </w:tcPr>
          <w:p w14:paraId="206294B6" w14:textId="77777777" w:rsidR="004B250B" w:rsidRDefault="00000000">
            <w:pPr>
              <w:keepLines/>
              <w:spacing w:after="0"/>
            </w:pPr>
            <w:r>
              <w:t>6.83</w:t>
            </w:r>
          </w:p>
        </w:tc>
      </w:tr>
      <w:tr w:rsidR="004B250B" w14:paraId="44B26731" w14:textId="77777777">
        <w:trPr>
          <w:jc w:val="center"/>
        </w:trPr>
        <w:tc>
          <w:tcPr>
            <w:tcW w:w="1088" w:type="dxa"/>
            <w:vAlign w:val="center"/>
          </w:tcPr>
          <w:p w14:paraId="0A0F78F6" w14:textId="77777777" w:rsidR="004B250B" w:rsidRDefault="00000000">
            <w:pPr>
              <w:keepLines/>
              <w:spacing w:after="0"/>
            </w:pPr>
            <w:r>
              <w:t>Heterogeneous menstruating-age</w:t>
            </w:r>
          </w:p>
        </w:tc>
        <w:tc>
          <w:tcPr>
            <w:tcW w:w="1088" w:type="dxa"/>
            <w:vAlign w:val="center"/>
          </w:tcPr>
          <w:p w14:paraId="0EA03818" w14:textId="77777777" w:rsidR="004B250B" w:rsidRDefault="00000000">
            <w:pPr>
              <w:keepLines/>
              <w:spacing w:after="0"/>
            </w:pPr>
            <w:r>
              <w:t>50,000</w:t>
            </w:r>
          </w:p>
        </w:tc>
        <w:tc>
          <w:tcPr>
            <w:tcW w:w="1088" w:type="dxa"/>
            <w:vAlign w:val="center"/>
          </w:tcPr>
          <w:p w14:paraId="3394B953" w14:textId="77777777" w:rsidR="004B250B" w:rsidRDefault="00000000">
            <w:pPr>
              <w:keepLines/>
              <w:spacing w:after="0"/>
            </w:pPr>
            <w:r>
              <w:t>34.0</w:t>
            </w:r>
          </w:p>
        </w:tc>
        <w:tc>
          <w:tcPr>
            <w:tcW w:w="1088" w:type="dxa"/>
            <w:vAlign w:val="center"/>
          </w:tcPr>
          <w:p w14:paraId="6B967F5D" w14:textId="77777777" w:rsidR="004B250B" w:rsidRDefault="00000000">
            <w:pPr>
              <w:keepLines/>
              <w:spacing w:after="0"/>
            </w:pPr>
            <w:r>
              <w:t>12.1</w:t>
            </w:r>
          </w:p>
        </w:tc>
        <w:tc>
          <w:tcPr>
            <w:tcW w:w="1088" w:type="dxa"/>
            <w:vAlign w:val="center"/>
          </w:tcPr>
          <w:p w14:paraId="07A1074D" w14:textId="77777777" w:rsidR="004B250B" w:rsidRDefault="00000000">
            <w:pPr>
              <w:keepLines/>
              <w:spacing w:after="0"/>
            </w:pPr>
            <w:r>
              <w:t>30.10</w:t>
            </w:r>
          </w:p>
        </w:tc>
        <w:tc>
          <w:tcPr>
            <w:tcW w:w="1088" w:type="dxa"/>
            <w:vAlign w:val="center"/>
          </w:tcPr>
          <w:p w14:paraId="47A1D9D5" w14:textId="77777777" w:rsidR="004B250B" w:rsidRDefault="00000000">
            <w:pPr>
              <w:keepLines/>
              <w:spacing w:after="0"/>
            </w:pPr>
            <w:r>
              <w:t>5.60</w:t>
            </w:r>
          </w:p>
        </w:tc>
        <w:tc>
          <w:tcPr>
            <w:tcW w:w="1088" w:type="dxa"/>
            <w:vAlign w:val="center"/>
          </w:tcPr>
          <w:p w14:paraId="272E9773" w14:textId="77777777" w:rsidR="004B250B" w:rsidRDefault="00000000">
            <w:pPr>
              <w:keepLines/>
              <w:spacing w:after="0"/>
            </w:pPr>
            <w:r>
              <w:t>79.0%</w:t>
            </w:r>
          </w:p>
        </w:tc>
        <w:tc>
          <w:tcPr>
            <w:tcW w:w="1088" w:type="dxa"/>
            <w:vAlign w:val="center"/>
          </w:tcPr>
          <w:p w14:paraId="4174CCCD" w14:textId="77777777" w:rsidR="004B250B" w:rsidRDefault="00000000">
            <w:pPr>
              <w:keepLines/>
              <w:spacing w:after="0"/>
            </w:pPr>
            <w:r>
              <w:t>2.45</w:t>
            </w:r>
          </w:p>
        </w:tc>
        <w:tc>
          <w:tcPr>
            <w:tcW w:w="1088" w:type="dxa"/>
            <w:vAlign w:val="center"/>
          </w:tcPr>
          <w:p w14:paraId="38E1ACE4" w14:textId="77777777" w:rsidR="004B250B" w:rsidRDefault="00000000">
            <w:pPr>
              <w:keepLines/>
              <w:spacing w:after="0"/>
            </w:pPr>
            <w:r>
              <w:t>6.80</w:t>
            </w:r>
          </w:p>
        </w:tc>
      </w:tr>
    </w:tbl>
    <w:p w14:paraId="0B2D9DC4" w14:textId="77777777" w:rsidR="004B250B" w:rsidRDefault="004B250B">
      <w:pPr>
        <w:spacing w:after="0"/>
      </w:pPr>
    </w:p>
    <w:p w14:paraId="700A2F4F"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51C5D200" w14:textId="77777777" w:rsidR="004B250B" w:rsidRDefault="00000000">
      <w:r>
        <w:br w:type="page"/>
      </w:r>
    </w:p>
    <w:p w14:paraId="2D161DD9"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476"/>
        <w:gridCol w:w="1382"/>
        <w:gridCol w:w="1388"/>
        <w:gridCol w:w="1382"/>
        <w:gridCol w:w="1384"/>
        <w:gridCol w:w="1380"/>
        <w:gridCol w:w="1390"/>
      </w:tblGrid>
      <w:tr w:rsidR="004B250B" w14:paraId="58EBE6D0" w14:textId="77777777">
        <w:trPr>
          <w:tblHeader/>
          <w:jc w:val="center"/>
        </w:trPr>
        <w:tc>
          <w:tcPr>
            <w:tcW w:w="1399" w:type="dxa"/>
            <w:shd w:val="clear" w:color="auto" w:fill="D9EAF7"/>
            <w:vAlign w:val="center"/>
          </w:tcPr>
          <w:p w14:paraId="4483CB20" w14:textId="77777777" w:rsidR="004B250B" w:rsidRDefault="00000000">
            <w:pPr>
              <w:jc w:val="center"/>
            </w:pPr>
            <w:r>
              <w:rPr>
                <w:rFonts w:ascii="Arial" w:hAnsi="Arial"/>
                <w:b/>
                <w:sz w:val="14"/>
              </w:rPr>
              <w:t>Cohort</w:t>
            </w:r>
          </w:p>
        </w:tc>
        <w:tc>
          <w:tcPr>
            <w:tcW w:w="1399" w:type="dxa"/>
            <w:shd w:val="clear" w:color="auto" w:fill="D9EAF7"/>
            <w:vAlign w:val="center"/>
          </w:tcPr>
          <w:p w14:paraId="0F14546F" w14:textId="77777777" w:rsidR="004B250B" w:rsidRDefault="00000000">
            <w:pPr>
              <w:jc w:val="center"/>
            </w:pPr>
            <w:r>
              <w:rPr>
                <w:rFonts w:ascii="Arial" w:hAnsi="Arial"/>
                <w:b/>
                <w:sz w:val="14"/>
              </w:rPr>
              <w:t>Analysis window</w:t>
            </w:r>
          </w:p>
        </w:tc>
        <w:tc>
          <w:tcPr>
            <w:tcW w:w="1399" w:type="dxa"/>
            <w:shd w:val="clear" w:color="auto" w:fill="D9EAF7"/>
            <w:vAlign w:val="center"/>
          </w:tcPr>
          <w:p w14:paraId="19F7D695" w14:textId="77777777" w:rsidR="004B250B" w:rsidRDefault="00000000">
            <w:pPr>
              <w:jc w:val="center"/>
            </w:pPr>
            <w:r>
              <w:rPr>
                <w:rFonts w:ascii="Arial" w:hAnsi="Arial"/>
                <w:b/>
                <w:sz w:val="14"/>
              </w:rPr>
              <w:t>Definition</w:t>
            </w:r>
          </w:p>
        </w:tc>
        <w:tc>
          <w:tcPr>
            <w:tcW w:w="1399" w:type="dxa"/>
            <w:shd w:val="clear" w:color="auto" w:fill="D9EAF7"/>
            <w:vAlign w:val="center"/>
          </w:tcPr>
          <w:p w14:paraId="53EFC4B4"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305A1E89"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0C522BE3" w14:textId="77777777" w:rsidR="004B250B" w:rsidRDefault="00000000">
            <w:pPr>
              <w:jc w:val="center"/>
            </w:pPr>
            <w:r>
              <w:rPr>
                <w:rFonts w:ascii="Arial" w:hAnsi="Arial"/>
                <w:b/>
                <w:sz w:val="14"/>
              </w:rPr>
              <w:t>All attempted, %</w:t>
            </w:r>
          </w:p>
        </w:tc>
        <w:tc>
          <w:tcPr>
            <w:tcW w:w="1399" w:type="dxa"/>
            <w:shd w:val="clear" w:color="auto" w:fill="D9EAF7"/>
            <w:vAlign w:val="center"/>
          </w:tcPr>
          <w:p w14:paraId="476A6D32" w14:textId="77777777" w:rsidR="004B250B" w:rsidRDefault="00000000">
            <w:pPr>
              <w:jc w:val="center"/>
            </w:pPr>
            <w:r>
              <w:rPr>
                <w:rFonts w:ascii="Arial" w:hAnsi="Arial"/>
                <w:b/>
                <w:sz w:val="14"/>
              </w:rPr>
              <w:t>Indeterminate, %</w:t>
            </w:r>
          </w:p>
        </w:tc>
      </w:tr>
      <w:tr w:rsidR="004B250B" w14:paraId="2D2B5C75" w14:textId="77777777">
        <w:trPr>
          <w:jc w:val="center"/>
        </w:trPr>
        <w:tc>
          <w:tcPr>
            <w:tcW w:w="1399" w:type="dxa"/>
            <w:vAlign w:val="center"/>
          </w:tcPr>
          <w:p w14:paraId="6D02969F" w14:textId="77777777" w:rsidR="004B250B" w:rsidRDefault="00000000">
            <w:pPr>
              <w:keepLines/>
              <w:spacing w:after="0"/>
            </w:pPr>
            <w:r>
              <w:t>Healthy ovulatory</w:t>
            </w:r>
          </w:p>
        </w:tc>
        <w:tc>
          <w:tcPr>
            <w:tcW w:w="1399" w:type="dxa"/>
            <w:vAlign w:val="center"/>
          </w:tcPr>
          <w:p w14:paraId="17594288" w14:textId="77777777" w:rsidR="004B250B" w:rsidRDefault="00000000">
            <w:pPr>
              <w:keepLines/>
              <w:spacing w:after="0"/>
            </w:pPr>
            <w:r>
              <w:t>36-month full diary</w:t>
            </w:r>
          </w:p>
        </w:tc>
        <w:tc>
          <w:tcPr>
            <w:tcW w:w="1399" w:type="dxa"/>
            <w:vAlign w:val="center"/>
          </w:tcPr>
          <w:p w14:paraId="565A1D1E" w14:textId="77777777" w:rsidR="004B250B" w:rsidRDefault="00000000">
            <w:pPr>
              <w:keepLines/>
              <w:spacing w:after="0"/>
            </w:pPr>
            <w:r>
              <w:t>Windowed Herzog thresholds</w:t>
            </w:r>
          </w:p>
        </w:tc>
        <w:tc>
          <w:tcPr>
            <w:tcW w:w="1399" w:type="dxa"/>
            <w:vAlign w:val="center"/>
          </w:tcPr>
          <w:p w14:paraId="5A1BED33" w14:textId="77777777" w:rsidR="004B250B" w:rsidRDefault="00000000">
            <w:pPr>
              <w:keepLines/>
              <w:spacing w:after="0"/>
            </w:pPr>
            <w:r>
              <w:t>49,605 / 50,000</w:t>
            </w:r>
          </w:p>
        </w:tc>
        <w:tc>
          <w:tcPr>
            <w:tcW w:w="1399" w:type="dxa"/>
            <w:vAlign w:val="center"/>
          </w:tcPr>
          <w:p w14:paraId="7C67AD8B" w14:textId="77777777" w:rsidR="004B250B" w:rsidRDefault="00000000">
            <w:pPr>
              <w:keepLines/>
              <w:spacing w:after="0"/>
            </w:pPr>
            <w:r>
              <w:t>11.4 (11.1–11.6)</w:t>
            </w:r>
          </w:p>
        </w:tc>
        <w:tc>
          <w:tcPr>
            <w:tcW w:w="1399" w:type="dxa"/>
            <w:vAlign w:val="center"/>
          </w:tcPr>
          <w:p w14:paraId="30799C8B" w14:textId="77777777" w:rsidR="004B250B" w:rsidRDefault="00000000">
            <w:pPr>
              <w:keepLines/>
              <w:spacing w:after="0"/>
            </w:pPr>
            <w:r>
              <w:t>11.3</w:t>
            </w:r>
          </w:p>
        </w:tc>
        <w:tc>
          <w:tcPr>
            <w:tcW w:w="1399" w:type="dxa"/>
            <w:vAlign w:val="center"/>
          </w:tcPr>
          <w:p w14:paraId="44773B51" w14:textId="77777777" w:rsidR="004B250B" w:rsidRDefault="00000000">
            <w:pPr>
              <w:keepLines/>
              <w:spacing w:after="0"/>
            </w:pPr>
            <w:r>
              <w:t>0.8</w:t>
            </w:r>
          </w:p>
        </w:tc>
      </w:tr>
      <w:tr w:rsidR="004B250B" w14:paraId="44C5D3D9" w14:textId="77777777">
        <w:trPr>
          <w:jc w:val="center"/>
        </w:trPr>
        <w:tc>
          <w:tcPr>
            <w:tcW w:w="1399" w:type="dxa"/>
            <w:vAlign w:val="center"/>
          </w:tcPr>
          <w:p w14:paraId="7386B9A9" w14:textId="77777777" w:rsidR="004B250B" w:rsidRDefault="004B250B">
            <w:pPr>
              <w:keepLines/>
              <w:spacing w:after="0"/>
            </w:pPr>
          </w:p>
        </w:tc>
        <w:tc>
          <w:tcPr>
            <w:tcW w:w="1399" w:type="dxa"/>
            <w:vAlign w:val="center"/>
          </w:tcPr>
          <w:p w14:paraId="128D7B56" w14:textId="77777777" w:rsidR="004B250B" w:rsidRDefault="004B250B">
            <w:pPr>
              <w:keepLines/>
              <w:spacing w:after="0"/>
            </w:pPr>
          </w:p>
        </w:tc>
        <w:tc>
          <w:tcPr>
            <w:tcW w:w="1399" w:type="dxa"/>
            <w:vAlign w:val="center"/>
          </w:tcPr>
          <w:p w14:paraId="58C15E25" w14:textId="77777777" w:rsidR="004B250B" w:rsidRDefault="00000000">
            <w:pPr>
              <w:keepLines/>
              <w:spacing w:after="0"/>
            </w:pPr>
            <w:r>
              <w:t>Windowed Herzog C1/C2 union</w:t>
            </w:r>
          </w:p>
        </w:tc>
        <w:tc>
          <w:tcPr>
            <w:tcW w:w="1399" w:type="dxa"/>
            <w:vAlign w:val="center"/>
          </w:tcPr>
          <w:p w14:paraId="0D458B5C" w14:textId="77777777" w:rsidR="004B250B" w:rsidRDefault="00000000">
            <w:pPr>
              <w:keepLines/>
              <w:spacing w:after="0"/>
            </w:pPr>
            <w:r>
              <w:t>49,605 / 50,000</w:t>
            </w:r>
          </w:p>
        </w:tc>
        <w:tc>
          <w:tcPr>
            <w:tcW w:w="1399" w:type="dxa"/>
            <w:vAlign w:val="center"/>
          </w:tcPr>
          <w:p w14:paraId="3FFFFAB3" w14:textId="77777777" w:rsidR="004B250B" w:rsidRDefault="00000000">
            <w:pPr>
              <w:keepLines/>
              <w:spacing w:after="0"/>
            </w:pPr>
            <w:r>
              <w:t>11.4 (11.1–11.6)</w:t>
            </w:r>
          </w:p>
        </w:tc>
        <w:tc>
          <w:tcPr>
            <w:tcW w:w="1399" w:type="dxa"/>
            <w:vAlign w:val="center"/>
          </w:tcPr>
          <w:p w14:paraId="5A417A4B" w14:textId="77777777" w:rsidR="004B250B" w:rsidRDefault="00000000">
            <w:pPr>
              <w:keepLines/>
              <w:spacing w:after="0"/>
            </w:pPr>
            <w:r>
              <w:t>11.3</w:t>
            </w:r>
          </w:p>
        </w:tc>
        <w:tc>
          <w:tcPr>
            <w:tcW w:w="1399" w:type="dxa"/>
            <w:vAlign w:val="center"/>
          </w:tcPr>
          <w:p w14:paraId="1CFD8436" w14:textId="77777777" w:rsidR="004B250B" w:rsidRDefault="00000000">
            <w:pPr>
              <w:keepLines/>
              <w:spacing w:after="0"/>
            </w:pPr>
            <w:r>
              <w:t>0.8</w:t>
            </w:r>
          </w:p>
        </w:tc>
      </w:tr>
      <w:tr w:rsidR="004B250B" w14:paraId="3B80D884" w14:textId="77777777">
        <w:trPr>
          <w:jc w:val="center"/>
        </w:trPr>
        <w:tc>
          <w:tcPr>
            <w:tcW w:w="1399" w:type="dxa"/>
            <w:vAlign w:val="center"/>
          </w:tcPr>
          <w:p w14:paraId="745D0991" w14:textId="77777777" w:rsidR="004B250B" w:rsidRDefault="004B250B">
            <w:pPr>
              <w:keepLines/>
              <w:spacing w:after="0"/>
            </w:pPr>
          </w:p>
        </w:tc>
        <w:tc>
          <w:tcPr>
            <w:tcW w:w="1399" w:type="dxa"/>
            <w:vAlign w:val="center"/>
          </w:tcPr>
          <w:p w14:paraId="3044E26F" w14:textId="77777777" w:rsidR="004B250B" w:rsidRDefault="004B250B">
            <w:pPr>
              <w:keepLines/>
              <w:spacing w:after="0"/>
            </w:pPr>
          </w:p>
        </w:tc>
        <w:tc>
          <w:tcPr>
            <w:tcW w:w="1399" w:type="dxa"/>
            <w:vAlign w:val="center"/>
          </w:tcPr>
          <w:p w14:paraId="5DAF7F3C" w14:textId="77777777" w:rsidR="004B250B" w:rsidRDefault="00000000">
            <w:pPr>
              <w:keepLines/>
              <w:spacing w:after="0"/>
            </w:pPr>
            <w:r>
              <w:t>Herzog C1/C2 + ≥4 seizure-day minimum</w:t>
            </w:r>
          </w:p>
        </w:tc>
        <w:tc>
          <w:tcPr>
            <w:tcW w:w="1399" w:type="dxa"/>
            <w:vAlign w:val="center"/>
          </w:tcPr>
          <w:p w14:paraId="30B10281" w14:textId="77777777" w:rsidR="004B250B" w:rsidRDefault="00000000">
            <w:pPr>
              <w:keepLines/>
              <w:spacing w:after="0"/>
            </w:pPr>
            <w:r>
              <w:t>48,359 / 50,000</w:t>
            </w:r>
          </w:p>
        </w:tc>
        <w:tc>
          <w:tcPr>
            <w:tcW w:w="1399" w:type="dxa"/>
            <w:vAlign w:val="center"/>
          </w:tcPr>
          <w:p w14:paraId="11B9E350" w14:textId="77777777" w:rsidR="004B250B" w:rsidRDefault="00000000">
            <w:pPr>
              <w:keepLines/>
              <w:spacing w:after="0"/>
            </w:pPr>
            <w:r>
              <w:t>10.3 (10.1–10.6)</w:t>
            </w:r>
          </w:p>
        </w:tc>
        <w:tc>
          <w:tcPr>
            <w:tcW w:w="1399" w:type="dxa"/>
            <w:vAlign w:val="center"/>
          </w:tcPr>
          <w:p w14:paraId="23521C60" w14:textId="77777777" w:rsidR="004B250B" w:rsidRDefault="00000000">
            <w:pPr>
              <w:keepLines/>
              <w:spacing w:after="0"/>
            </w:pPr>
            <w:r>
              <w:t>10.0</w:t>
            </w:r>
          </w:p>
        </w:tc>
        <w:tc>
          <w:tcPr>
            <w:tcW w:w="1399" w:type="dxa"/>
            <w:vAlign w:val="center"/>
          </w:tcPr>
          <w:p w14:paraId="20175E14" w14:textId="77777777" w:rsidR="004B250B" w:rsidRDefault="00000000">
            <w:pPr>
              <w:keepLines/>
              <w:spacing w:after="0"/>
            </w:pPr>
            <w:r>
              <w:t>3.3</w:t>
            </w:r>
          </w:p>
        </w:tc>
      </w:tr>
      <w:tr w:rsidR="004B250B" w14:paraId="23EAB286" w14:textId="77777777">
        <w:trPr>
          <w:jc w:val="center"/>
        </w:trPr>
        <w:tc>
          <w:tcPr>
            <w:tcW w:w="1399" w:type="dxa"/>
            <w:vAlign w:val="center"/>
          </w:tcPr>
          <w:p w14:paraId="58FF2315" w14:textId="77777777" w:rsidR="004B250B" w:rsidRDefault="004B250B">
            <w:pPr>
              <w:keepLines/>
              <w:spacing w:after="0"/>
            </w:pPr>
          </w:p>
        </w:tc>
        <w:tc>
          <w:tcPr>
            <w:tcW w:w="1399" w:type="dxa"/>
            <w:vAlign w:val="center"/>
          </w:tcPr>
          <w:p w14:paraId="4EF1C262" w14:textId="77777777" w:rsidR="004B250B" w:rsidRDefault="004B250B">
            <w:pPr>
              <w:keepLines/>
              <w:spacing w:after="0"/>
            </w:pPr>
          </w:p>
        </w:tc>
        <w:tc>
          <w:tcPr>
            <w:tcW w:w="1399" w:type="dxa"/>
            <w:vAlign w:val="center"/>
          </w:tcPr>
          <w:p w14:paraId="2BBAF6B4" w14:textId="77777777" w:rsidR="004B250B" w:rsidRDefault="00000000">
            <w:pPr>
              <w:keepLines/>
              <w:spacing w:after="0"/>
            </w:pPr>
            <w:r>
              <w:t>Negative-binomial C1/C2 calibration</w:t>
            </w:r>
          </w:p>
        </w:tc>
        <w:tc>
          <w:tcPr>
            <w:tcW w:w="1399" w:type="dxa"/>
            <w:vAlign w:val="center"/>
          </w:tcPr>
          <w:p w14:paraId="3E972DB5" w14:textId="77777777" w:rsidR="004B250B" w:rsidRDefault="00000000">
            <w:pPr>
              <w:keepLines/>
              <w:spacing w:after="0"/>
            </w:pPr>
            <w:r>
              <w:t>48,359 / 50,000</w:t>
            </w:r>
          </w:p>
        </w:tc>
        <w:tc>
          <w:tcPr>
            <w:tcW w:w="1399" w:type="dxa"/>
            <w:vAlign w:val="center"/>
          </w:tcPr>
          <w:p w14:paraId="48C15C2F" w14:textId="77777777" w:rsidR="004B250B" w:rsidRDefault="00000000">
            <w:pPr>
              <w:keepLines/>
              <w:spacing w:after="0"/>
            </w:pPr>
            <w:r>
              <w:t>4.3 (4.1–4.5)</w:t>
            </w:r>
          </w:p>
        </w:tc>
        <w:tc>
          <w:tcPr>
            <w:tcW w:w="1399" w:type="dxa"/>
            <w:vAlign w:val="center"/>
          </w:tcPr>
          <w:p w14:paraId="3CFA5256" w14:textId="77777777" w:rsidR="004B250B" w:rsidRDefault="00000000">
            <w:pPr>
              <w:keepLines/>
              <w:spacing w:after="0"/>
            </w:pPr>
            <w:r>
              <w:t>4.2</w:t>
            </w:r>
          </w:p>
        </w:tc>
        <w:tc>
          <w:tcPr>
            <w:tcW w:w="1399" w:type="dxa"/>
            <w:vAlign w:val="center"/>
          </w:tcPr>
          <w:p w14:paraId="6A359038" w14:textId="77777777" w:rsidR="004B250B" w:rsidRDefault="00000000">
            <w:pPr>
              <w:keepLines/>
              <w:spacing w:after="0"/>
            </w:pPr>
            <w:r>
              <w:t>3.3</w:t>
            </w:r>
          </w:p>
        </w:tc>
      </w:tr>
      <w:tr w:rsidR="004B250B" w14:paraId="33DC33EE" w14:textId="77777777">
        <w:trPr>
          <w:jc w:val="center"/>
        </w:trPr>
        <w:tc>
          <w:tcPr>
            <w:tcW w:w="1399" w:type="dxa"/>
            <w:vAlign w:val="center"/>
          </w:tcPr>
          <w:p w14:paraId="7DCF9405" w14:textId="77777777" w:rsidR="004B250B" w:rsidRDefault="004B250B">
            <w:pPr>
              <w:keepLines/>
              <w:spacing w:after="0"/>
            </w:pPr>
          </w:p>
        </w:tc>
        <w:tc>
          <w:tcPr>
            <w:tcW w:w="1399" w:type="dxa"/>
            <w:vAlign w:val="center"/>
          </w:tcPr>
          <w:p w14:paraId="1F6E7FC0" w14:textId="77777777" w:rsidR="004B250B" w:rsidRDefault="00000000">
            <w:pPr>
              <w:keepLines/>
              <w:spacing w:after="0"/>
            </w:pPr>
            <w:r>
              <w:t>3-month calendar</w:t>
            </w:r>
          </w:p>
        </w:tc>
        <w:tc>
          <w:tcPr>
            <w:tcW w:w="1399" w:type="dxa"/>
            <w:vAlign w:val="center"/>
          </w:tcPr>
          <w:p w14:paraId="6D27ACDB" w14:textId="77777777" w:rsidR="004B250B" w:rsidRDefault="00000000">
            <w:pPr>
              <w:keepLines/>
              <w:spacing w:after="0"/>
            </w:pPr>
            <w:r>
              <w:t>Windowed Herzog thresholds</w:t>
            </w:r>
          </w:p>
        </w:tc>
        <w:tc>
          <w:tcPr>
            <w:tcW w:w="1399" w:type="dxa"/>
            <w:vAlign w:val="center"/>
          </w:tcPr>
          <w:p w14:paraId="261F5209" w14:textId="77777777" w:rsidR="004B250B" w:rsidRDefault="00000000">
            <w:pPr>
              <w:keepLines/>
              <w:spacing w:after="0"/>
            </w:pPr>
            <w:r>
              <w:t>45,321 / 50,000</w:t>
            </w:r>
          </w:p>
        </w:tc>
        <w:tc>
          <w:tcPr>
            <w:tcW w:w="1399" w:type="dxa"/>
            <w:vAlign w:val="center"/>
          </w:tcPr>
          <w:p w14:paraId="1A9ADC25" w14:textId="77777777" w:rsidR="004B250B" w:rsidRDefault="00000000">
            <w:pPr>
              <w:keepLines/>
              <w:spacing w:after="0"/>
            </w:pPr>
            <w:r>
              <w:t>41.6 (41.2–42.1)</w:t>
            </w:r>
          </w:p>
        </w:tc>
        <w:tc>
          <w:tcPr>
            <w:tcW w:w="1399" w:type="dxa"/>
            <w:vAlign w:val="center"/>
          </w:tcPr>
          <w:p w14:paraId="41FC25BF" w14:textId="77777777" w:rsidR="004B250B" w:rsidRDefault="00000000">
            <w:pPr>
              <w:keepLines/>
              <w:spacing w:after="0"/>
            </w:pPr>
            <w:r>
              <w:t>37.7</w:t>
            </w:r>
          </w:p>
        </w:tc>
        <w:tc>
          <w:tcPr>
            <w:tcW w:w="1399" w:type="dxa"/>
            <w:vAlign w:val="center"/>
          </w:tcPr>
          <w:p w14:paraId="0140F3F8" w14:textId="77777777" w:rsidR="004B250B" w:rsidRDefault="00000000">
            <w:pPr>
              <w:keepLines/>
              <w:spacing w:after="0"/>
            </w:pPr>
            <w:r>
              <w:t>9.4</w:t>
            </w:r>
          </w:p>
        </w:tc>
      </w:tr>
      <w:tr w:rsidR="004B250B" w14:paraId="4388D0E8" w14:textId="77777777">
        <w:trPr>
          <w:jc w:val="center"/>
        </w:trPr>
        <w:tc>
          <w:tcPr>
            <w:tcW w:w="1399" w:type="dxa"/>
            <w:vAlign w:val="center"/>
          </w:tcPr>
          <w:p w14:paraId="21C10C34" w14:textId="77777777" w:rsidR="004B250B" w:rsidRDefault="004B250B">
            <w:pPr>
              <w:keepLines/>
              <w:spacing w:after="0"/>
            </w:pPr>
          </w:p>
        </w:tc>
        <w:tc>
          <w:tcPr>
            <w:tcW w:w="1399" w:type="dxa"/>
            <w:vAlign w:val="center"/>
          </w:tcPr>
          <w:p w14:paraId="05FDE499" w14:textId="77777777" w:rsidR="004B250B" w:rsidRDefault="00000000">
            <w:pPr>
              <w:keepLines/>
              <w:spacing w:after="0"/>
            </w:pPr>
            <w:r>
              <w:t>3 complete cycles</w:t>
            </w:r>
          </w:p>
        </w:tc>
        <w:tc>
          <w:tcPr>
            <w:tcW w:w="1399" w:type="dxa"/>
            <w:vAlign w:val="center"/>
          </w:tcPr>
          <w:p w14:paraId="7837782A" w14:textId="77777777" w:rsidR="004B250B" w:rsidRDefault="00000000">
            <w:pPr>
              <w:keepLines/>
              <w:spacing w:after="0"/>
            </w:pPr>
            <w:r>
              <w:t>Exact Herzog 2004, any pattern</w:t>
            </w:r>
          </w:p>
        </w:tc>
        <w:tc>
          <w:tcPr>
            <w:tcW w:w="1399" w:type="dxa"/>
            <w:vAlign w:val="center"/>
          </w:tcPr>
          <w:p w14:paraId="0309DCC2" w14:textId="77777777" w:rsidR="004B250B" w:rsidRDefault="00000000">
            <w:pPr>
              <w:keepLines/>
              <w:spacing w:after="0"/>
            </w:pPr>
            <w:r>
              <w:t>22,113 / 50,000</w:t>
            </w:r>
          </w:p>
        </w:tc>
        <w:tc>
          <w:tcPr>
            <w:tcW w:w="1399" w:type="dxa"/>
            <w:vAlign w:val="center"/>
          </w:tcPr>
          <w:p w14:paraId="2C66B327" w14:textId="77777777" w:rsidR="004B250B" w:rsidRDefault="00000000">
            <w:pPr>
              <w:keepLines/>
              <w:spacing w:after="0"/>
            </w:pPr>
            <w:r>
              <w:t>50.5 (49.9–51.2)</w:t>
            </w:r>
          </w:p>
        </w:tc>
        <w:tc>
          <w:tcPr>
            <w:tcW w:w="1399" w:type="dxa"/>
            <w:vAlign w:val="center"/>
          </w:tcPr>
          <w:p w14:paraId="7AF3AD3E" w14:textId="77777777" w:rsidR="004B250B" w:rsidRDefault="00000000">
            <w:pPr>
              <w:keepLines/>
              <w:spacing w:after="0"/>
            </w:pPr>
            <w:r>
              <w:t>22.3</w:t>
            </w:r>
          </w:p>
        </w:tc>
        <w:tc>
          <w:tcPr>
            <w:tcW w:w="1399" w:type="dxa"/>
            <w:vAlign w:val="center"/>
          </w:tcPr>
          <w:p w14:paraId="714A1EB4" w14:textId="77777777" w:rsidR="004B250B" w:rsidRDefault="00000000">
            <w:pPr>
              <w:keepLines/>
              <w:spacing w:after="0"/>
            </w:pPr>
            <w:r>
              <w:t>55.8</w:t>
            </w:r>
          </w:p>
        </w:tc>
      </w:tr>
      <w:tr w:rsidR="004B250B" w14:paraId="2B8F5F91" w14:textId="77777777">
        <w:trPr>
          <w:jc w:val="center"/>
        </w:trPr>
        <w:tc>
          <w:tcPr>
            <w:tcW w:w="1399" w:type="dxa"/>
            <w:vAlign w:val="center"/>
          </w:tcPr>
          <w:p w14:paraId="72C33550" w14:textId="77777777" w:rsidR="004B250B" w:rsidRDefault="00000000">
            <w:pPr>
              <w:keepLines/>
              <w:spacing w:after="0"/>
            </w:pPr>
            <w:r>
              <w:t>Heterogeneous menstruating-age</w:t>
            </w:r>
          </w:p>
        </w:tc>
        <w:tc>
          <w:tcPr>
            <w:tcW w:w="1399" w:type="dxa"/>
            <w:vAlign w:val="center"/>
          </w:tcPr>
          <w:p w14:paraId="45E12085" w14:textId="77777777" w:rsidR="004B250B" w:rsidRDefault="00000000">
            <w:pPr>
              <w:keepLines/>
              <w:spacing w:after="0"/>
            </w:pPr>
            <w:r>
              <w:t>36-month full diary</w:t>
            </w:r>
          </w:p>
        </w:tc>
        <w:tc>
          <w:tcPr>
            <w:tcW w:w="1399" w:type="dxa"/>
            <w:vAlign w:val="center"/>
          </w:tcPr>
          <w:p w14:paraId="68A95BB7" w14:textId="77777777" w:rsidR="004B250B" w:rsidRDefault="00000000">
            <w:pPr>
              <w:keepLines/>
              <w:spacing w:after="0"/>
            </w:pPr>
            <w:r>
              <w:t>Windowed Herzog thresholds</w:t>
            </w:r>
          </w:p>
        </w:tc>
        <w:tc>
          <w:tcPr>
            <w:tcW w:w="1399" w:type="dxa"/>
            <w:vAlign w:val="center"/>
          </w:tcPr>
          <w:p w14:paraId="44306DAC" w14:textId="77777777" w:rsidR="004B250B" w:rsidRDefault="00000000">
            <w:pPr>
              <w:keepLines/>
              <w:spacing w:after="0"/>
            </w:pPr>
            <w:r>
              <w:t>49,587 / 50,000</w:t>
            </w:r>
          </w:p>
        </w:tc>
        <w:tc>
          <w:tcPr>
            <w:tcW w:w="1399" w:type="dxa"/>
            <w:vAlign w:val="center"/>
          </w:tcPr>
          <w:p w14:paraId="10EC326F" w14:textId="77777777" w:rsidR="004B250B" w:rsidRDefault="00000000">
            <w:pPr>
              <w:keepLines/>
              <w:spacing w:after="0"/>
            </w:pPr>
            <w:r>
              <w:t>35.9 (35.5–36.3)</w:t>
            </w:r>
          </w:p>
        </w:tc>
        <w:tc>
          <w:tcPr>
            <w:tcW w:w="1399" w:type="dxa"/>
            <w:vAlign w:val="center"/>
          </w:tcPr>
          <w:p w14:paraId="505782B9" w14:textId="77777777" w:rsidR="004B250B" w:rsidRDefault="00000000">
            <w:pPr>
              <w:keepLines/>
              <w:spacing w:after="0"/>
            </w:pPr>
            <w:r>
              <w:t>35.6</w:t>
            </w:r>
          </w:p>
        </w:tc>
        <w:tc>
          <w:tcPr>
            <w:tcW w:w="1399" w:type="dxa"/>
            <w:vAlign w:val="center"/>
          </w:tcPr>
          <w:p w14:paraId="483EC81A" w14:textId="77777777" w:rsidR="004B250B" w:rsidRDefault="00000000">
            <w:pPr>
              <w:keepLines/>
              <w:spacing w:after="0"/>
            </w:pPr>
            <w:r>
              <w:t>0.8</w:t>
            </w:r>
          </w:p>
        </w:tc>
      </w:tr>
      <w:tr w:rsidR="004B250B" w14:paraId="4460DC28" w14:textId="77777777">
        <w:trPr>
          <w:jc w:val="center"/>
        </w:trPr>
        <w:tc>
          <w:tcPr>
            <w:tcW w:w="1399" w:type="dxa"/>
            <w:vAlign w:val="center"/>
          </w:tcPr>
          <w:p w14:paraId="36521A83" w14:textId="77777777" w:rsidR="004B250B" w:rsidRDefault="004B250B">
            <w:pPr>
              <w:keepLines/>
              <w:spacing w:after="0"/>
            </w:pPr>
          </w:p>
        </w:tc>
        <w:tc>
          <w:tcPr>
            <w:tcW w:w="1399" w:type="dxa"/>
            <w:vAlign w:val="center"/>
          </w:tcPr>
          <w:p w14:paraId="06CFEF75" w14:textId="77777777" w:rsidR="004B250B" w:rsidRDefault="004B250B">
            <w:pPr>
              <w:keepLines/>
              <w:spacing w:after="0"/>
            </w:pPr>
          </w:p>
        </w:tc>
        <w:tc>
          <w:tcPr>
            <w:tcW w:w="1399" w:type="dxa"/>
            <w:vAlign w:val="center"/>
          </w:tcPr>
          <w:p w14:paraId="72220323" w14:textId="77777777" w:rsidR="004B250B" w:rsidRDefault="00000000">
            <w:pPr>
              <w:keepLines/>
              <w:spacing w:after="0"/>
            </w:pPr>
            <w:r>
              <w:t>Windowed Herzog C1/C2 union</w:t>
            </w:r>
          </w:p>
        </w:tc>
        <w:tc>
          <w:tcPr>
            <w:tcW w:w="1399" w:type="dxa"/>
            <w:vAlign w:val="center"/>
          </w:tcPr>
          <w:p w14:paraId="1DDF594B" w14:textId="77777777" w:rsidR="004B250B" w:rsidRDefault="00000000">
            <w:pPr>
              <w:keepLines/>
              <w:spacing w:after="0"/>
            </w:pPr>
            <w:r>
              <w:t>49,587 / 50,000</w:t>
            </w:r>
          </w:p>
        </w:tc>
        <w:tc>
          <w:tcPr>
            <w:tcW w:w="1399" w:type="dxa"/>
            <w:vAlign w:val="center"/>
          </w:tcPr>
          <w:p w14:paraId="1C71443A" w14:textId="77777777" w:rsidR="004B250B" w:rsidRDefault="00000000">
            <w:pPr>
              <w:keepLines/>
              <w:spacing w:after="0"/>
            </w:pPr>
            <w:r>
              <w:t>11.6 (11.3–11.9)</w:t>
            </w:r>
          </w:p>
        </w:tc>
        <w:tc>
          <w:tcPr>
            <w:tcW w:w="1399" w:type="dxa"/>
            <w:vAlign w:val="center"/>
          </w:tcPr>
          <w:p w14:paraId="40531E77" w14:textId="77777777" w:rsidR="004B250B" w:rsidRDefault="00000000">
            <w:pPr>
              <w:keepLines/>
              <w:spacing w:after="0"/>
            </w:pPr>
            <w:r>
              <w:t>11.5</w:t>
            </w:r>
          </w:p>
        </w:tc>
        <w:tc>
          <w:tcPr>
            <w:tcW w:w="1399" w:type="dxa"/>
            <w:vAlign w:val="center"/>
          </w:tcPr>
          <w:p w14:paraId="4FC49A50" w14:textId="77777777" w:rsidR="004B250B" w:rsidRDefault="00000000">
            <w:pPr>
              <w:keepLines/>
              <w:spacing w:after="0"/>
            </w:pPr>
            <w:r>
              <w:t>0.8</w:t>
            </w:r>
          </w:p>
        </w:tc>
      </w:tr>
      <w:tr w:rsidR="004B250B" w14:paraId="1D6EB42E" w14:textId="77777777">
        <w:trPr>
          <w:jc w:val="center"/>
        </w:trPr>
        <w:tc>
          <w:tcPr>
            <w:tcW w:w="1399" w:type="dxa"/>
            <w:vAlign w:val="center"/>
          </w:tcPr>
          <w:p w14:paraId="52EAD65A" w14:textId="77777777" w:rsidR="004B250B" w:rsidRDefault="004B250B">
            <w:pPr>
              <w:keepLines/>
              <w:spacing w:after="0"/>
            </w:pPr>
          </w:p>
        </w:tc>
        <w:tc>
          <w:tcPr>
            <w:tcW w:w="1399" w:type="dxa"/>
            <w:vAlign w:val="center"/>
          </w:tcPr>
          <w:p w14:paraId="162E2326" w14:textId="77777777" w:rsidR="004B250B" w:rsidRDefault="004B250B">
            <w:pPr>
              <w:keepLines/>
              <w:spacing w:after="0"/>
            </w:pPr>
          </w:p>
        </w:tc>
        <w:tc>
          <w:tcPr>
            <w:tcW w:w="1399" w:type="dxa"/>
            <w:vAlign w:val="center"/>
          </w:tcPr>
          <w:p w14:paraId="0307243A" w14:textId="77777777" w:rsidR="004B250B" w:rsidRDefault="00000000">
            <w:pPr>
              <w:keepLines/>
              <w:spacing w:after="0"/>
            </w:pPr>
            <w:r>
              <w:t>Windowed Herzog C3 only</w:t>
            </w:r>
          </w:p>
        </w:tc>
        <w:tc>
          <w:tcPr>
            <w:tcW w:w="1399" w:type="dxa"/>
            <w:vAlign w:val="center"/>
          </w:tcPr>
          <w:p w14:paraId="44057A1F" w14:textId="77777777" w:rsidR="004B250B" w:rsidRDefault="00000000">
            <w:pPr>
              <w:keepLines/>
              <w:spacing w:after="0"/>
            </w:pPr>
            <w:r>
              <w:t>38,538 / 50,000</w:t>
            </w:r>
          </w:p>
        </w:tc>
        <w:tc>
          <w:tcPr>
            <w:tcW w:w="1399" w:type="dxa"/>
            <w:vAlign w:val="center"/>
          </w:tcPr>
          <w:p w14:paraId="212AC1D2" w14:textId="77777777" w:rsidR="004B250B" w:rsidRDefault="00000000">
            <w:pPr>
              <w:keepLines/>
              <w:spacing w:after="0"/>
            </w:pPr>
            <w:r>
              <w:t>37.1 (36.6–37.6)</w:t>
            </w:r>
          </w:p>
        </w:tc>
        <w:tc>
          <w:tcPr>
            <w:tcW w:w="1399" w:type="dxa"/>
            <w:vAlign w:val="center"/>
          </w:tcPr>
          <w:p w14:paraId="005A5582" w14:textId="77777777" w:rsidR="004B250B" w:rsidRDefault="00000000">
            <w:pPr>
              <w:keepLines/>
              <w:spacing w:after="0"/>
            </w:pPr>
            <w:r>
              <w:t>28.6</w:t>
            </w:r>
          </w:p>
        </w:tc>
        <w:tc>
          <w:tcPr>
            <w:tcW w:w="1399" w:type="dxa"/>
            <w:vAlign w:val="center"/>
          </w:tcPr>
          <w:p w14:paraId="248F02E4" w14:textId="77777777" w:rsidR="004B250B" w:rsidRDefault="00000000">
            <w:pPr>
              <w:keepLines/>
              <w:spacing w:after="0"/>
            </w:pPr>
            <w:r>
              <w:t>22.9</w:t>
            </w:r>
          </w:p>
        </w:tc>
      </w:tr>
      <w:tr w:rsidR="004B250B" w14:paraId="6A6002FD" w14:textId="77777777">
        <w:trPr>
          <w:jc w:val="center"/>
        </w:trPr>
        <w:tc>
          <w:tcPr>
            <w:tcW w:w="1399" w:type="dxa"/>
            <w:vAlign w:val="center"/>
          </w:tcPr>
          <w:p w14:paraId="3B031849" w14:textId="77777777" w:rsidR="004B250B" w:rsidRDefault="004B250B">
            <w:pPr>
              <w:keepLines/>
              <w:spacing w:after="0"/>
            </w:pPr>
          </w:p>
        </w:tc>
        <w:tc>
          <w:tcPr>
            <w:tcW w:w="1399" w:type="dxa"/>
            <w:vAlign w:val="center"/>
          </w:tcPr>
          <w:p w14:paraId="00C77E9E" w14:textId="77777777" w:rsidR="004B250B" w:rsidRDefault="004B250B">
            <w:pPr>
              <w:keepLines/>
              <w:spacing w:after="0"/>
            </w:pPr>
          </w:p>
        </w:tc>
        <w:tc>
          <w:tcPr>
            <w:tcW w:w="1399" w:type="dxa"/>
            <w:vAlign w:val="center"/>
          </w:tcPr>
          <w:p w14:paraId="00511B90" w14:textId="77777777" w:rsidR="004B250B" w:rsidRDefault="00000000">
            <w:pPr>
              <w:keepLines/>
              <w:spacing w:after="0"/>
            </w:pPr>
            <w:r>
              <w:t>Herzog C1/C2 + ≥4 seizure-day minimum</w:t>
            </w:r>
          </w:p>
        </w:tc>
        <w:tc>
          <w:tcPr>
            <w:tcW w:w="1399" w:type="dxa"/>
            <w:vAlign w:val="center"/>
          </w:tcPr>
          <w:p w14:paraId="429B2494" w14:textId="77777777" w:rsidR="004B250B" w:rsidRDefault="00000000">
            <w:pPr>
              <w:keepLines/>
              <w:spacing w:after="0"/>
            </w:pPr>
            <w:r>
              <w:t>48,333 / 50,000</w:t>
            </w:r>
          </w:p>
        </w:tc>
        <w:tc>
          <w:tcPr>
            <w:tcW w:w="1399" w:type="dxa"/>
            <w:vAlign w:val="center"/>
          </w:tcPr>
          <w:p w14:paraId="54D708C2" w14:textId="77777777" w:rsidR="004B250B" w:rsidRDefault="00000000">
            <w:pPr>
              <w:keepLines/>
              <w:spacing w:after="0"/>
            </w:pPr>
            <w:r>
              <w:t>10.5 (10.2–10.8)</w:t>
            </w:r>
          </w:p>
        </w:tc>
        <w:tc>
          <w:tcPr>
            <w:tcW w:w="1399" w:type="dxa"/>
            <w:vAlign w:val="center"/>
          </w:tcPr>
          <w:p w14:paraId="5877D763" w14:textId="77777777" w:rsidR="004B250B" w:rsidRDefault="00000000">
            <w:pPr>
              <w:keepLines/>
              <w:spacing w:after="0"/>
            </w:pPr>
            <w:r>
              <w:t>10.1</w:t>
            </w:r>
          </w:p>
        </w:tc>
        <w:tc>
          <w:tcPr>
            <w:tcW w:w="1399" w:type="dxa"/>
            <w:vAlign w:val="center"/>
          </w:tcPr>
          <w:p w14:paraId="088ED3CD" w14:textId="77777777" w:rsidR="004B250B" w:rsidRDefault="00000000">
            <w:pPr>
              <w:keepLines/>
              <w:spacing w:after="0"/>
            </w:pPr>
            <w:r>
              <w:t>3.3</w:t>
            </w:r>
          </w:p>
        </w:tc>
      </w:tr>
      <w:tr w:rsidR="004B250B" w14:paraId="14A433CB" w14:textId="77777777">
        <w:trPr>
          <w:jc w:val="center"/>
        </w:trPr>
        <w:tc>
          <w:tcPr>
            <w:tcW w:w="1399" w:type="dxa"/>
            <w:vAlign w:val="center"/>
          </w:tcPr>
          <w:p w14:paraId="005F8180" w14:textId="77777777" w:rsidR="004B250B" w:rsidRDefault="004B250B">
            <w:pPr>
              <w:keepLines/>
              <w:spacing w:after="0"/>
            </w:pPr>
          </w:p>
        </w:tc>
        <w:tc>
          <w:tcPr>
            <w:tcW w:w="1399" w:type="dxa"/>
            <w:vAlign w:val="center"/>
          </w:tcPr>
          <w:p w14:paraId="6AF7B9F4" w14:textId="77777777" w:rsidR="004B250B" w:rsidRDefault="004B250B">
            <w:pPr>
              <w:keepLines/>
              <w:spacing w:after="0"/>
            </w:pPr>
          </w:p>
        </w:tc>
        <w:tc>
          <w:tcPr>
            <w:tcW w:w="1399" w:type="dxa"/>
            <w:vAlign w:val="center"/>
          </w:tcPr>
          <w:p w14:paraId="3CA5B729" w14:textId="77777777" w:rsidR="004B250B" w:rsidRDefault="00000000">
            <w:pPr>
              <w:keepLines/>
              <w:spacing w:after="0"/>
            </w:pPr>
            <w:r>
              <w:t>Negative-binomial C1/C2 calibration</w:t>
            </w:r>
          </w:p>
        </w:tc>
        <w:tc>
          <w:tcPr>
            <w:tcW w:w="1399" w:type="dxa"/>
            <w:vAlign w:val="center"/>
          </w:tcPr>
          <w:p w14:paraId="3C7068CD" w14:textId="77777777" w:rsidR="004B250B" w:rsidRDefault="00000000">
            <w:pPr>
              <w:keepLines/>
              <w:spacing w:after="0"/>
            </w:pPr>
            <w:r>
              <w:t>48,333 / 50,000</w:t>
            </w:r>
          </w:p>
        </w:tc>
        <w:tc>
          <w:tcPr>
            <w:tcW w:w="1399" w:type="dxa"/>
            <w:vAlign w:val="center"/>
          </w:tcPr>
          <w:p w14:paraId="3F715032" w14:textId="77777777" w:rsidR="004B250B" w:rsidRDefault="00000000">
            <w:pPr>
              <w:keepLines/>
              <w:spacing w:after="0"/>
            </w:pPr>
            <w:r>
              <w:t>4.3 (4.1–4.4)</w:t>
            </w:r>
          </w:p>
        </w:tc>
        <w:tc>
          <w:tcPr>
            <w:tcW w:w="1399" w:type="dxa"/>
            <w:vAlign w:val="center"/>
          </w:tcPr>
          <w:p w14:paraId="791E7231" w14:textId="77777777" w:rsidR="004B250B" w:rsidRDefault="00000000">
            <w:pPr>
              <w:keepLines/>
              <w:spacing w:after="0"/>
            </w:pPr>
            <w:r>
              <w:t>4.1</w:t>
            </w:r>
          </w:p>
        </w:tc>
        <w:tc>
          <w:tcPr>
            <w:tcW w:w="1399" w:type="dxa"/>
            <w:vAlign w:val="center"/>
          </w:tcPr>
          <w:p w14:paraId="200FAE73" w14:textId="77777777" w:rsidR="004B250B" w:rsidRDefault="00000000">
            <w:pPr>
              <w:keepLines/>
              <w:spacing w:after="0"/>
            </w:pPr>
            <w:r>
              <w:t>3.3</w:t>
            </w:r>
          </w:p>
        </w:tc>
      </w:tr>
      <w:tr w:rsidR="004B250B" w14:paraId="6860DBE0" w14:textId="77777777">
        <w:trPr>
          <w:jc w:val="center"/>
        </w:trPr>
        <w:tc>
          <w:tcPr>
            <w:tcW w:w="1399" w:type="dxa"/>
            <w:vAlign w:val="center"/>
          </w:tcPr>
          <w:p w14:paraId="7A63A731" w14:textId="77777777" w:rsidR="004B250B" w:rsidRDefault="004B250B">
            <w:pPr>
              <w:keepLines/>
              <w:spacing w:after="0"/>
            </w:pPr>
          </w:p>
        </w:tc>
        <w:tc>
          <w:tcPr>
            <w:tcW w:w="1399" w:type="dxa"/>
            <w:vAlign w:val="center"/>
          </w:tcPr>
          <w:p w14:paraId="5C1208B2" w14:textId="77777777" w:rsidR="004B250B" w:rsidRDefault="00000000">
            <w:pPr>
              <w:keepLines/>
              <w:spacing w:after="0"/>
            </w:pPr>
            <w:r>
              <w:t>3-month calendar</w:t>
            </w:r>
          </w:p>
        </w:tc>
        <w:tc>
          <w:tcPr>
            <w:tcW w:w="1399" w:type="dxa"/>
            <w:vAlign w:val="center"/>
          </w:tcPr>
          <w:p w14:paraId="3AE48548" w14:textId="77777777" w:rsidR="004B250B" w:rsidRDefault="00000000">
            <w:pPr>
              <w:keepLines/>
              <w:spacing w:after="0"/>
            </w:pPr>
            <w:r>
              <w:t>Windowed Herzog thresholds</w:t>
            </w:r>
          </w:p>
        </w:tc>
        <w:tc>
          <w:tcPr>
            <w:tcW w:w="1399" w:type="dxa"/>
            <w:vAlign w:val="center"/>
          </w:tcPr>
          <w:p w14:paraId="6BD9F538" w14:textId="77777777" w:rsidR="004B250B" w:rsidRDefault="00000000">
            <w:pPr>
              <w:keepLines/>
              <w:spacing w:after="0"/>
            </w:pPr>
            <w:r>
              <w:t>45,194 / 50,000</w:t>
            </w:r>
          </w:p>
        </w:tc>
        <w:tc>
          <w:tcPr>
            <w:tcW w:w="1399" w:type="dxa"/>
            <w:vAlign w:val="center"/>
          </w:tcPr>
          <w:p w14:paraId="23A14BEC" w14:textId="77777777" w:rsidR="004B250B" w:rsidRDefault="00000000">
            <w:pPr>
              <w:keepLines/>
              <w:spacing w:after="0"/>
            </w:pPr>
            <w:r>
              <w:t>50.9 (50.5–51.4)</w:t>
            </w:r>
          </w:p>
        </w:tc>
        <w:tc>
          <w:tcPr>
            <w:tcW w:w="1399" w:type="dxa"/>
            <w:vAlign w:val="center"/>
          </w:tcPr>
          <w:p w14:paraId="7DEA69D5" w14:textId="77777777" w:rsidR="004B250B" w:rsidRDefault="00000000">
            <w:pPr>
              <w:keepLines/>
              <w:spacing w:after="0"/>
            </w:pPr>
            <w:r>
              <w:t>46.1</w:t>
            </w:r>
          </w:p>
        </w:tc>
        <w:tc>
          <w:tcPr>
            <w:tcW w:w="1399" w:type="dxa"/>
            <w:vAlign w:val="center"/>
          </w:tcPr>
          <w:p w14:paraId="24EB0D10" w14:textId="77777777" w:rsidR="004B250B" w:rsidRDefault="00000000">
            <w:pPr>
              <w:keepLines/>
              <w:spacing w:after="0"/>
            </w:pPr>
            <w:r>
              <w:t>9.6</w:t>
            </w:r>
          </w:p>
        </w:tc>
      </w:tr>
      <w:tr w:rsidR="004B250B" w14:paraId="761D152D" w14:textId="77777777">
        <w:trPr>
          <w:jc w:val="center"/>
        </w:trPr>
        <w:tc>
          <w:tcPr>
            <w:tcW w:w="1399" w:type="dxa"/>
            <w:vAlign w:val="center"/>
          </w:tcPr>
          <w:p w14:paraId="66E02200" w14:textId="77777777" w:rsidR="004B250B" w:rsidRDefault="004B250B">
            <w:pPr>
              <w:keepLines/>
              <w:spacing w:after="0"/>
            </w:pPr>
          </w:p>
        </w:tc>
        <w:tc>
          <w:tcPr>
            <w:tcW w:w="1399" w:type="dxa"/>
            <w:vAlign w:val="center"/>
          </w:tcPr>
          <w:p w14:paraId="3F853CFB" w14:textId="77777777" w:rsidR="004B250B" w:rsidRDefault="00000000">
            <w:pPr>
              <w:keepLines/>
              <w:spacing w:after="0"/>
            </w:pPr>
            <w:r>
              <w:t>3 complete cycles</w:t>
            </w:r>
          </w:p>
        </w:tc>
        <w:tc>
          <w:tcPr>
            <w:tcW w:w="1399" w:type="dxa"/>
            <w:vAlign w:val="center"/>
          </w:tcPr>
          <w:p w14:paraId="758140FF" w14:textId="77777777" w:rsidR="004B250B" w:rsidRDefault="00000000">
            <w:pPr>
              <w:keepLines/>
              <w:spacing w:after="0"/>
            </w:pPr>
            <w:r>
              <w:t>Exact Herzog 2004, any pattern</w:t>
            </w:r>
          </w:p>
        </w:tc>
        <w:tc>
          <w:tcPr>
            <w:tcW w:w="1399" w:type="dxa"/>
            <w:vAlign w:val="center"/>
          </w:tcPr>
          <w:p w14:paraId="7AA77257" w14:textId="77777777" w:rsidR="004B250B" w:rsidRDefault="00000000">
            <w:pPr>
              <w:keepLines/>
              <w:spacing w:after="0"/>
            </w:pPr>
            <w:r>
              <w:t>18,164 / 50,000</w:t>
            </w:r>
          </w:p>
        </w:tc>
        <w:tc>
          <w:tcPr>
            <w:tcW w:w="1399" w:type="dxa"/>
            <w:vAlign w:val="center"/>
          </w:tcPr>
          <w:p w14:paraId="04DA6F9E" w14:textId="77777777" w:rsidR="004B250B" w:rsidRDefault="00000000">
            <w:pPr>
              <w:keepLines/>
              <w:spacing w:after="0"/>
            </w:pPr>
            <w:r>
              <w:t>52.2 (51.5–53.0)</w:t>
            </w:r>
          </w:p>
        </w:tc>
        <w:tc>
          <w:tcPr>
            <w:tcW w:w="1399" w:type="dxa"/>
            <w:vAlign w:val="center"/>
          </w:tcPr>
          <w:p w14:paraId="4AF8A530" w14:textId="77777777" w:rsidR="004B250B" w:rsidRDefault="00000000">
            <w:pPr>
              <w:keepLines/>
              <w:spacing w:after="0"/>
            </w:pPr>
            <w:r>
              <w:t>19.0</w:t>
            </w:r>
          </w:p>
        </w:tc>
        <w:tc>
          <w:tcPr>
            <w:tcW w:w="1399" w:type="dxa"/>
            <w:vAlign w:val="center"/>
          </w:tcPr>
          <w:p w14:paraId="3FE60365" w14:textId="77777777" w:rsidR="004B250B" w:rsidRDefault="00000000">
            <w:pPr>
              <w:keepLines/>
              <w:spacing w:after="0"/>
            </w:pPr>
            <w:r>
              <w:t>63.7</w:t>
            </w:r>
          </w:p>
        </w:tc>
      </w:tr>
    </w:tbl>
    <w:p w14:paraId="54C2573B" w14:textId="77777777" w:rsidR="004B250B" w:rsidRDefault="004B250B">
      <w:pPr>
        <w:spacing w:after="0"/>
      </w:pPr>
    </w:p>
    <w:p w14:paraId="3E996440" w14:textId="77777777" w:rsidR="004B250B" w:rsidRDefault="00000000">
      <w:pPr>
        <w:pStyle w:val="TableNote"/>
      </w:pPr>
      <w:r>
        <w:rPr>
          <w:b/>
        </w:rPr>
        <w:t xml:space="preserve">Note. </w:t>
      </w:r>
      <w:r>
        <w:t>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nonapplicability is distinct. Definition-by-window-by-cohort estimates based on fewer than 1,000 classifiable participant-windows were flagged as unstable.</w:t>
      </w:r>
    </w:p>
    <w:p w14:paraId="1DA7C1B8" w14:textId="77777777" w:rsidR="004B250B" w:rsidRDefault="00000000">
      <w:r>
        <w:br w:type="page"/>
      </w:r>
    </w:p>
    <w:p w14:paraId="47BF7AD9"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477"/>
        <w:gridCol w:w="1376"/>
        <w:gridCol w:w="1389"/>
        <w:gridCol w:w="1384"/>
        <w:gridCol w:w="1384"/>
        <w:gridCol w:w="1386"/>
        <w:gridCol w:w="1386"/>
      </w:tblGrid>
      <w:tr w:rsidR="004B250B" w14:paraId="1F1A43F3" w14:textId="77777777">
        <w:trPr>
          <w:tblHeader/>
          <w:jc w:val="center"/>
        </w:trPr>
        <w:tc>
          <w:tcPr>
            <w:tcW w:w="1399" w:type="dxa"/>
            <w:shd w:val="clear" w:color="auto" w:fill="D9EAF7"/>
            <w:vAlign w:val="center"/>
          </w:tcPr>
          <w:p w14:paraId="17D8A9DB" w14:textId="77777777" w:rsidR="004B250B" w:rsidRDefault="00000000">
            <w:pPr>
              <w:jc w:val="center"/>
            </w:pPr>
            <w:r>
              <w:rPr>
                <w:rFonts w:ascii="Arial" w:hAnsi="Arial"/>
                <w:b/>
                <w:sz w:val="15"/>
              </w:rPr>
              <w:t>Cohort</w:t>
            </w:r>
          </w:p>
        </w:tc>
        <w:tc>
          <w:tcPr>
            <w:tcW w:w="1399" w:type="dxa"/>
            <w:shd w:val="clear" w:color="auto" w:fill="D9EAF7"/>
            <w:vAlign w:val="center"/>
          </w:tcPr>
          <w:p w14:paraId="6DF8F3EC" w14:textId="77777777" w:rsidR="004B250B" w:rsidRDefault="00000000">
            <w:pPr>
              <w:jc w:val="center"/>
            </w:pPr>
            <w:r>
              <w:rPr>
                <w:rFonts w:ascii="Arial" w:hAnsi="Arial"/>
                <w:b/>
                <w:sz w:val="15"/>
              </w:rPr>
              <w:t>N/study</w:t>
            </w:r>
          </w:p>
        </w:tc>
        <w:tc>
          <w:tcPr>
            <w:tcW w:w="1399" w:type="dxa"/>
            <w:shd w:val="clear" w:color="auto" w:fill="D9EAF7"/>
            <w:vAlign w:val="center"/>
          </w:tcPr>
          <w:p w14:paraId="02B29BE0" w14:textId="77777777" w:rsidR="004B250B" w:rsidRDefault="00000000">
            <w:pPr>
              <w:jc w:val="center"/>
            </w:pPr>
            <w:r>
              <w:rPr>
                <w:rFonts w:ascii="Arial" w:hAnsi="Arial"/>
                <w:b/>
                <w:sz w:val="15"/>
              </w:rPr>
              <w:t>Definition</w:t>
            </w:r>
          </w:p>
        </w:tc>
        <w:tc>
          <w:tcPr>
            <w:tcW w:w="1399" w:type="dxa"/>
            <w:shd w:val="clear" w:color="auto" w:fill="D9EAF7"/>
            <w:vAlign w:val="center"/>
          </w:tcPr>
          <w:p w14:paraId="19128C83"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77A5308A"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74422C2" w14:textId="77777777" w:rsidR="004B250B" w:rsidRDefault="00000000">
            <w:pPr>
              <w:jc w:val="center"/>
            </w:pPr>
            <w:r>
              <w:rPr>
                <w:rFonts w:ascii="Arial" w:hAnsi="Arial"/>
                <w:b/>
                <w:sz w:val="15"/>
              </w:rPr>
              <w:t>Pr(apparent prevalence ≥39.1%)</w:t>
            </w:r>
          </w:p>
        </w:tc>
        <w:tc>
          <w:tcPr>
            <w:tcW w:w="1399" w:type="dxa"/>
            <w:shd w:val="clear" w:color="auto" w:fill="D9EAF7"/>
            <w:vAlign w:val="center"/>
          </w:tcPr>
          <w:p w14:paraId="2BF63349" w14:textId="77777777" w:rsidR="004B250B" w:rsidRDefault="00000000">
            <w:pPr>
              <w:jc w:val="center"/>
            </w:pPr>
            <w:r>
              <w:rPr>
                <w:rFonts w:ascii="Arial" w:hAnsi="Arial"/>
                <w:b/>
                <w:sz w:val="15"/>
              </w:rPr>
              <w:t>Pr(apparent prevalence ≥44.2%)</w:t>
            </w:r>
          </w:p>
        </w:tc>
      </w:tr>
      <w:tr w:rsidR="004B250B" w14:paraId="048B4B5E" w14:textId="77777777">
        <w:trPr>
          <w:jc w:val="center"/>
        </w:trPr>
        <w:tc>
          <w:tcPr>
            <w:tcW w:w="1399" w:type="dxa"/>
            <w:vAlign w:val="center"/>
          </w:tcPr>
          <w:p w14:paraId="4DAD7F3E" w14:textId="77777777" w:rsidR="004B250B" w:rsidRDefault="00000000">
            <w:pPr>
              <w:keepLines/>
              <w:spacing w:after="0"/>
            </w:pPr>
            <w:r>
              <w:t>Healthy ovulatory</w:t>
            </w:r>
          </w:p>
        </w:tc>
        <w:tc>
          <w:tcPr>
            <w:tcW w:w="1399" w:type="dxa"/>
            <w:vAlign w:val="center"/>
          </w:tcPr>
          <w:p w14:paraId="13F74FAF" w14:textId="77777777" w:rsidR="004B250B" w:rsidRDefault="00000000">
            <w:pPr>
              <w:keepLines/>
              <w:spacing w:after="0"/>
            </w:pPr>
            <w:r>
              <w:t>30</w:t>
            </w:r>
          </w:p>
        </w:tc>
        <w:tc>
          <w:tcPr>
            <w:tcW w:w="1399" w:type="dxa"/>
            <w:vAlign w:val="center"/>
          </w:tcPr>
          <w:p w14:paraId="11B89E1B" w14:textId="77777777" w:rsidR="004B250B" w:rsidRDefault="00000000">
            <w:pPr>
              <w:keepLines/>
              <w:spacing w:after="0"/>
            </w:pPr>
            <w:r>
              <w:t>Windowed Herzog thresholds</w:t>
            </w:r>
          </w:p>
        </w:tc>
        <w:tc>
          <w:tcPr>
            <w:tcW w:w="1399" w:type="dxa"/>
            <w:vAlign w:val="center"/>
          </w:tcPr>
          <w:p w14:paraId="729627C1" w14:textId="77777777" w:rsidR="004B250B" w:rsidRDefault="00000000">
            <w:pPr>
              <w:keepLines/>
              <w:spacing w:after="0"/>
            </w:pPr>
            <w:r>
              <w:t>37.6%</w:t>
            </w:r>
          </w:p>
        </w:tc>
        <w:tc>
          <w:tcPr>
            <w:tcW w:w="1399" w:type="dxa"/>
            <w:vAlign w:val="center"/>
          </w:tcPr>
          <w:p w14:paraId="05800EED" w14:textId="77777777" w:rsidR="004B250B" w:rsidRDefault="00000000">
            <w:pPr>
              <w:keepLines/>
              <w:spacing w:after="0"/>
            </w:pPr>
            <w:r>
              <w:t>20.0%–56.7%</w:t>
            </w:r>
          </w:p>
        </w:tc>
        <w:tc>
          <w:tcPr>
            <w:tcW w:w="1399" w:type="dxa"/>
            <w:vAlign w:val="center"/>
          </w:tcPr>
          <w:p w14:paraId="1CC95EA9" w14:textId="77777777" w:rsidR="004B250B" w:rsidRDefault="00000000">
            <w:pPr>
              <w:keepLines/>
              <w:spacing w:after="0"/>
            </w:pPr>
            <w:r>
              <w:t>45.9%</w:t>
            </w:r>
          </w:p>
        </w:tc>
        <w:tc>
          <w:tcPr>
            <w:tcW w:w="1399" w:type="dxa"/>
            <w:vAlign w:val="center"/>
          </w:tcPr>
          <w:p w14:paraId="74413496" w14:textId="77777777" w:rsidR="004B250B" w:rsidRDefault="00000000">
            <w:pPr>
              <w:keepLines/>
              <w:spacing w:after="0"/>
            </w:pPr>
            <w:r>
              <w:t>19.8%</w:t>
            </w:r>
          </w:p>
        </w:tc>
      </w:tr>
      <w:tr w:rsidR="004B250B" w14:paraId="18E99775" w14:textId="77777777">
        <w:trPr>
          <w:jc w:val="center"/>
        </w:trPr>
        <w:tc>
          <w:tcPr>
            <w:tcW w:w="1399" w:type="dxa"/>
            <w:vAlign w:val="center"/>
          </w:tcPr>
          <w:p w14:paraId="6ED705C6" w14:textId="77777777" w:rsidR="004B250B" w:rsidRDefault="004B250B">
            <w:pPr>
              <w:keepLines/>
              <w:spacing w:after="0"/>
            </w:pPr>
          </w:p>
        </w:tc>
        <w:tc>
          <w:tcPr>
            <w:tcW w:w="1399" w:type="dxa"/>
            <w:vAlign w:val="center"/>
          </w:tcPr>
          <w:p w14:paraId="4A0578B6" w14:textId="77777777" w:rsidR="004B250B" w:rsidRDefault="00000000">
            <w:pPr>
              <w:keepLines/>
              <w:spacing w:after="0"/>
            </w:pPr>
            <w:r>
              <w:t>30</w:t>
            </w:r>
          </w:p>
        </w:tc>
        <w:tc>
          <w:tcPr>
            <w:tcW w:w="1399" w:type="dxa"/>
            <w:vAlign w:val="center"/>
          </w:tcPr>
          <w:p w14:paraId="4EF4BAA7" w14:textId="77777777" w:rsidR="004B250B" w:rsidRDefault="00000000">
            <w:pPr>
              <w:keepLines/>
              <w:spacing w:after="0"/>
            </w:pPr>
            <w:r>
              <w:t>Windowed Herzog C1/C2 union</w:t>
            </w:r>
          </w:p>
        </w:tc>
        <w:tc>
          <w:tcPr>
            <w:tcW w:w="1399" w:type="dxa"/>
            <w:vAlign w:val="center"/>
          </w:tcPr>
          <w:p w14:paraId="1DA97F06" w14:textId="77777777" w:rsidR="004B250B" w:rsidRDefault="00000000">
            <w:pPr>
              <w:keepLines/>
              <w:spacing w:after="0"/>
            </w:pPr>
            <w:r>
              <w:t>37.6%</w:t>
            </w:r>
          </w:p>
        </w:tc>
        <w:tc>
          <w:tcPr>
            <w:tcW w:w="1399" w:type="dxa"/>
            <w:vAlign w:val="center"/>
          </w:tcPr>
          <w:p w14:paraId="0A7AC14E" w14:textId="77777777" w:rsidR="004B250B" w:rsidRDefault="00000000">
            <w:pPr>
              <w:keepLines/>
              <w:spacing w:after="0"/>
            </w:pPr>
            <w:r>
              <w:t>20.0%–56.7%</w:t>
            </w:r>
          </w:p>
        </w:tc>
        <w:tc>
          <w:tcPr>
            <w:tcW w:w="1399" w:type="dxa"/>
            <w:vAlign w:val="center"/>
          </w:tcPr>
          <w:p w14:paraId="225682B0" w14:textId="77777777" w:rsidR="004B250B" w:rsidRDefault="00000000">
            <w:pPr>
              <w:keepLines/>
              <w:spacing w:after="0"/>
            </w:pPr>
            <w:r>
              <w:t>45.9%</w:t>
            </w:r>
          </w:p>
        </w:tc>
        <w:tc>
          <w:tcPr>
            <w:tcW w:w="1399" w:type="dxa"/>
            <w:vAlign w:val="center"/>
          </w:tcPr>
          <w:p w14:paraId="6BE05A00" w14:textId="77777777" w:rsidR="004B250B" w:rsidRDefault="00000000">
            <w:pPr>
              <w:keepLines/>
              <w:spacing w:after="0"/>
            </w:pPr>
            <w:r>
              <w:t>19.8%</w:t>
            </w:r>
          </w:p>
        </w:tc>
      </w:tr>
      <w:tr w:rsidR="004B250B" w14:paraId="0FFB0961" w14:textId="77777777">
        <w:trPr>
          <w:jc w:val="center"/>
        </w:trPr>
        <w:tc>
          <w:tcPr>
            <w:tcW w:w="1399" w:type="dxa"/>
            <w:vAlign w:val="center"/>
          </w:tcPr>
          <w:p w14:paraId="546414BB" w14:textId="77777777" w:rsidR="004B250B" w:rsidRDefault="004B250B">
            <w:pPr>
              <w:keepLines/>
              <w:spacing w:after="0"/>
            </w:pPr>
          </w:p>
        </w:tc>
        <w:tc>
          <w:tcPr>
            <w:tcW w:w="1399" w:type="dxa"/>
            <w:vAlign w:val="center"/>
          </w:tcPr>
          <w:p w14:paraId="1E7C30BD" w14:textId="77777777" w:rsidR="004B250B" w:rsidRDefault="00000000">
            <w:pPr>
              <w:keepLines/>
              <w:spacing w:after="0"/>
            </w:pPr>
            <w:r>
              <w:t>50</w:t>
            </w:r>
          </w:p>
        </w:tc>
        <w:tc>
          <w:tcPr>
            <w:tcW w:w="1399" w:type="dxa"/>
            <w:vAlign w:val="center"/>
          </w:tcPr>
          <w:p w14:paraId="1D667E3B" w14:textId="77777777" w:rsidR="004B250B" w:rsidRDefault="00000000">
            <w:pPr>
              <w:keepLines/>
              <w:spacing w:after="0"/>
            </w:pPr>
            <w:r>
              <w:t>Windowed Herzog thresholds</w:t>
            </w:r>
          </w:p>
        </w:tc>
        <w:tc>
          <w:tcPr>
            <w:tcW w:w="1399" w:type="dxa"/>
            <w:vAlign w:val="center"/>
          </w:tcPr>
          <w:p w14:paraId="0005606C" w14:textId="77777777" w:rsidR="004B250B" w:rsidRDefault="00000000">
            <w:pPr>
              <w:keepLines/>
              <w:spacing w:after="0"/>
            </w:pPr>
            <w:r>
              <w:t>37.8%</w:t>
            </w:r>
          </w:p>
        </w:tc>
        <w:tc>
          <w:tcPr>
            <w:tcW w:w="1399" w:type="dxa"/>
            <w:vAlign w:val="center"/>
          </w:tcPr>
          <w:p w14:paraId="6950D18B" w14:textId="77777777" w:rsidR="004B250B" w:rsidRDefault="00000000">
            <w:pPr>
              <w:keepLines/>
              <w:spacing w:after="0"/>
            </w:pPr>
            <w:r>
              <w:t>24.0%–52.0%</w:t>
            </w:r>
          </w:p>
        </w:tc>
        <w:tc>
          <w:tcPr>
            <w:tcW w:w="1399" w:type="dxa"/>
            <w:vAlign w:val="center"/>
          </w:tcPr>
          <w:p w14:paraId="5C83B82F" w14:textId="77777777" w:rsidR="004B250B" w:rsidRDefault="00000000">
            <w:pPr>
              <w:keepLines/>
              <w:spacing w:after="0"/>
            </w:pPr>
            <w:r>
              <w:t>42.6%</w:t>
            </w:r>
          </w:p>
        </w:tc>
        <w:tc>
          <w:tcPr>
            <w:tcW w:w="1399" w:type="dxa"/>
            <w:vAlign w:val="center"/>
          </w:tcPr>
          <w:p w14:paraId="443DBFFC" w14:textId="77777777" w:rsidR="004B250B" w:rsidRDefault="00000000">
            <w:pPr>
              <w:keepLines/>
              <w:spacing w:after="0"/>
            </w:pPr>
            <w:r>
              <w:t>14.7%</w:t>
            </w:r>
          </w:p>
        </w:tc>
      </w:tr>
      <w:tr w:rsidR="004B250B" w14:paraId="4E30426D" w14:textId="77777777">
        <w:trPr>
          <w:jc w:val="center"/>
        </w:trPr>
        <w:tc>
          <w:tcPr>
            <w:tcW w:w="1399" w:type="dxa"/>
            <w:vAlign w:val="center"/>
          </w:tcPr>
          <w:p w14:paraId="2CA3981E" w14:textId="77777777" w:rsidR="004B250B" w:rsidRDefault="004B250B">
            <w:pPr>
              <w:keepLines/>
              <w:spacing w:after="0"/>
            </w:pPr>
          </w:p>
        </w:tc>
        <w:tc>
          <w:tcPr>
            <w:tcW w:w="1399" w:type="dxa"/>
            <w:vAlign w:val="center"/>
          </w:tcPr>
          <w:p w14:paraId="1B0F947D" w14:textId="77777777" w:rsidR="004B250B" w:rsidRDefault="00000000">
            <w:pPr>
              <w:keepLines/>
              <w:spacing w:after="0"/>
            </w:pPr>
            <w:r>
              <w:t>50</w:t>
            </w:r>
          </w:p>
        </w:tc>
        <w:tc>
          <w:tcPr>
            <w:tcW w:w="1399" w:type="dxa"/>
            <w:vAlign w:val="center"/>
          </w:tcPr>
          <w:p w14:paraId="3FC02DDE" w14:textId="77777777" w:rsidR="004B250B" w:rsidRDefault="00000000">
            <w:pPr>
              <w:keepLines/>
              <w:spacing w:after="0"/>
            </w:pPr>
            <w:r>
              <w:t>Windowed Herzog C1/C2 union</w:t>
            </w:r>
          </w:p>
        </w:tc>
        <w:tc>
          <w:tcPr>
            <w:tcW w:w="1399" w:type="dxa"/>
            <w:vAlign w:val="center"/>
          </w:tcPr>
          <w:p w14:paraId="4AAC68CD" w14:textId="77777777" w:rsidR="004B250B" w:rsidRDefault="00000000">
            <w:pPr>
              <w:keepLines/>
              <w:spacing w:after="0"/>
            </w:pPr>
            <w:r>
              <w:t>37.8%</w:t>
            </w:r>
          </w:p>
        </w:tc>
        <w:tc>
          <w:tcPr>
            <w:tcW w:w="1399" w:type="dxa"/>
            <w:vAlign w:val="center"/>
          </w:tcPr>
          <w:p w14:paraId="533D616E" w14:textId="77777777" w:rsidR="004B250B" w:rsidRDefault="00000000">
            <w:pPr>
              <w:keepLines/>
              <w:spacing w:after="0"/>
            </w:pPr>
            <w:r>
              <w:t>24.0%–52.0%</w:t>
            </w:r>
          </w:p>
        </w:tc>
        <w:tc>
          <w:tcPr>
            <w:tcW w:w="1399" w:type="dxa"/>
            <w:vAlign w:val="center"/>
          </w:tcPr>
          <w:p w14:paraId="74CF9472" w14:textId="77777777" w:rsidR="004B250B" w:rsidRDefault="00000000">
            <w:pPr>
              <w:keepLines/>
              <w:spacing w:after="0"/>
            </w:pPr>
            <w:r>
              <w:t>42.6%</w:t>
            </w:r>
          </w:p>
        </w:tc>
        <w:tc>
          <w:tcPr>
            <w:tcW w:w="1399" w:type="dxa"/>
            <w:vAlign w:val="center"/>
          </w:tcPr>
          <w:p w14:paraId="5A7ED14C" w14:textId="77777777" w:rsidR="004B250B" w:rsidRDefault="00000000">
            <w:pPr>
              <w:keepLines/>
              <w:spacing w:after="0"/>
            </w:pPr>
            <w:r>
              <w:t>14.7%</w:t>
            </w:r>
          </w:p>
        </w:tc>
      </w:tr>
      <w:tr w:rsidR="004B250B" w14:paraId="52D37825" w14:textId="77777777">
        <w:trPr>
          <w:jc w:val="center"/>
        </w:trPr>
        <w:tc>
          <w:tcPr>
            <w:tcW w:w="1399" w:type="dxa"/>
            <w:vAlign w:val="center"/>
          </w:tcPr>
          <w:p w14:paraId="2C712611" w14:textId="77777777" w:rsidR="004B250B" w:rsidRDefault="004B250B">
            <w:pPr>
              <w:keepLines/>
              <w:spacing w:after="0"/>
            </w:pPr>
          </w:p>
        </w:tc>
        <w:tc>
          <w:tcPr>
            <w:tcW w:w="1399" w:type="dxa"/>
            <w:vAlign w:val="center"/>
          </w:tcPr>
          <w:p w14:paraId="0BCE252F" w14:textId="77777777" w:rsidR="004B250B" w:rsidRDefault="00000000">
            <w:pPr>
              <w:keepLines/>
              <w:spacing w:after="0"/>
            </w:pPr>
            <w:r>
              <w:t>100</w:t>
            </w:r>
          </w:p>
        </w:tc>
        <w:tc>
          <w:tcPr>
            <w:tcW w:w="1399" w:type="dxa"/>
            <w:vAlign w:val="center"/>
          </w:tcPr>
          <w:p w14:paraId="7E7528BA" w14:textId="77777777" w:rsidR="004B250B" w:rsidRDefault="00000000">
            <w:pPr>
              <w:keepLines/>
              <w:spacing w:after="0"/>
            </w:pPr>
            <w:r>
              <w:t>Windowed Herzog thresholds</w:t>
            </w:r>
          </w:p>
        </w:tc>
        <w:tc>
          <w:tcPr>
            <w:tcW w:w="1399" w:type="dxa"/>
            <w:vAlign w:val="center"/>
          </w:tcPr>
          <w:p w14:paraId="6FA871A9" w14:textId="77777777" w:rsidR="004B250B" w:rsidRDefault="00000000">
            <w:pPr>
              <w:keepLines/>
              <w:spacing w:after="0"/>
            </w:pPr>
            <w:r>
              <w:t>37.6%</w:t>
            </w:r>
          </w:p>
        </w:tc>
        <w:tc>
          <w:tcPr>
            <w:tcW w:w="1399" w:type="dxa"/>
            <w:vAlign w:val="center"/>
          </w:tcPr>
          <w:p w14:paraId="2C1D579B" w14:textId="77777777" w:rsidR="004B250B" w:rsidRDefault="00000000">
            <w:pPr>
              <w:keepLines/>
              <w:spacing w:after="0"/>
            </w:pPr>
            <w:r>
              <w:t>28.0%–47.0%</w:t>
            </w:r>
          </w:p>
        </w:tc>
        <w:tc>
          <w:tcPr>
            <w:tcW w:w="1399" w:type="dxa"/>
            <w:vAlign w:val="center"/>
          </w:tcPr>
          <w:p w14:paraId="7CB6AED8" w14:textId="77777777" w:rsidR="004B250B" w:rsidRDefault="00000000">
            <w:pPr>
              <w:keepLines/>
              <w:spacing w:after="0"/>
            </w:pPr>
            <w:r>
              <w:t>34.6%</w:t>
            </w:r>
          </w:p>
        </w:tc>
        <w:tc>
          <w:tcPr>
            <w:tcW w:w="1399" w:type="dxa"/>
            <w:vAlign w:val="center"/>
          </w:tcPr>
          <w:p w14:paraId="075E96FF" w14:textId="77777777" w:rsidR="004B250B" w:rsidRDefault="00000000">
            <w:pPr>
              <w:keepLines/>
              <w:spacing w:after="0"/>
            </w:pPr>
            <w:r>
              <w:t>8.1%</w:t>
            </w:r>
          </w:p>
        </w:tc>
      </w:tr>
      <w:tr w:rsidR="004B250B" w14:paraId="7797AF44" w14:textId="77777777">
        <w:trPr>
          <w:jc w:val="center"/>
        </w:trPr>
        <w:tc>
          <w:tcPr>
            <w:tcW w:w="1399" w:type="dxa"/>
            <w:vAlign w:val="center"/>
          </w:tcPr>
          <w:p w14:paraId="15B51689" w14:textId="77777777" w:rsidR="004B250B" w:rsidRDefault="004B250B">
            <w:pPr>
              <w:keepLines/>
              <w:spacing w:after="0"/>
            </w:pPr>
          </w:p>
        </w:tc>
        <w:tc>
          <w:tcPr>
            <w:tcW w:w="1399" w:type="dxa"/>
            <w:vAlign w:val="center"/>
          </w:tcPr>
          <w:p w14:paraId="5F2E393E" w14:textId="77777777" w:rsidR="004B250B" w:rsidRDefault="00000000">
            <w:pPr>
              <w:keepLines/>
              <w:spacing w:after="0"/>
            </w:pPr>
            <w:r>
              <w:t>100</w:t>
            </w:r>
          </w:p>
        </w:tc>
        <w:tc>
          <w:tcPr>
            <w:tcW w:w="1399" w:type="dxa"/>
            <w:vAlign w:val="center"/>
          </w:tcPr>
          <w:p w14:paraId="0B56F790" w14:textId="77777777" w:rsidR="004B250B" w:rsidRDefault="00000000">
            <w:pPr>
              <w:keepLines/>
              <w:spacing w:after="0"/>
            </w:pPr>
            <w:r>
              <w:t>Windowed Herzog C1/C2 union</w:t>
            </w:r>
          </w:p>
        </w:tc>
        <w:tc>
          <w:tcPr>
            <w:tcW w:w="1399" w:type="dxa"/>
            <w:vAlign w:val="center"/>
          </w:tcPr>
          <w:p w14:paraId="22640257" w14:textId="77777777" w:rsidR="004B250B" w:rsidRDefault="00000000">
            <w:pPr>
              <w:keepLines/>
              <w:spacing w:after="0"/>
            </w:pPr>
            <w:r>
              <w:t>37.6%</w:t>
            </w:r>
          </w:p>
        </w:tc>
        <w:tc>
          <w:tcPr>
            <w:tcW w:w="1399" w:type="dxa"/>
            <w:vAlign w:val="center"/>
          </w:tcPr>
          <w:p w14:paraId="71BA91D4" w14:textId="77777777" w:rsidR="004B250B" w:rsidRDefault="00000000">
            <w:pPr>
              <w:keepLines/>
              <w:spacing w:after="0"/>
            </w:pPr>
            <w:r>
              <w:t>28.0%–47.0%</w:t>
            </w:r>
          </w:p>
        </w:tc>
        <w:tc>
          <w:tcPr>
            <w:tcW w:w="1399" w:type="dxa"/>
            <w:vAlign w:val="center"/>
          </w:tcPr>
          <w:p w14:paraId="1D796422" w14:textId="77777777" w:rsidR="004B250B" w:rsidRDefault="00000000">
            <w:pPr>
              <w:keepLines/>
              <w:spacing w:after="0"/>
            </w:pPr>
            <w:r>
              <w:t>34.6%</w:t>
            </w:r>
          </w:p>
        </w:tc>
        <w:tc>
          <w:tcPr>
            <w:tcW w:w="1399" w:type="dxa"/>
            <w:vAlign w:val="center"/>
          </w:tcPr>
          <w:p w14:paraId="55033867" w14:textId="77777777" w:rsidR="004B250B" w:rsidRDefault="00000000">
            <w:pPr>
              <w:keepLines/>
              <w:spacing w:after="0"/>
            </w:pPr>
            <w:r>
              <w:t>8.1%</w:t>
            </w:r>
          </w:p>
        </w:tc>
      </w:tr>
      <w:tr w:rsidR="004B250B" w14:paraId="69597B47" w14:textId="77777777">
        <w:trPr>
          <w:jc w:val="center"/>
        </w:trPr>
        <w:tc>
          <w:tcPr>
            <w:tcW w:w="1399" w:type="dxa"/>
            <w:vAlign w:val="center"/>
          </w:tcPr>
          <w:p w14:paraId="112BBA78" w14:textId="77777777" w:rsidR="004B250B" w:rsidRDefault="00000000">
            <w:pPr>
              <w:keepLines/>
              <w:spacing w:after="0"/>
            </w:pPr>
            <w:r>
              <w:t>Heterogeneous menstruating-age</w:t>
            </w:r>
          </w:p>
        </w:tc>
        <w:tc>
          <w:tcPr>
            <w:tcW w:w="1399" w:type="dxa"/>
            <w:vAlign w:val="center"/>
          </w:tcPr>
          <w:p w14:paraId="559D3D52" w14:textId="77777777" w:rsidR="004B250B" w:rsidRDefault="00000000">
            <w:pPr>
              <w:keepLines/>
              <w:spacing w:after="0"/>
            </w:pPr>
            <w:r>
              <w:t>30</w:t>
            </w:r>
          </w:p>
        </w:tc>
        <w:tc>
          <w:tcPr>
            <w:tcW w:w="1399" w:type="dxa"/>
            <w:vAlign w:val="center"/>
          </w:tcPr>
          <w:p w14:paraId="0C4667AE" w14:textId="77777777" w:rsidR="004B250B" w:rsidRDefault="00000000">
            <w:pPr>
              <w:keepLines/>
              <w:spacing w:after="0"/>
            </w:pPr>
            <w:r>
              <w:t>Windowed Herzog thresholds</w:t>
            </w:r>
          </w:p>
        </w:tc>
        <w:tc>
          <w:tcPr>
            <w:tcW w:w="1399" w:type="dxa"/>
            <w:vAlign w:val="center"/>
          </w:tcPr>
          <w:p w14:paraId="04043F7A" w14:textId="77777777" w:rsidR="004B250B" w:rsidRDefault="00000000">
            <w:pPr>
              <w:keepLines/>
              <w:spacing w:after="0"/>
            </w:pPr>
            <w:r>
              <w:t>46.1%</w:t>
            </w:r>
          </w:p>
        </w:tc>
        <w:tc>
          <w:tcPr>
            <w:tcW w:w="1399" w:type="dxa"/>
            <w:vAlign w:val="center"/>
          </w:tcPr>
          <w:p w14:paraId="3203E6D1" w14:textId="77777777" w:rsidR="004B250B" w:rsidRDefault="00000000">
            <w:pPr>
              <w:keepLines/>
              <w:spacing w:after="0"/>
            </w:pPr>
            <w:r>
              <w:t>30.0%–63.3%</w:t>
            </w:r>
          </w:p>
        </w:tc>
        <w:tc>
          <w:tcPr>
            <w:tcW w:w="1399" w:type="dxa"/>
            <w:vAlign w:val="center"/>
          </w:tcPr>
          <w:p w14:paraId="5ABA9BF1" w14:textId="77777777" w:rsidR="004B250B" w:rsidRDefault="00000000">
            <w:pPr>
              <w:keepLines/>
              <w:spacing w:after="0"/>
            </w:pPr>
            <w:r>
              <w:t>79.9%</w:t>
            </w:r>
          </w:p>
        </w:tc>
        <w:tc>
          <w:tcPr>
            <w:tcW w:w="1399" w:type="dxa"/>
            <w:vAlign w:val="center"/>
          </w:tcPr>
          <w:p w14:paraId="43FD5959" w14:textId="77777777" w:rsidR="004B250B" w:rsidRDefault="00000000">
            <w:pPr>
              <w:keepLines/>
              <w:spacing w:after="0"/>
            </w:pPr>
            <w:r>
              <w:t>54.2%</w:t>
            </w:r>
          </w:p>
        </w:tc>
      </w:tr>
      <w:tr w:rsidR="004B250B" w14:paraId="4B66780F" w14:textId="77777777">
        <w:trPr>
          <w:jc w:val="center"/>
        </w:trPr>
        <w:tc>
          <w:tcPr>
            <w:tcW w:w="1399" w:type="dxa"/>
            <w:vAlign w:val="center"/>
          </w:tcPr>
          <w:p w14:paraId="28DB4BBB" w14:textId="77777777" w:rsidR="004B250B" w:rsidRDefault="004B250B">
            <w:pPr>
              <w:keepLines/>
              <w:spacing w:after="0"/>
            </w:pPr>
          </w:p>
        </w:tc>
        <w:tc>
          <w:tcPr>
            <w:tcW w:w="1399" w:type="dxa"/>
            <w:vAlign w:val="center"/>
          </w:tcPr>
          <w:p w14:paraId="7FF4FED9" w14:textId="77777777" w:rsidR="004B250B" w:rsidRDefault="00000000">
            <w:pPr>
              <w:keepLines/>
              <w:spacing w:after="0"/>
            </w:pPr>
            <w:r>
              <w:t>30</w:t>
            </w:r>
          </w:p>
        </w:tc>
        <w:tc>
          <w:tcPr>
            <w:tcW w:w="1399" w:type="dxa"/>
            <w:vAlign w:val="center"/>
          </w:tcPr>
          <w:p w14:paraId="74E1DAB1" w14:textId="77777777" w:rsidR="004B250B" w:rsidRDefault="00000000">
            <w:pPr>
              <w:keepLines/>
              <w:spacing w:after="0"/>
            </w:pPr>
            <w:r>
              <w:t>Windowed Herzog C1/C2 union</w:t>
            </w:r>
          </w:p>
        </w:tc>
        <w:tc>
          <w:tcPr>
            <w:tcW w:w="1399" w:type="dxa"/>
            <w:vAlign w:val="center"/>
          </w:tcPr>
          <w:p w14:paraId="178FAEEA" w14:textId="77777777" w:rsidR="004B250B" w:rsidRDefault="00000000">
            <w:pPr>
              <w:keepLines/>
              <w:spacing w:after="0"/>
            </w:pPr>
            <w:r>
              <w:t>38.1%</w:t>
            </w:r>
          </w:p>
        </w:tc>
        <w:tc>
          <w:tcPr>
            <w:tcW w:w="1399" w:type="dxa"/>
            <w:vAlign w:val="center"/>
          </w:tcPr>
          <w:p w14:paraId="7E360F29" w14:textId="77777777" w:rsidR="004B250B" w:rsidRDefault="00000000">
            <w:pPr>
              <w:keepLines/>
              <w:spacing w:after="0"/>
            </w:pPr>
            <w:r>
              <w:t>20.0%–56.7%</w:t>
            </w:r>
          </w:p>
        </w:tc>
        <w:tc>
          <w:tcPr>
            <w:tcW w:w="1399" w:type="dxa"/>
            <w:vAlign w:val="center"/>
          </w:tcPr>
          <w:p w14:paraId="7AF09506" w14:textId="77777777" w:rsidR="004B250B" w:rsidRDefault="00000000">
            <w:pPr>
              <w:keepLines/>
              <w:spacing w:after="0"/>
            </w:pPr>
            <w:r>
              <w:t>48.3%</w:t>
            </w:r>
          </w:p>
        </w:tc>
        <w:tc>
          <w:tcPr>
            <w:tcW w:w="1399" w:type="dxa"/>
            <w:vAlign w:val="center"/>
          </w:tcPr>
          <w:p w14:paraId="7A91EE0E" w14:textId="77777777" w:rsidR="004B250B" w:rsidRDefault="00000000">
            <w:pPr>
              <w:keepLines/>
              <w:spacing w:after="0"/>
            </w:pPr>
            <w:r>
              <w:t>21.6%</w:t>
            </w:r>
          </w:p>
        </w:tc>
      </w:tr>
      <w:tr w:rsidR="004B250B" w14:paraId="62032373" w14:textId="77777777">
        <w:trPr>
          <w:jc w:val="center"/>
        </w:trPr>
        <w:tc>
          <w:tcPr>
            <w:tcW w:w="1399" w:type="dxa"/>
            <w:vAlign w:val="center"/>
          </w:tcPr>
          <w:p w14:paraId="3518C3B9" w14:textId="77777777" w:rsidR="004B250B" w:rsidRDefault="004B250B">
            <w:pPr>
              <w:keepLines/>
              <w:spacing w:after="0"/>
            </w:pPr>
          </w:p>
        </w:tc>
        <w:tc>
          <w:tcPr>
            <w:tcW w:w="1399" w:type="dxa"/>
            <w:vAlign w:val="center"/>
          </w:tcPr>
          <w:p w14:paraId="121955BE" w14:textId="77777777" w:rsidR="004B250B" w:rsidRDefault="00000000">
            <w:pPr>
              <w:keepLines/>
              <w:spacing w:after="0"/>
            </w:pPr>
            <w:r>
              <w:t>50</w:t>
            </w:r>
          </w:p>
        </w:tc>
        <w:tc>
          <w:tcPr>
            <w:tcW w:w="1399" w:type="dxa"/>
            <w:vAlign w:val="center"/>
          </w:tcPr>
          <w:p w14:paraId="70FB2313" w14:textId="77777777" w:rsidR="004B250B" w:rsidRDefault="00000000">
            <w:pPr>
              <w:keepLines/>
              <w:spacing w:after="0"/>
            </w:pPr>
            <w:r>
              <w:t>Windowed Herzog thresholds</w:t>
            </w:r>
          </w:p>
        </w:tc>
        <w:tc>
          <w:tcPr>
            <w:tcW w:w="1399" w:type="dxa"/>
            <w:vAlign w:val="center"/>
          </w:tcPr>
          <w:p w14:paraId="6D7D93EC" w14:textId="77777777" w:rsidR="004B250B" w:rsidRDefault="00000000">
            <w:pPr>
              <w:keepLines/>
              <w:spacing w:after="0"/>
            </w:pPr>
            <w:r>
              <w:t>46.1%</w:t>
            </w:r>
          </w:p>
        </w:tc>
        <w:tc>
          <w:tcPr>
            <w:tcW w:w="1399" w:type="dxa"/>
            <w:vAlign w:val="center"/>
          </w:tcPr>
          <w:p w14:paraId="05A0C6E4" w14:textId="77777777" w:rsidR="004B250B" w:rsidRDefault="00000000">
            <w:pPr>
              <w:keepLines/>
              <w:spacing w:after="0"/>
            </w:pPr>
            <w:r>
              <w:t>32.0%–60.0%</w:t>
            </w:r>
          </w:p>
        </w:tc>
        <w:tc>
          <w:tcPr>
            <w:tcW w:w="1399" w:type="dxa"/>
            <w:vAlign w:val="center"/>
          </w:tcPr>
          <w:p w14:paraId="03FAB993" w14:textId="77777777" w:rsidR="004B250B" w:rsidRDefault="00000000">
            <w:pPr>
              <w:keepLines/>
              <w:spacing w:after="0"/>
            </w:pPr>
            <w:r>
              <w:t>84.3%</w:t>
            </w:r>
          </w:p>
        </w:tc>
        <w:tc>
          <w:tcPr>
            <w:tcW w:w="1399" w:type="dxa"/>
            <w:vAlign w:val="center"/>
          </w:tcPr>
          <w:p w14:paraId="44ADFE57" w14:textId="77777777" w:rsidR="004B250B" w:rsidRDefault="00000000">
            <w:pPr>
              <w:keepLines/>
              <w:spacing w:after="0"/>
            </w:pPr>
            <w:r>
              <w:t>56.1%</w:t>
            </w:r>
          </w:p>
        </w:tc>
      </w:tr>
      <w:tr w:rsidR="004B250B" w14:paraId="569A354B" w14:textId="77777777">
        <w:trPr>
          <w:jc w:val="center"/>
        </w:trPr>
        <w:tc>
          <w:tcPr>
            <w:tcW w:w="1399" w:type="dxa"/>
            <w:vAlign w:val="center"/>
          </w:tcPr>
          <w:p w14:paraId="2D73D66F" w14:textId="77777777" w:rsidR="004B250B" w:rsidRDefault="004B250B">
            <w:pPr>
              <w:keepLines/>
              <w:spacing w:after="0"/>
            </w:pPr>
          </w:p>
        </w:tc>
        <w:tc>
          <w:tcPr>
            <w:tcW w:w="1399" w:type="dxa"/>
            <w:vAlign w:val="center"/>
          </w:tcPr>
          <w:p w14:paraId="4FF62A21" w14:textId="77777777" w:rsidR="004B250B" w:rsidRDefault="00000000">
            <w:pPr>
              <w:keepLines/>
              <w:spacing w:after="0"/>
            </w:pPr>
            <w:r>
              <w:t>50</w:t>
            </w:r>
          </w:p>
        </w:tc>
        <w:tc>
          <w:tcPr>
            <w:tcW w:w="1399" w:type="dxa"/>
            <w:vAlign w:val="center"/>
          </w:tcPr>
          <w:p w14:paraId="31BB0A9B" w14:textId="77777777" w:rsidR="004B250B" w:rsidRDefault="00000000">
            <w:pPr>
              <w:keepLines/>
              <w:spacing w:after="0"/>
            </w:pPr>
            <w:r>
              <w:t>Windowed Herzog C1/C2 union</w:t>
            </w:r>
          </w:p>
        </w:tc>
        <w:tc>
          <w:tcPr>
            <w:tcW w:w="1399" w:type="dxa"/>
            <w:vAlign w:val="center"/>
          </w:tcPr>
          <w:p w14:paraId="6F92B53F" w14:textId="77777777" w:rsidR="004B250B" w:rsidRDefault="00000000">
            <w:pPr>
              <w:keepLines/>
              <w:spacing w:after="0"/>
            </w:pPr>
            <w:r>
              <w:t>38.1%</w:t>
            </w:r>
          </w:p>
        </w:tc>
        <w:tc>
          <w:tcPr>
            <w:tcW w:w="1399" w:type="dxa"/>
            <w:vAlign w:val="center"/>
          </w:tcPr>
          <w:p w14:paraId="6A402307" w14:textId="77777777" w:rsidR="004B250B" w:rsidRDefault="00000000">
            <w:pPr>
              <w:keepLines/>
              <w:spacing w:after="0"/>
            </w:pPr>
            <w:r>
              <w:t>24.0%–52.0%</w:t>
            </w:r>
          </w:p>
        </w:tc>
        <w:tc>
          <w:tcPr>
            <w:tcW w:w="1399" w:type="dxa"/>
            <w:vAlign w:val="center"/>
          </w:tcPr>
          <w:p w14:paraId="398CA806" w14:textId="77777777" w:rsidR="004B250B" w:rsidRDefault="00000000">
            <w:pPr>
              <w:keepLines/>
              <w:spacing w:after="0"/>
            </w:pPr>
            <w:r>
              <w:t>44.2%</w:t>
            </w:r>
          </w:p>
        </w:tc>
        <w:tc>
          <w:tcPr>
            <w:tcW w:w="1399" w:type="dxa"/>
            <w:vAlign w:val="center"/>
          </w:tcPr>
          <w:p w14:paraId="6416B7E8" w14:textId="77777777" w:rsidR="004B250B" w:rsidRDefault="00000000">
            <w:pPr>
              <w:keepLines/>
              <w:spacing w:after="0"/>
            </w:pPr>
            <w:r>
              <w:t>16.1%</w:t>
            </w:r>
          </w:p>
        </w:tc>
      </w:tr>
      <w:tr w:rsidR="004B250B" w14:paraId="77C57FCF" w14:textId="77777777">
        <w:trPr>
          <w:jc w:val="center"/>
        </w:trPr>
        <w:tc>
          <w:tcPr>
            <w:tcW w:w="1399" w:type="dxa"/>
            <w:vAlign w:val="center"/>
          </w:tcPr>
          <w:p w14:paraId="74FB5B4E" w14:textId="77777777" w:rsidR="004B250B" w:rsidRDefault="004B250B">
            <w:pPr>
              <w:keepLines/>
              <w:spacing w:after="0"/>
            </w:pPr>
          </w:p>
        </w:tc>
        <w:tc>
          <w:tcPr>
            <w:tcW w:w="1399" w:type="dxa"/>
            <w:vAlign w:val="center"/>
          </w:tcPr>
          <w:p w14:paraId="69EAB01A" w14:textId="77777777" w:rsidR="004B250B" w:rsidRDefault="00000000">
            <w:pPr>
              <w:keepLines/>
              <w:spacing w:after="0"/>
            </w:pPr>
            <w:r>
              <w:t>100</w:t>
            </w:r>
          </w:p>
        </w:tc>
        <w:tc>
          <w:tcPr>
            <w:tcW w:w="1399" w:type="dxa"/>
            <w:vAlign w:val="center"/>
          </w:tcPr>
          <w:p w14:paraId="6B72BD85" w14:textId="77777777" w:rsidR="004B250B" w:rsidRDefault="00000000">
            <w:pPr>
              <w:keepLines/>
              <w:spacing w:after="0"/>
            </w:pPr>
            <w:r>
              <w:t>Windowed Herzog thresholds</w:t>
            </w:r>
          </w:p>
        </w:tc>
        <w:tc>
          <w:tcPr>
            <w:tcW w:w="1399" w:type="dxa"/>
            <w:vAlign w:val="center"/>
          </w:tcPr>
          <w:p w14:paraId="2BDD7C9F" w14:textId="77777777" w:rsidR="004B250B" w:rsidRDefault="00000000">
            <w:pPr>
              <w:keepLines/>
              <w:spacing w:after="0"/>
            </w:pPr>
            <w:r>
              <w:t>46.1%</w:t>
            </w:r>
          </w:p>
        </w:tc>
        <w:tc>
          <w:tcPr>
            <w:tcW w:w="1399" w:type="dxa"/>
            <w:vAlign w:val="center"/>
          </w:tcPr>
          <w:p w14:paraId="6B02A96A" w14:textId="77777777" w:rsidR="004B250B" w:rsidRDefault="00000000">
            <w:pPr>
              <w:keepLines/>
              <w:spacing w:after="0"/>
            </w:pPr>
            <w:r>
              <w:t>36.0%–56.0%</w:t>
            </w:r>
          </w:p>
        </w:tc>
        <w:tc>
          <w:tcPr>
            <w:tcW w:w="1399" w:type="dxa"/>
            <w:vAlign w:val="center"/>
          </w:tcPr>
          <w:p w14:paraId="602A368D" w14:textId="77777777" w:rsidR="004B250B" w:rsidRDefault="00000000">
            <w:pPr>
              <w:keepLines/>
              <w:spacing w:after="0"/>
            </w:pPr>
            <w:r>
              <w:t>90.4%</w:t>
            </w:r>
          </w:p>
        </w:tc>
        <w:tc>
          <w:tcPr>
            <w:tcW w:w="1399" w:type="dxa"/>
            <w:vAlign w:val="center"/>
          </w:tcPr>
          <w:p w14:paraId="4E7BA067" w14:textId="77777777" w:rsidR="004B250B" w:rsidRDefault="00000000">
            <w:pPr>
              <w:keepLines/>
              <w:spacing w:after="0"/>
            </w:pPr>
            <w:r>
              <w:t>62.6%</w:t>
            </w:r>
          </w:p>
        </w:tc>
      </w:tr>
      <w:tr w:rsidR="004B250B" w14:paraId="50A8DB24" w14:textId="77777777">
        <w:trPr>
          <w:jc w:val="center"/>
        </w:trPr>
        <w:tc>
          <w:tcPr>
            <w:tcW w:w="1399" w:type="dxa"/>
            <w:vAlign w:val="center"/>
          </w:tcPr>
          <w:p w14:paraId="6EC513B8" w14:textId="77777777" w:rsidR="004B250B" w:rsidRDefault="004B250B">
            <w:pPr>
              <w:keepLines/>
              <w:spacing w:after="0"/>
            </w:pPr>
          </w:p>
        </w:tc>
        <w:tc>
          <w:tcPr>
            <w:tcW w:w="1399" w:type="dxa"/>
            <w:vAlign w:val="center"/>
          </w:tcPr>
          <w:p w14:paraId="19926CDD" w14:textId="77777777" w:rsidR="004B250B" w:rsidRDefault="00000000">
            <w:pPr>
              <w:keepLines/>
              <w:spacing w:after="0"/>
            </w:pPr>
            <w:r>
              <w:t>100</w:t>
            </w:r>
          </w:p>
        </w:tc>
        <w:tc>
          <w:tcPr>
            <w:tcW w:w="1399" w:type="dxa"/>
            <w:vAlign w:val="center"/>
          </w:tcPr>
          <w:p w14:paraId="216706DF" w14:textId="77777777" w:rsidR="004B250B" w:rsidRDefault="00000000">
            <w:pPr>
              <w:keepLines/>
              <w:spacing w:after="0"/>
            </w:pPr>
            <w:r>
              <w:t>Windowed Herzog C1/C2 union</w:t>
            </w:r>
          </w:p>
        </w:tc>
        <w:tc>
          <w:tcPr>
            <w:tcW w:w="1399" w:type="dxa"/>
            <w:vAlign w:val="center"/>
          </w:tcPr>
          <w:p w14:paraId="087F4F6A" w14:textId="77777777" w:rsidR="004B250B" w:rsidRDefault="00000000">
            <w:pPr>
              <w:keepLines/>
              <w:spacing w:after="0"/>
            </w:pPr>
            <w:r>
              <w:t>38.1%</w:t>
            </w:r>
          </w:p>
        </w:tc>
        <w:tc>
          <w:tcPr>
            <w:tcW w:w="1399" w:type="dxa"/>
            <w:vAlign w:val="center"/>
          </w:tcPr>
          <w:p w14:paraId="1716440B" w14:textId="77777777" w:rsidR="004B250B" w:rsidRDefault="00000000">
            <w:pPr>
              <w:keepLines/>
              <w:spacing w:after="0"/>
            </w:pPr>
            <w:r>
              <w:t>29.0%–47.0%</w:t>
            </w:r>
          </w:p>
        </w:tc>
        <w:tc>
          <w:tcPr>
            <w:tcW w:w="1399" w:type="dxa"/>
            <w:vAlign w:val="center"/>
          </w:tcPr>
          <w:p w14:paraId="4C3D05C1" w14:textId="77777777" w:rsidR="004B250B" w:rsidRDefault="00000000">
            <w:pPr>
              <w:keepLines/>
              <w:spacing w:after="0"/>
            </w:pPr>
            <w:r>
              <w:t>38.4%</w:t>
            </w:r>
          </w:p>
        </w:tc>
        <w:tc>
          <w:tcPr>
            <w:tcW w:w="1399" w:type="dxa"/>
            <w:vAlign w:val="center"/>
          </w:tcPr>
          <w:p w14:paraId="5C1299F3" w14:textId="77777777" w:rsidR="004B250B" w:rsidRDefault="00000000">
            <w:pPr>
              <w:keepLines/>
              <w:spacing w:after="0"/>
            </w:pPr>
            <w:r>
              <w:t>9.1%</w:t>
            </w:r>
          </w:p>
        </w:tc>
      </w:tr>
    </w:tbl>
    <w:p w14:paraId="78EBC213" w14:textId="77777777" w:rsidR="004B250B" w:rsidRDefault="004B250B">
      <w:pPr>
        <w:spacing w:after="0"/>
      </w:pPr>
    </w:p>
    <w:p w14:paraId="0781567B"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07DF5EAA" w14:textId="77777777" w:rsidR="004B250B" w:rsidRDefault="00000000">
      <w:r>
        <w:br w:type="page"/>
      </w:r>
    </w:p>
    <w:p w14:paraId="1F3F5928" w14:textId="77777777" w:rsidR="004B250B" w:rsidRDefault="00000000">
      <w:pPr>
        <w:pStyle w:val="Heading1"/>
      </w:pPr>
      <w:r>
        <w:lastRenderedPageBreak/>
        <w:t>Figure Legends and Figures</w:t>
      </w:r>
    </w:p>
    <w:p w14:paraId="5C4C0C40"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6C7EE058" w14:textId="77777777" w:rsidR="004B250B" w:rsidRDefault="00000000">
      <w:pPr>
        <w:jc w:val="center"/>
      </w:pPr>
      <w:r>
        <w:rPr>
          <w:noProof/>
        </w:rPr>
        <w:drawing>
          <wp:inline distT="0" distB="0" distL="0" distR="0" wp14:anchorId="00391531" wp14:editId="28EEAA08">
            <wp:extent cx="6126480" cy="2293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3569"/>
                    </a:xfrm>
                    <a:prstGeom prst="rect">
                      <a:avLst/>
                    </a:prstGeom>
                  </pic:spPr>
                </pic:pic>
              </a:graphicData>
            </a:graphic>
          </wp:inline>
        </w:drawing>
      </w:r>
    </w:p>
    <w:p w14:paraId="5A717BCA"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4EA6DCE8" w14:textId="77777777" w:rsidR="004B250B" w:rsidRDefault="00000000">
      <w:pPr>
        <w:jc w:val="center"/>
      </w:pPr>
      <w:r>
        <w:rPr>
          <w:noProof/>
        </w:rPr>
        <w:drawing>
          <wp:inline distT="0" distB="0" distL="0" distR="0" wp14:anchorId="66FDB558" wp14:editId="2E22E14A">
            <wp:extent cx="6126480" cy="3952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52978"/>
                    </a:xfrm>
                    <a:prstGeom prst="rect">
                      <a:avLst/>
                    </a:prstGeom>
                  </pic:spPr>
                </pic:pic>
              </a:graphicData>
            </a:graphic>
          </wp:inline>
        </w:drawing>
      </w:r>
    </w:p>
    <w:p w14:paraId="72759907"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247C9F33" w14:textId="77777777" w:rsidR="004B250B" w:rsidRDefault="00000000">
      <w:pPr>
        <w:jc w:val="center"/>
      </w:pPr>
      <w:r>
        <w:rPr>
          <w:noProof/>
        </w:rPr>
        <w:drawing>
          <wp:inline distT="0" distB="0" distL="0" distR="0" wp14:anchorId="0B299214" wp14:editId="54D5B399">
            <wp:extent cx="6126480" cy="2394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4164"/>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7FF686" w14:textId="77777777" w:rsidR="00AC32F2" w:rsidRDefault="00AC32F2">
      <w:pPr>
        <w:spacing w:line="240" w:lineRule="auto"/>
      </w:pPr>
      <w:r>
        <w:separator/>
      </w:r>
    </w:p>
  </w:endnote>
  <w:endnote w:type="continuationSeparator" w:id="0">
    <w:p w14:paraId="15791366" w14:textId="77777777" w:rsidR="00AC32F2" w:rsidRDefault="00AC32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6FA45"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EFE906" w14:textId="77777777" w:rsidR="00AC32F2" w:rsidRDefault="00AC32F2">
      <w:pPr>
        <w:spacing w:line="240" w:lineRule="auto"/>
      </w:pPr>
      <w:r>
        <w:separator/>
      </w:r>
    </w:p>
  </w:footnote>
  <w:footnote w:type="continuationSeparator" w:id="0">
    <w:p w14:paraId="22299974" w14:textId="77777777" w:rsidR="00AC32F2" w:rsidRDefault="00AC32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E8491"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520D2"/>
    <w:rsid w:val="00162362"/>
    <w:rsid w:val="001661A1"/>
    <w:rsid w:val="00171C99"/>
    <w:rsid w:val="00171DB7"/>
    <w:rsid w:val="00181CFA"/>
    <w:rsid w:val="00182227"/>
    <w:rsid w:val="00187F55"/>
    <w:rsid w:val="00192EC0"/>
    <w:rsid w:val="001E7C9B"/>
    <w:rsid w:val="001E7EC1"/>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303E3A"/>
    <w:rsid w:val="00311E34"/>
    <w:rsid w:val="0031215A"/>
    <w:rsid w:val="003241BE"/>
    <w:rsid w:val="00326F90"/>
    <w:rsid w:val="00327CC6"/>
    <w:rsid w:val="00345356"/>
    <w:rsid w:val="003470BE"/>
    <w:rsid w:val="003511D7"/>
    <w:rsid w:val="00393AE2"/>
    <w:rsid w:val="003A1FE9"/>
    <w:rsid w:val="003A2E02"/>
    <w:rsid w:val="003A6960"/>
    <w:rsid w:val="003A77D4"/>
    <w:rsid w:val="004034AC"/>
    <w:rsid w:val="004065E5"/>
    <w:rsid w:val="004317BD"/>
    <w:rsid w:val="00434999"/>
    <w:rsid w:val="004370B3"/>
    <w:rsid w:val="00461591"/>
    <w:rsid w:val="00462B1A"/>
    <w:rsid w:val="00470D9D"/>
    <w:rsid w:val="004A4F3D"/>
    <w:rsid w:val="004A6B28"/>
    <w:rsid w:val="004B250B"/>
    <w:rsid w:val="004D5618"/>
    <w:rsid w:val="004E0820"/>
    <w:rsid w:val="00522CA4"/>
    <w:rsid w:val="00527A3D"/>
    <w:rsid w:val="00550220"/>
    <w:rsid w:val="0055574E"/>
    <w:rsid w:val="005561B0"/>
    <w:rsid w:val="0056505E"/>
    <w:rsid w:val="00584202"/>
    <w:rsid w:val="00596135"/>
    <w:rsid w:val="005D0680"/>
    <w:rsid w:val="005D2486"/>
    <w:rsid w:val="005D648A"/>
    <w:rsid w:val="005D6D01"/>
    <w:rsid w:val="005F2F43"/>
    <w:rsid w:val="005F6B0D"/>
    <w:rsid w:val="00637F0C"/>
    <w:rsid w:val="00673FE8"/>
    <w:rsid w:val="00695D97"/>
    <w:rsid w:val="006A3065"/>
    <w:rsid w:val="006A5650"/>
    <w:rsid w:val="006A7C0E"/>
    <w:rsid w:val="006D3CAE"/>
    <w:rsid w:val="006F223B"/>
    <w:rsid w:val="006F2A08"/>
    <w:rsid w:val="006F2A3B"/>
    <w:rsid w:val="007073D1"/>
    <w:rsid w:val="007118BA"/>
    <w:rsid w:val="00721572"/>
    <w:rsid w:val="00734262"/>
    <w:rsid w:val="0074441A"/>
    <w:rsid w:val="00766F8D"/>
    <w:rsid w:val="00782623"/>
    <w:rsid w:val="00793F4A"/>
    <w:rsid w:val="007D2872"/>
    <w:rsid w:val="007D77DF"/>
    <w:rsid w:val="007E1DA8"/>
    <w:rsid w:val="007E4B9C"/>
    <w:rsid w:val="007E64D8"/>
    <w:rsid w:val="007F5FD7"/>
    <w:rsid w:val="00806295"/>
    <w:rsid w:val="008215F2"/>
    <w:rsid w:val="008510E8"/>
    <w:rsid w:val="00852DEF"/>
    <w:rsid w:val="00867CB7"/>
    <w:rsid w:val="00877A78"/>
    <w:rsid w:val="00886E0F"/>
    <w:rsid w:val="00887623"/>
    <w:rsid w:val="008B766C"/>
    <w:rsid w:val="008E0819"/>
    <w:rsid w:val="008E4D89"/>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67937"/>
    <w:rsid w:val="00A73594"/>
    <w:rsid w:val="00AA1798"/>
    <w:rsid w:val="00AA1D8D"/>
    <w:rsid w:val="00AB7D70"/>
    <w:rsid w:val="00AC32F2"/>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A1FAB"/>
    <w:rsid w:val="00BA4574"/>
    <w:rsid w:val="00BA6609"/>
    <w:rsid w:val="00BA66A5"/>
    <w:rsid w:val="00BC3FF5"/>
    <w:rsid w:val="00C063CB"/>
    <w:rsid w:val="00C178F6"/>
    <w:rsid w:val="00C223E7"/>
    <w:rsid w:val="00C22BE3"/>
    <w:rsid w:val="00C31E67"/>
    <w:rsid w:val="00C3706C"/>
    <w:rsid w:val="00C406D1"/>
    <w:rsid w:val="00C460D2"/>
    <w:rsid w:val="00C94F0B"/>
    <w:rsid w:val="00CA5711"/>
    <w:rsid w:val="00CA5AF3"/>
    <w:rsid w:val="00CB0664"/>
    <w:rsid w:val="00CB1F27"/>
    <w:rsid w:val="00CB29DC"/>
    <w:rsid w:val="00CC32E7"/>
    <w:rsid w:val="00CC486E"/>
    <w:rsid w:val="00CE7235"/>
    <w:rsid w:val="00D00F04"/>
    <w:rsid w:val="00D11AFE"/>
    <w:rsid w:val="00D34224"/>
    <w:rsid w:val="00D54B26"/>
    <w:rsid w:val="00D62C09"/>
    <w:rsid w:val="00D85222"/>
    <w:rsid w:val="00D8577D"/>
    <w:rsid w:val="00D874AD"/>
    <w:rsid w:val="00DA0C79"/>
    <w:rsid w:val="00DA5F04"/>
    <w:rsid w:val="00DB69EF"/>
    <w:rsid w:val="00DF21FC"/>
    <w:rsid w:val="00E046BE"/>
    <w:rsid w:val="00E0477D"/>
    <w:rsid w:val="00E12A4A"/>
    <w:rsid w:val="00E24A71"/>
    <w:rsid w:val="00E30C79"/>
    <w:rsid w:val="00E33554"/>
    <w:rsid w:val="00E55EDA"/>
    <w:rsid w:val="00E617AB"/>
    <w:rsid w:val="00E658C1"/>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23DC"/>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BB5BE"/>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111</TotalTime>
  <Pages>14</Pages>
  <Words>9845</Words>
  <Characters>56118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65832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4</cp:revision>
  <cp:lastPrinted>2026-08-13T11:30:00Z</cp:lastPrinted>
  <dcterms:created xsi:type="dcterms:W3CDTF">2026-08-13T11:30:00Z</dcterms:created>
  <dcterms:modified xsi:type="dcterms:W3CDTF">2026-08-13T21:04:00Z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 name="delayCita</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tionUpdates" value="true"/&gt;&lt;pref name="dontAskDelayCitationUpdates" value="true"/&gt;&lt;/prefs&gt;&lt;/data&gt;</vt:lpwstr>
  </property>
</Properties>
</file>