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7486CE" w14:textId="77777777" w:rsidR="004B250B" w:rsidRDefault="00000000">
      <w:pPr>
        <w:pStyle w:val="Title"/>
        <w:jc w:val="center"/>
      </w:pPr>
      <w:r>
        <w:t>False Positive Catamenial Epilepsy Classification: A Simulation Study</w:t>
      </w:r>
    </w:p>
    <w:p w14:paraId="3964651A" w14:textId="77777777" w:rsidR="004B250B" w:rsidRDefault="00000000">
      <w:pPr>
        <w:jc w:val="center"/>
      </w:pPr>
      <w:r>
        <w:rPr>
          <w:b/>
        </w:rPr>
        <w:t>Research Article</w:t>
      </w:r>
    </w:p>
    <w:p w14:paraId="5B876F3C" w14:textId="77777777" w:rsidR="004B250B" w:rsidRDefault="00000000">
      <w:pPr>
        <w:jc w:val="center"/>
      </w:pPr>
      <w:r>
        <w:t>Daniel M. Goldenholz, MD, PhD¹; Wesley T. Kerr, MD, PhD²˒³˒⁴; Sharon Chiang, MD, PhD⁵; M. Brandon Westover, MD, PhD⁶; Rachael L. Sumner, PhD⁷˒⁸</w:t>
      </w:r>
    </w:p>
    <w:p w14:paraId="75C33400" w14:textId="77777777" w:rsidR="004B250B" w:rsidRDefault="00000000">
      <w:r>
        <w:t>¹ Department of Neurology, Beth Israel Deaconess Medical Center, Harvard Medical School, Boston, Massachusetts, USA</w:t>
      </w:r>
    </w:p>
    <w:p w14:paraId="5CAED0B8" w14:textId="77777777" w:rsidR="004B250B" w:rsidRDefault="00000000">
      <w:r>
        <w:t>² Department of Neurology, University of Pittsburgh, Pittsburgh, Pennsylvania, USA</w:t>
      </w:r>
    </w:p>
    <w:p w14:paraId="398A1243" w14:textId="77777777" w:rsidR="004B250B" w:rsidRDefault="00000000">
      <w:r>
        <w:t>³ Department of Biomedical Informatics, University of Pittsburgh, Pittsburgh, Pennsylvania, USA</w:t>
      </w:r>
    </w:p>
    <w:p w14:paraId="00EB7201" w14:textId="77777777" w:rsidR="004B250B" w:rsidRDefault="00000000">
      <w:r>
        <w:t>⁴ Department of Psychiatry, University of Pittsburgh, Pittsburgh, Pennsylvania, USA</w:t>
      </w:r>
    </w:p>
    <w:p w14:paraId="638145C9" w14:textId="77777777" w:rsidR="004B250B" w:rsidRDefault="00000000">
      <w:r>
        <w:t>⁵ Department of Neurology and Weill Institute for Neurosciences, University of California, San Francisco, San Francisco, California, USA</w:t>
      </w:r>
    </w:p>
    <w:p w14:paraId="715F1D6A" w14:textId="77777777" w:rsidR="004B250B" w:rsidRDefault="00000000">
      <w:r>
        <w:t>⁶ Department of Neurology and Neurological Sciences, Stanford University School of Medicine, Stanford, California, USA</w:t>
      </w:r>
    </w:p>
    <w:p w14:paraId="68F8584D" w14:textId="77777777" w:rsidR="004B250B" w:rsidRDefault="00000000">
      <w:r>
        <w:t>⁷ Department of Biomedicine and Medical Diagnostics, Auckland University of Technology, Auckland, New Zealand</w:t>
      </w:r>
    </w:p>
    <w:p w14:paraId="1A607849" w14:textId="77777777" w:rsidR="004B250B" w:rsidRDefault="00000000">
      <w:r>
        <w:t>⁸ School of Pharmacy, University of Auckland, Auckland, New Zealand</w:t>
      </w:r>
    </w:p>
    <w:p w14:paraId="01F35B18" w14:textId="77777777" w:rsidR="004B250B" w:rsidRDefault="00000000">
      <w:r>
        <w:rPr>
          <w:b/>
        </w:rPr>
        <w:t xml:space="preserve">Corresponding author: </w:t>
      </w:r>
      <w:r>
        <w:t>Daniel M. Goldenholz, MD, PhD, Department of Neurology, Beth Israel Deaconess Medical Center, 330 Brookline Avenue, Boston, MA 02215, USA. Email: author confirmation required.</w:t>
      </w:r>
    </w:p>
    <w:p w14:paraId="6FFA61A3" w14:textId="77777777" w:rsidR="004B250B" w:rsidRDefault="00000000">
      <w:r>
        <w:rPr>
          <w:b/>
        </w:rPr>
        <w:t xml:space="preserve">Running title: </w:t>
      </w:r>
      <w:r>
        <w:t>False Positive Catamenial Classification</w:t>
      </w:r>
    </w:p>
    <w:p w14:paraId="738093B7" w14:textId="77777777" w:rsidR="004B250B" w:rsidRDefault="00000000">
      <w:r>
        <w:rPr>
          <w:b/>
        </w:rPr>
        <w:t xml:space="preserve">Title character count (including spaces): </w:t>
      </w:r>
      <w:r>
        <w:t>69</w:t>
      </w:r>
    </w:p>
    <w:p w14:paraId="26AFBAA9" w14:textId="77777777" w:rsidR="004B250B" w:rsidRDefault="00000000">
      <w:r>
        <w:rPr>
          <w:b/>
        </w:rPr>
        <w:t xml:space="preserve">Abstract word count: </w:t>
      </w:r>
      <w:r>
        <w:t>222</w:t>
      </w:r>
    </w:p>
    <w:p w14:paraId="3E989D84" w14:textId="77777777" w:rsidR="004B250B" w:rsidRDefault="00000000">
      <w:r>
        <w:rPr>
          <w:b/>
        </w:rPr>
        <w:t xml:space="preserve">Main-text word count (Introduction through Discussion): </w:t>
      </w:r>
      <w:r>
        <w:t>1862</w:t>
      </w:r>
    </w:p>
    <w:p w14:paraId="7FDFACA9" w14:textId="77777777" w:rsidR="004B250B" w:rsidRDefault="00000000">
      <w:r>
        <w:rPr>
          <w:b/>
        </w:rPr>
        <w:t xml:space="preserve">References: </w:t>
      </w:r>
      <w:r>
        <w:t>To be generated from Zotero; fewer than 50</w:t>
      </w:r>
    </w:p>
    <w:p w14:paraId="42EFDC2F" w14:textId="77777777" w:rsidR="004B250B" w:rsidRDefault="00000000">
      <w:r>
        <w:rPr>
          <w:b/>
        </w:rPr>
        <w:t xml:space="preserve">Main tables / figures: </w:t>
      </w:r>
      <w:r>
        <w:t>3 / 3 (6 combined)</w:t>
      </w:r>
    </w:p>
    <w:p w14:paraId="06DEDC9B" w14:textId="77777777" w:rsidR="004B250B" w:rsidRDefault="00000000">
      <w:r>
        <w:rPr>
          <w:b/>
        </w:rPr>
        <w:t xml:space="preserve">Supporting information: </w:t>
      </w:r>
      <w:r>
        <w:t>Appendix S1; Tables S1–S4 and Figures S1–S5</w:t>
      </w:r>
    </w:p>
    <w:p w14:paraId="2EC1DE82" w14:textId="77777777" w:rsidR="004B250B" w:rsidRDefault="00000000">
      <w:r>
        <w:br w:type="page"/>
      </w:r>
    </w:p>
    <w:p w14:paraId="5E81DD8B" w14:textId="77777777" w:rsidR="004B250B" w:rsidRDefault="00000000">
      <w:pPr>
        <w:pStyle w:val="Heading1"/>
      </w:pPr>
      <w:r>
        <w:lastRenderedPageBreak/>
        <w:t>Abstract</w:t>
      </w:r>
    </w:p>
    <w:p w14:paraId="371CFFCE" w14:textId="77777777" w:rsidR="004B250B" w:rsidRDefault="00000000">
      <w:r>
        <w:rPr>
          <w:b/>
        </w:rPr>
        <w:t xml:space="preserve">Objective: </w:t>
      </w:r>
      <w:r>
        <w:t>To quantify false-positive catamenial epilepsy classification when seizure and menstrual-cycle diaries are independent.</w:t>
      </w:r>
    </w:p>
    <w:p w14:paraId="6E8E414C" w14:textId="77777777" w:rsidR="004B250B" w:rsidRDefault="00000000">
      <w:r>
        <w:rPr>
          <w:b/>
        </w:rPr>
        <w:t xml:space="preserve">Methods: </w:t>
      </w:r>
      <w:r>
        <w:t>We simulated 100,000 synthetic participants for 36 months in healthy ovulatory and heterogeneous menstruating-age cohorts. CHOCOLATES generated seizure diaries and the new open-source HORMONE-CYCLE simulator generated independent menstrual and hormone diaries. We applied the phase definitions and pattern-specific seizure-frequency ratio thresholds introduced by Herzog and colleagues (the Herzog criteria) across calendar, complete-cycle, and full-diary windows. A negative-binomial C1/C2 analysis was a model-concordant statistical calibration check. An exploratory C3 negative-binomial check used the retained 1% daily audit sample.</w:t>
      </w:r>
    </w:p>
    <w:p w14:paraId="626BFB0A" w14:textId="77777777" w:rsidR="004B250B" w:rsidRDefault="00000000">
      <w:r>
        <w:rPr>
          <w:b/>
        </w:rPr>
        <w:t xml:space="preserve">Results: </w:t>
      </w:r>
      <w:r>
        <w:t>In 36-month strict-Herzog windows, windowed thresholds classified 11.2% of healthy ovulatory and 36.3% of heterogeneous-cohort participants under independence. In the heterogeneous cohort, the C1/C2 union was 11.8%, whereas C3 positivity occurred in 37.0% of applicable windows. C1/C2 negative-binomial false-positive rates were 4.1% and 4.2%. The exploratory C3 model classified 6 of 201 classifiable audit-sample participants (3.0%; 95% Wilson confidence interval, 1.4%–6.4%). Three-month windowed Herzog rates were 41.3% and 51.2%.</w:t>
      </w:r>
    </w:p>
    <w:p w14:paraId="638AA731" w14:textId="77777777" w:rsidR="004B250B" w:rsidRDefault="00000000">
      <w:r>
        <w:rPr>
          <w:b/>
        </w:rPr>
        <w:t xml:space="preserve">Significance: </w:t>
      </w:r>
      <w:r>
        <w:t>False-positive classification can be common under independence, particularly when C3 logic is applied to heterogeneous cycles. Studies should report patterns separately and prespecify diary duration, minimum-data rules, denominator handling, phase labeling, and reproducibility. These rates are conditional on the specified simulators and are not empirical prevalence estimates.</w:t>
      </w:r>
    </w:p>
    <w:p w14:paraId="593CE69B" w14:textId="77777777" w:rsidR="004B250B" w:rsidRDefault="00000000">
      <w:r>
        <w:rPr>
          <w:b/>
        </w:rPr>
        <w:t xml:space="preserve">Keywords: </w:t>
      </w:r>
      <w:r>
        <w:t>catamenial epilepsy; false-positive classification; menstrual cycle; seizure diary; simulation</w:t>
      </w:r>
    </w:p>
    <w:p w14:paraId="1067A00E" w14:textId="77777777" w:rsidR="004B250B" w:rsidRDefault="00000000">
      <w:pPr>
        <w:pStyle w:val="Heading1"/>
      </w:pPr>
      <w:r>
        <w:t>Key Points</w:t>
      </w:r>
    </w:p>
    <w:p w14:paraId="7273E118" w14:textId="77777777" w:rsidR="004B250B" w:rsidRDefault="00000000">
      <w:pPr>
        <w:pStyle w:val="ListBullet"/>
      </w:pPr>
      <w:r>
        <w:t>Windowed Herzog criteria classified 11.2% of healthy and 36.3% of heterogeneous simulated participants under independence in 36-month diaries.</w:t>
      </w:r>
    </w:p>
    <w:p w14:paraId="628F55C5" w14:textId="77777777" w:rsidR="004B250B" w:rsidRDefault="00000000">
      <w:pPr>
        <w:pStyle w:val="ListBullet"/>
      </w:pPr>
      <w:r>
        <w:t>The heterogeneous-cohort excess was primarily C3/inadequate-luteal-phase driven; C1/C2 rates were similar between cohorts.</w:t>
      </w:r>
    </w:p>
    <w:p w14:paraId="2FDA50BE" w14:textId="77777777" w:rsidR="004B250B" w:rsidRDefault="00000000">
      <w:pPr>
        <w:pStyle w:val="ListBullet"/>
      </w:pPr>
      <w:r>
        <w:t>Three-month observation windows produced substantially higher false-positive classification than longer monitoring.</w:t>
      </w:r>
    </w:p>
    <w:p w14:paraId="65584B42" w14:textId="77777777" w:rsidR="004B250B" w:rsidRDefault="00000000">
      <w:pPr>
        <w:pStyle w:val="ListBullet"/>
      </w:pPr>
      <w:r>
        <w:t>Pattern-specific reporting, transparent denominators, and prespecified minimum-data and phase-label rules are essential.</w:t>
      </w:r>
    </w:p>
    <w:p w14:paraId="074C12B3" w14:textId="77777777" w:rsidR="004B250B" w:rsidRDefault="00000000">
      <w:pPr>
        <w:pStyle w:val="Heading1"/>
      </w:pPr>
      <w:r>
        <w:t>Introduction</w:t>
      </w:r>
    </w:p>
    <w:p w14:paraId="0C7609D7" w14:textId="6590E533" w:rsidR="004B250B" w:rsidRDefault="00000000">
      <w:r>
        <w:t>Catamenial epilepsy describes seizure exacerbation in relation to the menstrual cycle. Perimenstrual (C1), periovulatory (C2), and inadequate-luteal-phase (C3) patterns are clinically recognized, but reported prevalence varies with phase definitions, ratio thresholds, diary duration, and eligibility rules. Herzog and colleagues reported 39.1% using three complete cycles and a two-of-three-cycle rule, and 44.2% has been reported among participants enrolled in the NIH Progesterone Treatment Trial. </w:t>
      </w:r>
      <w:r w:rsidR="00053CE4">
        <w:fldChar w:fldCharType="begin"/>
      </w:r>
      <w:r w:rsidR="00053CE4">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p>
    <w:p w14:paraId="2764220C" w14:textId="571240A9" w:rsidR="004B250B" w:rsidRDefault="00000000">
      <w:r>
        <w:t>Prospective diary classifications may disagree with participants’ prior reports of catamenial seizure exacerbation. Such discordance can reflect unrecognized diary-defined patterns, perceived patterns not confirmed by the selected quantitative criterion, or instability across limited observation windows; neither source is an unquestioned reference standard. </w:t>
      </w:r>
      <w:r w:rsidR="0098476B">
        <w:fldChar w:fldCharType="begin"/>
      </w:r>
      <w:r w:rsidR="0098476B">
        <w:instrText xml:space="preserve"> ADDIN ZOTERO_ITEM CSL_CITATION {"citationID":"sg4AwVM3","properties":{"unsorted":false,"formattedCitation":"\\super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98476B">
        <w:fldChar w:fldCharType="separate"/>
      </w:r>
      <w:r w:rsidR="0098476B" w:rsidRPr="0098476B">
        <w:rPr>
          <w:rFonts w:eastAsiaTheme="minorEastAsia" w:cs="Times New Roman"/>
          <w:szCs w:val="24"/>
          <w:vertAlign w:val="superscript"/>
        </w:rPr>
        <w:t>3</w:t>
      </w:r>
      <w:r w:rsidR="0098476B">
        <w:fldChar w:fldCharType="end"/>
      </w:r>
    </w:p>
    <w:p w14:paraId="477AEEE4" w14:textId="34575175" w:rsidR="004B250B" w:rsidRDefault="00000000">
      <w:r>
        <w:t xml:space="preserve">Seizures are temporally structured through clustering, circadian rhythms, and </w:t>
      </w:r>
      <w:proofErr w:type="spellStart"/>
      <w:r>
        <w:t>multidien</w:t>
      </w:r>
      <w:proofErr w:type="spellEnd"/>
      <w:r>
        <w:t xml:space="preserve"> rhythms. When these processes are independent of menstrual cycling, finite windows can still align by chance. Ratio definitions are especially vulnerable with sparse events: a small comparator count can yield a large or undefined ratio. </w:t>
      </w:r>
      <w:r w:rsidR="00766F8D">
        <w:fldChar w:fldCharType="begin"/>
      </w:r>
      <w:r w:rsidR="00766F8D">
        <w:instrText xml:space="preserve"> ADDIN ZOTERO_ITEM CSL_CITATION {"citationID":"HLOrXBzB","properties":{"unsorted":false,"formattedCitation":"\\super 4\\uc0\\u8211{}6\\nosupersub{}","plainCitation":"4–6","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66F8D" w:rsidRPr="00766F8D">
        <w:rPr>
          <w:rFonts w:eastAsiaTheme="minorEastAsia" w:cs="Times New Roman"/>
          <w:szCs w:val="24"/>
          <w:vertAlign w:val="superscript"/>
        </w:rPr>
        <w:t>4–6</w:t>
      </w:r>
      <w:r w:rsidR="00766F8D">
        <w:fldChar w:fldCharType="end"/>
      </w:r>
    </w:p>
    <w:p w14:paraId="522B7413" w14:textId="77777777" w:rsidR="004B250B" w:rsidRDefault="00000000">
      <w:r>
        <w:t xml:space="preserve">We conducted a reproducible independence simulation to estimate false-positive catamenial classification across definitions and observation windows. The study evaluates specificity-like behavior only. We separately report C1/C2 and C3 and describe associations between simulated participant features and apparent classification. We also </w:t>
      </w:r>
      <w:r>
        <w:lastRenderedPageBreak/>
        <w:t>used a model-concordant negative-binomial C1/C2 analysis as a statistical calibration check. An exploratory, separately specified C3 negative-binomial analysis is reported in Appendix S1.</w:t>
      </w:r>
    </w:p>
    <w:p w14:paraId="6810CF2C" w14:textId="77777777" w:rsidR="004B250B" w:rsidRDefault="00000000">
      <w:pPr>
        <w:pStyle w:val="Heading1"/>
      </w:pPr>
      <w:r>
        <w:t>Methods</w:t>
      </w:r>
    </w:p>
    <w:p w14:paraId="67E8B5C1" w14:textId="77777777" w:rsidR="004B250B" w:rsidRDefault="00000000">
      <w:r>
        <w:t>Study design. For each synthetic participant, seizure and menstrual/hormone diaries were generated independently for 36 months. A participant-specific circular shift of the seizure diary, sampled uniformly over the diary length, guarded against common start-date alignment while preserving the generated seizure sequence. Analyses were stratified by cohort and phase-labeling mode.</w:t>
      </w:r>
    </w:p>
    <w:p w14:paraId="6591A718" w14:textId="77777777" w:rsidR="004B250B" w:rsidRDefault="00000000">
      <w:r>
        <w:t>Cohorts. The healthy ovulatory cohort included 50,000 participants aged 18–45 years with ovulatory cycling enforced through the adapter. The heterogeneous menstruating-age cohort included 50,000 participants aged 13.0–54.9 years and allowed anovulation and irregularity. Polycystic ovary syndrome, peri-menarche, perimenopause, and dysmenorrhea were sampled from investigator-configured stress-test rates because the hormone simulator did not contain a natural population prevalence sampler. These rates are assumptions, not population estimates (Appendix S1).</w:t>
      </w:r>
    </w:p>
    <w:p w14:paraId="1FC438D5" w14:textId="3A0335EA" w:rsidR="004B250B" w:rsidRDefault="00000000">
      <w:r>
        <w:t xml:space="preserve">Diary simulators. CHOCOLATES generated seizure counts using a hierarchical gamma–Poisson/negative-binomial-like process with participant heterogeneity, clustering, </w:t>
      </w:r>
      <w:proofErr w:type="spellStart"/>
      <w:r>
        <w:t>multidien</w:t>
      </w:r>
      <w:proofErr w:type="spellEnd"/>
      <w:r>
        <w:t xml:space="preserve"> cycles, and </w:t>
      </w:r>
      <w:proofErr w:type="spellStart"/>
      <w:r>
        <w:t>interseizure</w:t>
      </w:r>
      <w:proofErr w:type="spellEnd"/>
      <w:r>
        <w:t xml:space="preserve"> constraints. </w:t>
      </w:r>
      <w:r w:rsidR="00124921">
        <w:fldChar w:fldCharType="begin"/>
      </w:r>
      <w:r w:rsidR="00124921">
        <w:instrText xml:space="preserve"> ADDIN ZOTERO_ITEM CSL_CITATION {"citationID":"3QNIab7e","properties":{"unsorted":false,"formattedCitation":"\\super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124921" w:rsidRPr="00124921">
        <w:rPr>
          <w:rFonts w:eastAsiaTheme="minorEastAsia" w:cs="Times New Roman"/>
          <w:szCs w:val="24"/>
          <w:vertAlign w:val="superscript"/>
        </w:rPr>
        <w:t>7</w:t>
      </w:r>
      <w:r w:rsidR="00124921">
        <w:fldChar w:fldCharType="end"/>
      </w:r>
      <w:r>
        <w:t xml:space="preserve"> HORMONE-CYCLE is a new custom, data-driven simulator developed for the present project and released as an open-source community tool at https://github.com/GoldenholzLab/catamenial-epilepsy-sim. </w:t>
      </w:r>
      <w:r w:rsidR="005D648A">
        <w:fldChar w:fldCharType="begin"/>
      </w:r>
      <w:r w:rsidR="005D648A">
        <w:instrText xml:space="preserve"> ADDIN ZOTERO_ITEM CSL_CITATION {"citationID":"D0Me1eIh","properties":{"unsorted":false,"formattedCitation":"\\super 8\\nosupersub{}","plainCitation":"8","noteIndex":0},"citationItems":[{"id":846,"uris":["http://zotero.org/users/1538114/items/BBSUV5B4"],"itemData":{"id":846,"type":"software","genre":"Python","license":"MIT","medium":"Python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5D648A" w:rsidRPr="005D648A">
        <w:rPr>
          <w:rFonts w:eastAsiaTheme="minorEastAsia" w:cs="Times New Roman"/>
          <w:szCs w:val="24"/>
          <w:vertAlign w:val="superscript"/>
        </w:rPr>
        <w:t>8</w:t>
      </w:r>
      <w:r w:rsidR="005D648A">
        <w:fldChar w:fldCharType="end"/>
      </w:r>
      <w:r>
        <w:t xml:space="preserve"> It samples participant traits and cycle realizations, then generates daily bleeding, ovulation, estradiol, and progesterone trajectories. Both simulators were designed in a data-driven manner to recapitulate statistical features observed within and across real patient populations. The exact targets, sampling levels, realized distributions, and assumption-by-assumption rationale are reported in Appendix S1. </w:t>
      </w:r>
      <w:r w:rsidR="00D62C09">
        <w:fldChar w:fldCharType="begin"/>
      </w:r>
      <w:r w:rsidR="00D62C09">
        <w:instrText xml:space="preserve"> ADDIN ZOTERO_ITEM CSL_CITATION {"citationID":"syjPk4OX","properties":{"unsorted":false,"formattedCitation":"\\super 9\\uc0\\u8211{}11\\nosupersub{}","plainCitation":"9–11","noteIndex":0},"citationItems":[{"id":788,"uris":["http://zotero.org/users/1538114/items/RQGUHW73"],"itemData":{"id":788,"type":"article-journal","archive_location":"16776638","container-title":"Clinical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D62C09" w:rsidRPr="00D62C09">
        <w:rPr>
          <w:rFonts w:eastAsiaTheme="minorEastAsia" w:cs="Times New Roman"/>
          <w:szCs w:val="24"/>
          <w:vertAlign w:val="superscript"/>
        </w:rPr>
        <w:t>9–11</w:t>
      </w:r>
      <w:r w:rsidR="00D62C09">
        <w:fldChar w:fldCharType="end"/>
      </w:r>
      <w:r>
        <w:t xml:space="preserve"> </w:t>
      </w:r>
      <w:r w:rsidR="00CA5AF3">
        <w:fldChar w:fldCharType="begin"/>
      </w:r>
      <w:r w:rsidR="00CA5AF3">
        <w:instrText xml:space="preserve"> ADDIN ZOTERO_ITEM CSL_CITATION {"citationID":"iQSrCXXC","properties":{"unsorted":false,"formattedCitation":"\\super 12\\nosupersub{}","plainCitation":"12","noteIndex":0},"citationItems":[{"id":790,"uris":["http://zotero.org/users/1538114/items/AZR8XN6P"],"itemData":{"id":790,"type":"article-journal","container-title":"Journal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CA5AF3" w:rsidRPr="00CA5AF3">
        <w:rPr>
          <w:rFonts w:eastAsiaTheme="minorEastAsia" w:cs="Times New Roman"/>
          <w:szCs w:val="24"/>
          <w:vertAlign w:val="superscript"/>
        </w:rPr>
        <w:t>12</w:t>
      </w:r>
      <w:r w:rsidR="00CA5AF3">
        <w:fldChar w:fldCharType="end"/>
      </w:r>
    </w:p>
    <w:p w14:paraId="45C5198C" w14:textId="76BB1FAB" w:rsidR="004B250B" w:rsidRDefault="00000000">
      <w:r>
        <w:t>Phase labeling and Herzog criteria. Strict Herzog phase labeling was the primary phase-definition scheme. 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 </w:t>
      </w:r>
      <w:r w:rsidR="001661A1">
        <w:fldChar w:fldCharType="begin"/>
      </w:r>
      <w:r w:rsidR="001661A1">
        <w:instrText xml:space="preserve"> ADDIN ZOTERO_ITEM CSL_CITATION {"citationID":"KZCTFQ4q","properties":{"unsorted":false,"formattedCitation":"\\super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1661A1" w:rsidRPr="001661A1">
        <w:rPr>
          <w:rFonts w:eastAsiaTheme="minorEastAsia" w:cs="Times New Roman"/>
          <w:szCs w:val="24"/>
          <w:vertAlign w:val="superscript"/>
        </w:rPr>
        <w:t>13</w:t>
      </w:r>
      <w:r w:rsidR="001661A1">
        <w:fldChar w:fldCharType="end"/>
      </w:r>
    </w:p>
    <w:p w14:paraId="3571E55B" w14:textId="4335099B" w:rsidR="004B250B" w:rsidRDefault="00000000">
      <w:r>
        <w:t>Windowed ratios were C1=ADSF(M)/ADSF(F+L) with threshold 1.69, C2=ADSF(O)/ADSF(F+L) with threshold 1.83, and C3=ADSF(O+L+M)/ADSF(F) with threshold 1.62 in applicable inadequate-luteal-phase cycles/windows. These exact distributional inflection values, rather than a rounded twofold rule, were used. </w:t>
      </w:r>
      <w:r w:rsidR="000C7F3A">
        <w:fldChar w:fldCharType="begin"/>
      </w:r>
      <w:r w:rsidR="000C7F3A">
        <w:instrText xml:space="preserve"> ADDIN ZOTERO_ITEM CSL_CITATION {"citationID":"mgTkcd27","properties":{"unsorted":false,"formattedCitation":"\\super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0C7F3A" w:rsidRPr="000C7F3A">
        <w:rPr>
          <w:rFonts w:eastAsiaTheme="minorEastAsia" w:cs="Times New Roman"/>
          <w:szCs w:val="24"/>
          <w:vertAlign w:val="superscript"/>
        </w:rPr>
        <w:t>13</w:t>
      </w:r>
      <w:r w:rsidR="000C7F3A">
        <w:fldChar w:fldCharType="end"/>
      </w:r>
      <w:r>
        <w:t xml:space="preserve"> A ratio was undefined when its numerator or comparator phase was absent or when both phase rates were zero; a positive numerator with zero comparator was treated as positive infinity.</w:t>
      </w:r>
    </w:p>
    <w:p w14:paraId="6D789133" w14:textId="1CC9F2EB" w:rsidR="004B250B" w:rsidRDefault="00000000">
      <w:r>
        <w:t xml:space="preserve">C3 applicability. In the heterogeneous cohort, the adapter 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cycles. The 5.0-ng/mL cutoff follows the operational ovulatory criterion in the original Herzog study; implementation details and sensitivity limitations are in Appendix S1. </w:t>
      </w:r>
      <w:r w:rsidR="00B9378A">
        <w:fldChar w:fldCharType="begin"/>
      </w:r>
      <w:r w:rsidR="00B9378A">
        <w:instrText xml:space="preserve"> ADDIN ZOTERO_ITEM CSL_CITATION {"citationID":"QEeNVymh","properties":{"unsorted":false,"formattedCitation":"\\super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B9378A" w:rsidRPr="00B9378A">
        <w:rPr>
          <w:rFonts w:eastAsiaTheme="minorEastAsia" w:cs="Times New Roman"/>
          <w:szCs w:val="24"/>
          <w:vertAlign w:val="superscript"/>
        </w:rPr>
        <w:t>13</w:t>
      </w:r>
      <w:r w:rsidR="00B9378A">
        <w:fldChar w:fldCharType="end"/>
      </w:r>
    </w:p>
    <w:p w14:paraId="456733C2" w14:textId="2B3566A5" w:rsidR="004B250B" w:rsidRDefault="00000000">
      <w:r>
        <w:t>Classification definitions. Exact Herzog 2004 required exactly three complete 23–35-day cycles and the same positive pattern in at least two cycles. </w:t>
      </w:r>
      <w:r w:rsidR="00171C99">
        <w:fldChar w:fldCharType="begin"/>
      </w:r>
      <w:r w:rsidR="00171C99">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171C99">
        <w:fldChar w:fldCharType="separate"/>
      </w:r>
      <w:r w:rsidR="00171C99" w:rsidRPr="00171C99">
        <w:rPr>
          <w:rFonts w:eastAsiaTheme="minorEastAsia" w:cs="Times New Roman"/>
          <w:szCs w:val="24"/>
          <w:vertAlign w:val="superscript"/>
        </w:rPr>
        <w:t>1</w:t>
      </w:r>
      <w:r w:rsidR="00171C99">
        <w:fldChar w:fldCharType="end"/>
      </w:r>
      <w:r>
        <w:t xml:space="preserve"> Windowed Herzog pooled the phase-specific ratios in each calendar, cycle-count, or full-diary window. The investigator-selected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2339786A" w14:textId="0F971A01" w:rsidR="004B250B" w:rsidRDefault="00000000">
      <w:r>
        <w:lastRenderedPageBreak/>
        <w:t xml:space="preserve">Model-concordant statistical calibration checks. Recurrent heterogeneous seizure counts are </w:t>
      </w:r>
      <w:proofErr w:type="spellStart"/>
      <w:r>
        <w:t>overdispersed</w:t>
      </w:r>
      <w:proofErr w:type="spellEnd"/>
      <w:r>
        <w:t xml:space="preserve">, motivating </w:t>
      </w:r>
      <w:proofErr w:type="gramStart"/>
      <w:r>
        <w:t>negative-binomial</w:t>
      </w:r>
      <w:proofErr w:type="gramEnd"/>
      <w:r>
        <w:t xml:space="preserve"> rather than simple Poisson models. </w:t>
      </w:r>
      <w:r w:rsidR="00001E29">
        <w:fldChar w:fldCharType="begin"/>
      </w:r>
      <w:r w:rsidR="00001E29">
        <w:instrText xml:space="preserve"> ADDIN ZOTERO_ITEM CSL_CITATION {"citationID":"bmB8Cjh7","properties":{"unsorted":false,"formattedCitation":"\\super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001E29" w:rsidRPr="00001E29">
        <w:rPr>
          <w:rFonts w:eastAsiaTheme="minorEastAsia" w:cs="Times New Roman"/>
          <w:szCs w:val="24"/>
          <w:vertAlign w:val="superscript"/>
        </w:rPr>
        <w:t>7</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is a model-concordant statistical calibration check—not an alternative clinical diagnostic method or independent simulator validation.</w:t>
      </w:r>
    </w:p>
    <w:p w14:paraId="6ECD334D"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51360509" w14:textId="77777777" w:rsidR="004B250B" w:rsidRDefault="00000000">
      <w:r>
        <w:t xml:space="preserve">Outcomes and statistics. 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w:t>
      </w:r>
      <w:proofErr w:type="spellStart"/>
      <w:r>
        <w:t>nonapplicability</w:t>
      </w:r>
      <w:proofErr w:type="spellEnd"/>
      <w:r>
        <w:t xml:space="preserve"> was kept separate. Definition-by-window-by-cohort estimates with fewer than 1,000 classifiable participant-windows were flagged as unstable. Wilson intervals quantify Monte Carlo uncertainty in a simulated proportion and do not include model-form uncertainty. Ten thousand simulated studies of 30, 50, or 100 participants sampled one random valid 3-month window per participant.</w:t>
      </w:r>
    </w:p>
    <w:p w14:paraId="206C120C" w14:textId="77777777" w:rsidR="004B250B" w:rsidRDefault="00000000">
      <w:r>
        <w:t>Ethics. All participants were synthetic; institutional review board approval, consent, and clinical-trial registration were not applicable.</w:t>
      </w:r>
    </w:p>
    <w:p w14:paraId="6CFD1FC9" w14:textId="77777777" w:rsidR="004B250B" w:rsidRDefault="00000000">
      <w:pPr>
        <w:pStyle w:val="Heading1"/>
      </w:pPr>
      <w:r>
        <w:t>Results</w:t>
      </w:r>
    </w:p>
    <w:p w14:paraId="45B96286" w14:textId="77777777" w:rsidR="004B250B" w:rsidRDefault="00000000">
      <w:r>
        <w:t>Simulation cohort. The completed run included 100,000 synthetic participants. The healthy ovulatory cohort had 100.0% ovulatory cycles by design; the heterogeneous cohort had 79.0% ovulatory cycles, greater within-participant cycle-length variability, and similar seizure burden (Table 1).</w:t>
      </w:r>
    </w:p>
    <w:p w14:paraId="740575EF" w14:textId="77777777" w:rsidR="004B250B" w:rsidRDefault="00000000">
      <w:r>
        <w:t xml:space="preserve">Full-diary classification. In strict-Herzog 36-month windows, windowed Herzog thresholds classified 11.2% of healthy ovulatory and 36.3% of heterogeneous participants under independence (Table 2). In the heterogeneous cohort, the C1/C2 union was 11.8%, </w:t>
      </w:r>
      <w:proofErr w:type="gramStart"/>
      <w:r>
        <w:t>similar to</w:t>
      </w:r>
      <w:proofErr w:type="gramEnd"/>
      <w:r>
        <w:t xml:space="preserve"> the healthy cohort’s 11.2%, whereas C3 positivity occurred in 37.0% of applicable windows. The excess was therefore primarily associated with the simulated inadequate-luteal-phase C3 mechanism (Figure 2 and Appendix S1).</w:t>
      </w:r>
    </w:p>
    <w:p w14:paraId="108A4810" w14:textId="77777777" w:rsidR="004B250B" w:rsidRDefault="00000000">
      <w:r>
        <w:t>Observation windows. Three-month windowed Herzog false-positive rates were 41.3% and 51.2% in the healthy and heterogeneous cohorts, respectively. Rates declined with longer monitoring but remained definition-dependent (Figure 1). Exact Herzog 2004 applied to three complete cycles yielded 49.7% and 51.2% among classifiable windows, while many attempted windows were indeterminate. Appendix S1 reports C3 across every saved calendar and complete-cycle duration, minimum-data threshold sensitivities, and cumulative simulated C1, C2, and C3 ratio distributions.</w:t>
      </w:r>
    </w:p>
    <w:p w14:paraId="23FB596B" w14:textId="77777777" w:rsidR="004B250B" w:rsidRDefault="00000000">
      <w:r>
        <w:t>Calibration checks. The full-diary C1/C2 negative-binomial false-positive rate was 4.1% in the healthy cohort and 4.2% in the heterogeneous cohort, close to the prespecified 5% Type I error rate. In the 1% daily audit sample, 431 of 500 heterogeneous participants had a C3-applicable ratio window, but only 201 met the exploratory C3 model’s four-complete-ILP-cycle and four-seizure-day requirements. Six were positive (3.0%; 95% Wilson confidence interval, 1.4%–6.4%; 1.2% of all 500 attempted participants).</w:t>
      </w:r>
    </w:p>
    <w:p w14:paraId="7CA21BE9" w14:textId="77777777" w:rsidR="004B250B" w:rsidRDefault="00000000">
      <w:r>
        <w:t>Study-level and feature summaries. 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 not clinical risk factors.</w:t>
      </w:r>
    </w:p>
    <w:p w14:paraId="7215A2C4" w14:textId="77777777" w:rsidR="004B250B" w:rsidRDefault="00000000">
      <w:pPr>
        <w:pStyle w:val="Heading1"/>
      </w:pPr>
      <w:r>
        <w:lastRenderedPageBreak/>
        <w:t>Discussion</w:t>
      </w:r>
    </w:p>
    <w:p w14:paraId="43123369" w14:textId="77777777" w:rsidR="004B250B" w:rsidRDefault="00000000">
      <w:r>
        <w:t>This independence simulation shows that ratio-based catamenial classifications can arise frequently without simulated seizure–menstrual coupling. The magnitude depends on pattern, observation length, analyzability rules, and menstrual-cycle assumptions. The largest heterogeneous-cohort excess was C3-driven, whereas C1/C2 behavior was similar between cohorts.</w:t>
      </w:r>
    </w:p>
    <w:p w14:paraId="2C4B26E0" w14:textId="77777777" w:rsidR="004B250B" w:rsidRDefault="00000000">
      <w:r>
        <w:t xml:space="preserve">The model-concordant negative-binomial findings address implementation-level calibration under related model assumptions, not clinical usefulness or superiority. C1/C2 rates near 5% are expected for tests constructed around </w:t>
      </w:r>
      <w:proofErr w:type="gramStart"/>
      <w:r>
        <w:t>a 5% Type</w:t>
      </w:r>
      <w:proofErr w:type="gramEnd"/>
      <w:r>
        <w:t xml:space="preserv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p>
    <w:p w14:paraId="5A1F3025" w14:textId="296C6F0D" w:rsidR="004B250B" w:rsidRDefault="00000000">
      <w:r>
        <w:t>Earlier studies established biologically plausible and clinically important C1, C2, and C3 patterns, and treatment evidence remains limited and mixed. </w:t>
      </w:r>
      <w:r w:rsidR="00CB29DC">
        <w:fldChar w:fldCharType="begin"/>
      </w:r>
      <w:r w:rsidR="00CB29DC">
        <w:instrText xml:space="preserve"> ADDIN ZOTERO_ITEM CSL_CITATION {"citationID":"0MZvkEqL","properties":{"unsorted":false,"formattedCitation":"\\super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CB29DC">
        <w:fldChar w:fldCharType="separate"/>
      </w:r>
      <w:r w:rsidR="00CB29DC" w:rsidRPr="00CB29DC">
        <w:rPr>
          <w:rFonts w:eastAsiaTheme="minorEastAsia" w:cs="Times New Roman"/>
          <w:szCs w:val="24"/>
          <w:vertAlign w:val="superscript"/>
        </w:rPr>
        <w:t>13</w:t>
      </w:r>
      <w:r w:rsidR="00CB29DC">
        <w:fldChar w:fldCharType="end"/>
      </w:r>
      <w:r>
        <w:t xml:space="preserve"> </w:t>
      </w:r>
      <w:r w:rsidR="00B35E5A">
        <w:fldChar w:fldCharType="begin"/>
      </w:r>
      <w:r w:rsidR="00B35E5A">
        <w:instrText xml:space="preserve"> ADDIN ZOTERO_ITEM CSL_CITATION {"citationID":"eTSd3Eut","properties":{"unsorted":false,"formattedCitation":"\\super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rsidR="00B35E5A">
        <w:fldChar w:fldCharType="separate"/>
      </w:r>
      <w:r w:rsidR="00B35E5A" w:rsidRPr="00B35E5A">
        <w:rPr>
          <w:rFonts w:eastAsiaTheme="minorEastAsia" w:cs="Times New Roman"/>
          <w:szCs w:val="24"/>
          <w:vertAlign w:val="superscript"/>
        </w:rPr>
        <w:t>14,15</w:t>
      </w:r>
      <w:r w:rsidR="00B35E5A">
        <w:fldChar w:fldCharType="end"/>
      </w:r>
      <w:r>
        <w:t xml:space="preserve"> The present study instead estimates a diagnostic background rate generated by chance alignment of independently simulated structured processes. It does not estimate true prevalence, sensitivity, positive predictive value, or treatment response.</w:t>
      </w:r>
    </w:p>
    <w:p w14:paraId="7986F44C" w14:textId="77777777" w:rsidR="004B250B" w:rsidRDefault="00000000">
      <w:r>
        <w:t>Several design implications follow. First, short-window ratio classifications require caution when seizure counts are sparse. Second, C1, C2, and C3 should be reported separately. Third, classifiable and all-attempted denominators should be shown together. Fourth, study comparisons should match the original design: the Herzog 2004 benchmark is aligned with the exact three-complete-cycle rule, not a random three-calendar-month window.</w:t>
      </w:r>
    </w:p>
    <w:p w14:paraId="49570749" w14:textId="2BA328A9"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 </w:t>
      </w:r>
      <w:r w:rsidR="00122398">
        <w:fldChar w:fldCharType="begin"/>
      </w:r>
      <w:r w:rsidR="00122398">
        <w:instrText xml:space="preserve"> ADDIN ZOTERO_ITEM CSL_CITATION {"citationID":"DW9Ll3k3","properties":{"unsorted":false,"formattedCitation":"\\super 16\\nosupersub{}","plainCitation":"16","noteIndex":0},"citationItems":[{"id":849,"uris":["http://zotero.org/users/1538114/items/MT3JJG7G"],"itemData":{"id":849,"type":"article-journal","abstract":"Catamenial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122398" w:rsidRPr="00122398">
        <w:rPr>
          <w:rFonts w:eastAsiaTheme="minorEastAsia" w:cs="Times New Roman"/>
          <w:szCs w:val="24"/>
          <w:vertAlign w:val="superscript"/>
        </w:rPr>
        <w:t>16</w:t>
      </w:r>
      <w:r w:rsidR="00122398">
        <w:fldChar w:fldCharType="end"/>
      </w:r>
    </w:p>
    <w:p w14:paraId="2ABF6924" w14:textId="77777777" w:rsidR="004B250B" w:rsidRDefault="00000000">
      <w:r>
        <w:t>The study is limited by simulator and adapter assumptions. CHOCOLATES and HORMONE-CYCLE were calibrated to published features, but summary-level calibration does not substitute for external validation using paired real diaries. The configured heterogeneous-cohort modifiers are stress-test assumptions, the 5.0-ng/mL C3 rule operationalizes one historical definition, and no diary missingness was simulated. Monte Carlo intervals do not include model-form uncertainty. Medication changes and secular seizure-rate trends were outside the scope of this paper and could invalidate stationarity assumptions or alter chance-alignment rates. The study does not evaluate false negatives or adjudicated seizure types.</w:t>
      </w:r>
    </w:p>
    <w:p w14:paraId="0C3159F5" w14:textId="77777777" w:rsidR="004B250B" w:rsidRDefault="00000000">
      <w:r>
        <w:t>Future work should compare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 A clinical-facing calculator is deferred unless external validation and uncertainty decomposition support such use.</w:t>
      </w:r>
    </w:p>
    <w:p w14:paraId="5C54B13E" w14:textId="77777777" w:rsidR="004B250B" w:rsidRDefault="00000000">
      <w:r>
        <w:t>In conclusion, apparent catamenial epilepsy classification can be common 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38207BEE" w14:textId="77777777" w:rsidR="004B250B" w:rsidRDefault="00000000">
      <w:pPr>
        <w:pStyle w:val="Heading1"/>
      </w:pPr>
      <w:r>
        <w:t>Acknowledgments</w:t>
      </w:r>
    </w:p>
    <w:p w14:paraId="513F1C39" w14:textId="77777777" w:rsidR="004B250B" w:rsidRDefault="00000000">
      <w:r>
        <w:t xml:space="preserve">The authors thank the people </w:t>
      </w:r>
      <w:proofErr w:type="gramStart"/>
      <w:r>
        <w:t>whose</w:t>
      </w:r>
      <w:proofErr w:type="gramEnd"/>
      <w:r>
        <w:t xml:space="preserve"> menstrual and seizure diaries contributed to the published statistical targets used by the two simulators.</w:t>
      </w:r>
    </w:p>
    <w:p w14:paraId="7D2A8A79" w14:textId="77777777" w:rsidR="004B250B" w:rsidRDefault="00000000">
      <w:pPr>
        <w:pStyle w:val="Heading1"/>
      </w:pPr>
      <w:r>
        <w:t>Study Funding</w:t>
      </w:r>
    </w:p>
    <w:p w14:paraId="640F4701"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3923E5BA" w14:textId="77777777" w:rsidR="004B250B" w:rsidRDefault="00000000">
      <w:pPr>
        <w:pStyle w:val="Heading1"/>
      </w:pPr>
      <w:r>
        <w:lastRenderedPageBreak/>
        <w:t>Conflict of Interest</w:t>
      </w:r>
    </w:p>
    <w:p w14:paraId="3130EDC8" w14:textId="77777777" w:rsidR="004B250B" w:rsidRDefault="00000000">
      <w:r>
        <w:t>DMG reports funding from NIH K23NS124656, NIH R21NS142800, and the American Board of Psychiatry and Neurology. SC, WTK, and RLS report no disclosures relevant to the manuscript. MBW disclosure confirmation is pending.</w:t>
      </w:r>
    </w:p>
    <w:p w14:paraId="3D1EE9FF" w14:textId="77777777" w:rsidR="004B250B" w:rsidRDefault="00000000">
      <w:pPr>
        <w:pStyle w:val="Heading1"/>
      </w:pPr>
      <w:r>
        <w:t>Author Contributions</w:t>
      </w:r>
    </w:p>
    <w:p w14:paraId="6603BB65" w14:textId="77777777" w:rsidR="004B250B" w:rsidRDefault="00000000">
      <w:r>
        <w:t>Daniel M. Goldenholz: Conceptualization, methodology, software, formal analysis, visualization, writing—original draft, writing—review and editing, funding acquisition. Wesley T. Kerr: Conceptualization, methodology, clinical interpretation, writing—review and editing. Sharon Chiang: Methodology, statistical interpretation, writing—review and editing. M. Brandon Westover: Methodology, software concept, clinical interpretation, writing—review and editing. Rachael L. Sumner: Methodology, reproductive neuroendocrinology interpretation, writing—review and editing.</w:t>
      </w:r>
    </w:p>
    <w:p w14:paraId="3838F0C7" w14:textId="77777777" w:rsidR="004B250B" w:rsidRDefault="00000000">
      <w:pPr>
        <w:pStyle w:val="Heading1"/>
      </w:pPr>
      <w:r>
        <w:t>Data and Code Availability</w:t>
      </w:r>
    </w:p>
    <w:p w14:paraId="7B79C906" w14:textId="77777777" w:rsidR="004B250B" w:rsidRDefault="00000000">
      <w:r>
        <w:t>Code, configuration, derived tabular outputs, and the run manifest are available at https://github.com/GoldenholzLab/catamenial-epilepsy-sim. The completed run used master seed 20260505; outputs/</w:t>
      </w:r>
      <w:proofErr w:type="spellStart"/>
      <w:r>
        <w:t>manifest.json</w:t>
      </w:r>
      <w:proofErr w:type="spellEnd"/>
      <w:r>
        <w:t xml:space="preserve"> records configuration values, file sizes, and SHA-256 checksums. The new Appendix S1 tables were derived without altering primary outputs.</w:t>
      </w:r>
    </w:p>
    <w:p w14:paraId="0A21D701" w14:textId="77777777" w:rsidR="004B250B" w:rsidRDefault="00000000">
      <w:pPr>
        <w:pStyle w:val="Heading1"/>
      </w:pPr>
      <w:r>
        <w:t>Ethical Publication Statement</w:t>
      </w:r>
    </w:p>
    <w:p w14:paraId="4F420386" w14:textId="77777777" w:rsidR="004B250B" w:rsidRDefault="00000000">
      <w:r>
        <w:t>We confirm that we have read the Journal’s position on issues involved in ethical publication and affirm that this report is consistent with those guidelines.</w:t>
      </w:r>
    </w:p>
    <w:p w14:paraId="328E146E" w14:textId="77777777" w:rsidR="004B250B" w:rsidRDefault="00000000">
      <w:pPr>
        <w:pStyle w:val="Heading1"/>
      </w:pPr>
      <w:r>
        <w:t>Supporting Information</w:t>
      </w:r>
    </w:p>
    <w:p w14:paraId="0FB29741" w14:textId="77777777" w:rsidR="004B250B" w:rsidRDefault="00000000">
      <w:r>
        <w:t>Appendix S1 contains the simulator source-to-parameter map, assumption review, C3 algorithm, cumulative simulated Herzog-ratio panels, window and minimum-data sensitivities, exploratory C3 negative-binomial calibration check, pattern decomposition, feature associations, and Supplementary Figures S1–S5.</w:t>
      </w:r>
    </w:p>
    <w:p w14:paraId="5161638A" w14:textId="77777777" w:rsidR="004B250B" w:rsidRDefault="00000000">
      <w:pPr>
        <w:pStyle w:val="Heading1"/>
      </w:pPr>
      <w:r>
        <w:t>References</w:t>
      </w:r>
    </w:p>
    <w:p w14:paraId="4E8F938C" w14:textId="77777777" w:rsidR="00E24A71" w:rsidRPr="00E24A71" w:rsidRDefault="00000000" w:rsidP="00E24A71">
      <w:pPr>
        <w:pStyle w:val="Bibliography"/>
        <w:rPr>
          <w:rFonts w:eastAsiaTheme="minorEastAsia" w:cs="Times New Roman"/>
        </w:rPr>
      </w:pPr>
      <w:r>
        <w:t/>
      </w:r>
      <w:r w:rsidR="00E24A71">
        <w:fldChar w:fldCharType="begin"/>
      </w:r>
      <w:r w:rsidR="00E24A71">
        <w:instrText xml:space="preserve"> ADDIN ZOTERO_BIBL {"uncited":[],"omitted":[],"custom":[]} CSL_BIBLIOGRAPHY </w:instrText>
      </w:r>
      <w:r w:rsidR="00E24A71">
        <w:fldChar w:fldCharType="separate"/>
      </w:r>
      <w:r w:rsidR="00E24A71" w:rsidRPr="00E24A71">
        <w:rPr>
          <w:rFonts w:eastAsiaTheme="minorEastAsia" w:cs="Times New Roman"/>
        </w:rPr>
        <w:t xml:space="preserve">1. </w:t>
      </w:r>
      <w:r w:rsidR="00E24A71" w:rsidRPr="00E24A71">
        <w:rPr>
          <w:rFonts w:eastAsiaTheme="minorEastAsia" w:cs="Times New Roman"/>
        </w:rPr>
        <w:tab/>
        <w:t xml:space="preserve">Herzog AG, Harden CL, </w:t>
      </w:r>
      <w:proofErr w:type="spellStart"/>
      <w:r w:rsidR="00E24A71" w:rsidRPr="00E24A71">
        <w:rPr>
          <w:rFonts w:eastAsiaTheme="minorEastAsia" w:cs="Times New Roman"/>
        </w:rPr>
        <w:t>Liporace</w:t>
      </w:r>
      <w:proofErr w:type="spellEnd"/>
      <w:r w:rsidR="00E24A71" w:rsidRPr="00E24A71">
        <w:rPr>
          <w:rFonts w:eastAsiaTheme="minorEastAsia" w:cs="Times New Roman"/>
        </w:rPr>
        <w:t xml:space="preserve"> J, Pennell P, Schomer DL, Sperling M, et al. Frequency of catamenial seizure exacerbation in women with localization-related epilepsy. Ann Neurol. 2004; 56(3):431–4. </w:t>
      </w:r>
    </w:p>
    <w:p w14:paraId="751C4210"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2. </w:t>
      </w:r>
      <w:r w:rsidRPr="00E24A71">
        <w:rPr>
          <w:rFonts w:eastAsiaTheme="minorEastAsia" w:cs="Times New Roman"/>
        </w:rPr>
        <w:tab/>
        <w:t xml:space="preserve">Herzog AG. Catamenial epilepsy: Update on prevalence, pathophysiology and treatment from the findings of the NIH Progesterone Treatment Trial. Seizure. 2015; 28:18–25. </w:t>
      </w:r>
    </w:p>
    <w:p w14:paraId="581F68B5"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3. </w:t>
      </w:r>
      <w:r w:rsidRPr="00E24A71">
        <w:rPr>
          <w:rFonts w:eastAsiaTheme="minorEastAsia" w:cs="Times New Roman"/>
        </w:rPr>
        <w:tab/>
        <w:t xml:space="preserve">Voinescu PE, Kelly M, French JA, Harden C, Davis A, Lau C, et al. Catamenial epilepsy occurrence and patterns in a mixed population of women with epilepsy. Epilepsia. 2023; 64(9):e194–9. </w:t>
      </w:r>
    </w:p>
    <w:p w14:paraId="4800BC33"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4. </w:t>
      </w:r>
      <w:r w:rsidRPr="00E24A71">
        <w:rPr>
          <w:rFonts w:eastAsiaTheme="minorEastAsia" w:cs="Times New Roman"/>
        </w:rPr>
        <w:tab/>
        <w:t xml:space="preserve">Karoly PJ, Cook MJ, Maturana M, Nurse ES, Payne D, Brinkmann BH, et al. Forecasting cycles of seizure likelihood. Epilepsia. 2020; 61(4):776–86. </w:t>
      </w:r>
    </w:p>
    <w:p w14:paraId="5F40BF33"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5. </w:t>
      </w:r>
      <w:r w:rsidRPr="00E24A71">
        <w:rPr>
          <w:rFonts w:eastAsiaTheme="minorEastAsia" w:cs="Times New Roman"/>
        </w:rPr>
        <w:tab/>
        <w:t xml:space="preserve">Karoly PJ, Rao VR, Gregg NM, Worrell GA, Bernard C, Cook MJ, et al. Cycles in epilepsy. Nat Rev Neurol. 2021; 17(5):267–84. </w:t>
      </w:r>
    </w:p>
    <w:p w14:paraId="51F3FD17"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6. </w:t>
      </w:r>
      <w:r w:rsidRPr="00E24A71">
        <w:rPr>
          <w:rFonts w:eastAsiaTheme="minorEastAsia" w:cs="Times New Roman"/>
        </w:rPr>
        <w:tab/>
        <w:t xml:space="preserve">Baud MO, Kleen JK, Mirro EA, </w:t>
      </w:r>
      <w:proofErr w:type="spellStart"/>
      <w:r w:rsidRPr="00E24A71">
        <w:rPr>
          <w:rFonts w:eastAsiaTheme="minorEastAsia" w:cs="Times New Roman"/>
        </w:rPr>
        <w:t>Andrechak</w:t>
      </w:r>
      <w:proofErr w:type="spellEnd"/>
      <w:r w:rsidRPr="00E24A71">
        <w:rPr>
          <w:rFonts w:eastAsiaTheme="minorEastAsia" w:cs="Times New Roman"/>
        </w:rPr>
        <w:t xml:space="preserve"> JC, King-Stephens D, Chang EF, et al. Multi-day rhythms modulate seizure risk in epilepsy. Nat Commun. 2018; 9(1):88. </w:t>
      </w:r>
    </w:p>
    <w:p w14:paraId="184134F9"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7. </w:t>
      </w:r>
      <w:r w:rsidRPr="00E24A71">
        <w:rPr>
          <w:rFonts w:eastAsiaTheme="minorEastAsia" w:cs="Times New Roman"/>
        </w:rPr>
        <w:tab/>
        <w:t xml:space="preserve">Goldenholz DM, Westover MB. Flexible realistic simulation of seizure occurrence recapitulating statistical properties of seizure diaries. Epilepsia. 2023; 64(2):396–405. </w:t>
      </w:r>
    </w:p>
    <w:p w14:paraId="1899F13A" w14:textId="77777777" w:rsidR="00E24A71" w:rsidRPr="00E24A71" w:rsidRDefault="00E24A71" w:rsidP="00E24A71">
      <w:pPr>
        <w:pStyle w:val="Bibliography"/>
        <w:rPr>
          <w:rFonts w:eastAsiaTheme="minorEastAsia" w:cs="Times New Roman"/>
        </w:rPr>
      </w:pPr>
      <w:r w:rsidRPr="00E24A71">
        <w:rPr>
          <w:rFonts w:eastAsiaTheme="minorEastAsia" w:cs="Times New Roman"/>
        </w:rPr>
        <w:lastRenderedPageBreak/>
        <w:t xml:space="preserve">8. </w:t>
      </w:r>
      <w:r w:rsidRPr="00E24A71">
        <w:rPr>
          <w:rFonts w:eastAsiaTheme="minorEastAsia" w:cs="Times New Roman"/>
        </w:rPr>
        <w:tab/>
        <w:t xml:space="preserve">Daniel Goldenholz. HORMONE-CYCLE [Internet]. </w:t>
      </w:r>
      <w:proofErr w:type="spellStart"/>
      <w:r w:rsidRPr="00E24A71">
        <w:rPr>
          <w:rFonts w:eastAsiaTheme="minorEastAsia" w:cs="Times New Roman"/>
        </w:rPr>
        <w:t>GoldenholzLab</w:t>
      </w:r>
      <w:proofErr w:type="spellEnd"/>
      <w:r w:rsidRPr="00E24A71">
        <w:rPr>
          <w:rFonts w:eastAsiaTheme="minorEastAsia" w:cs="Times New Roman"/>
        </w:rPr>
        <w:t>; 2026. Available from: https://github.com/GoldenholzLab/catamenial-epilepsy-sim.git</w:t>
      </w:r>
    </w:p>
    <w:p w14:paraId="64C7FD75"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9. </w:t>
      </w:r>
      <w:r w:rsidRPr="00E24A71">
        <w:rPr>
          <w:rFonts w:eastAsiaTheme="minorEastAsia" w:cs="Times New Roman"/>
        </w:rPr>
        <w:tab/>
        <w:t xml:space="preserve">Stricker R, Eberhart R, </w:t>
      </w:r>
      <w:proofErr w:type="spellStart"/>
      <w:r w:rsidRPr="00E24A71">
        <w:rPr>
          <w:rFonts w:eastAsiaTheme="minorEastAsia" w:cs="Times New Roman"/>
        </w:rPr>
        <w:t>Chevailler</w:t>
      </w:r>
      <w:proofErr w:type="spellEnd"/>
      <w:r w:rsidRPr="00E24A71">
        <w:rPr>
          <w:rFonts w:eastAsiaTheme="minorEastAsia" w:cs="Times New Roman"/>
        </w:rPr>
        <w:t xml:space="preserve">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675364F7"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10. </w:t>
      </w:r>
      <w:r w:rsidRPr="00E24A71">
        <w:rPr>
          <w:rFonts w:eastAsiaTheme="minorEastAsia" w:cs="Times New Roman"/>
        </w:rPr>
        <w:tab/>
        <w:t xml:space="preserve">Bull JR, Rowland SP, </w:t>
      </w:r>
      <w:proofErr w:type="spellStart"/>
      <w:r w:rsidRPr="00E24A71">
        <w:rPr>
          <w:rFonts w:eastAsiaTheme="minorEastAsia" w:cs="Times New Roman"/>
        </w:rPr>
        <w:t>Scherwitzl</w:t>
      </w:r>
      <w:proofErr w:type="spellEnd"/>
      <w:r w:rsidRPr="00E24A71">
        <w:rPr>
          <w:rFonts w:eastAsiaTheme="minorEastAsia" w:cs="Times New Roman"/>
        </w:rPr>
        <w:t xml:space="preserve"> EB, </w:t>
      </w:r>
      <w:proofErr w:type="spellStart"/>
      <w:r w:rsidRPr="00E24A71">
        <w:rPr>
          <w:rFonts w:eastAsiaTheme="minorEastAsia" w:cs="Times New Roman"/>
        </w:rPr>
        <w:t>Scherwitzl</w:t>
      </w:r>
      <w:proofErr w:type="spellEnd"/>
      <w:r w:rsidRPr="00E24A71">
        <w:rPr>
          <w:rFonts w:eastAsiaTheme="minorEastAsia" w:cs="Times New Roman"/>
        </w:rPr>
        <w:t xml:space="preserve"> R, Danielsson KG, Harper J. Real-world menstrual cycle characteristics of more than 600,000 menstrual cycles. NPJ Digit Med. 2019; 2:83. </w:t>
      </w:r>
    </w:p>
    <w:p w14:paraId="0555546A"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11. </w:t>
      </w:r>
      <w:r w:rsidRPr="00E24A71">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35942393"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12. </w:t>
      </w:r>
      <w:r w:rsidRPr="00E24A71">
        <w:rPr>
          <w:rFonts w:eastAsiaTheme="minorEastAsia" w:cs="Times New Roman"/>
        </w:rPr>
        <w:tab/>
        <w:t xml:space="preserve">Monks T, Currie CSM, </w:t>
      </w:r>
      <w:proofErr w:type="spellStart"/>
      <w:r w:rsidRPr="00E24A71">
        <w:rPr>
          <w:rFonts w:eastAsiaTheme="minorEastAsia" w:cs="Times New Roman"/>
        </w:rPr>
        <w:t>Onggo</w:t>
      </w:r>
      <w:proofErr w:type="spellEnd"/>
      <w:r w:rsidRPr="00E24A71">
        <w:rPr>
          <w:rFonts w:eastAsiaTheme="minorEastAsia" w:cs="Times New Roman"/>
        </w:rPr>
        <w:t xml:space="preserve"> BS, Robinson S, Kunc M, Taylor SJE. Strengthening the reporting of empirical simulation studies: introducing the STRESS guidelines. J Simul. 2019; 13(1):55–67. </w:t>
      </w:r>
    </w:p>
    <w:p w14:paraId="0F2599AB"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13. </w:t>
      </w:r>
      <w:r w:rsidRPr="00E24A71">
        <w:rPr>
          <w:rFonts w:eastAsiaTheme="minorEastAsia" w:cs="Times New Roman"/>
        </w:rPr>
        <w:tab/>
        <w:t xml:space="preserve">Herzog AG, Klein P, </w:t>
      </w:r>
      <w:proofErr w:type="spellStart"/>
      <w:r w:rsidRPr="00E24A71">
        <w:rPr>
          <w:rFonts w:eastAsiaTheme="minorEastAsia" w:cs="Times New Roman"/>
        </w:rPr>
        <w:t>Ransil</w:t>
      </w:r>
      <w:proofErr w:type="spellEnd"/>
      <w:r w:rsidRPr="00E24A71">
        <w:rPr>
          <w:rFonts w:eastAsiaTheme="minorEastAsia" w:cs="Times New Roman"/>
        </w:rPr>
        <w:t xml:space="preserve"> BJ. Three patterns of catamenial epilepsy. Epilepsia. 1997; 38(10):1082–8. </w:t>
      </w:r>
    </w:p>
    <w:p w14:paraId="3084F1BD"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14. </w:t>
      </w:r>
      <w:r w:rsidRPr="00E24A71">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773AB779"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15. </w:t>
      </w:r>
      <w:r w:rsidRPr="00E24A71">
        <w:rPr>
          <w:rFonts w:eastAsiaTheme="minorEastAsia" w:cs="Times New Roman"/>
        </w:rPr>
        <w:tab/>
        <w:t xml:space="preserve">Maguire MJ, Nevitt SJ. Treatments for seizures in catamenial (menstrual-related) epilepsy. Cochrane Database Syst Rev. 2021; 9(9):CD013225. </w:t>
      </w:r>
    </w:p>
    <w:p w14:paraId="229D98AA"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16. </w:t>
      </w:r>
      <w:r w:rsidRPr="00E24A71">
        <w:rPr>
          <w:rFonts w:eastAsiaTheme="minorEastAsia" w:cs="Times New Roman"/>
        </w:rPr>
        <w:tab/>
      </w:r>
      <w:proofErr w:type="spellStart"/>
      <w:r w:rsidRPr="00E24A71">
        <w:rPr>
          <w:rFonts w:eastAsiaTheme="minorEastAsia" w:cs="Times New Roman"/>
        </w:rPr>
        <w:t>Alshakhouri</w:t>
      </w:r>
      <w:proofErr w:type="spellEnd"/>
      <w:r w:rsidRPr="00E24A71">
        <w:rPr>
          <w:rFonts w:eastAsiaTheme="minorEastAsia" w:cs="Times New Roman"/>
        </w:rPr>
        <w:t xml:space="preserve"> M, Sharpe C, Bergin P, Sumner RL. Female sex steroids and epilepsy: Part 2. A practical and human focus on catamenial epilepsy. Epilepsia. 2024; 65(3):569–82. </w:t>
      </w:r>
    </w:p>
    <w:p w14:paraId="2034978D" w14:textId="12F68767" w:rsidR="004B250B" w:rsidRDefault="00E24A71">
      <w:r>
        <w:fldChar w:fldCharType="end"/>
      </w:r>
    </w:p>
    <w:p w14:paraId="1CA6BDB6" w14:textId="77777777" w:rsidR="004B250B" w:rsidRDefault="00000000">
      <w:r>
        <w:br w:type="page"/>
      </w:r>
    </w:p>
    <w:p w14:paraId="43C8BF84" w14:textId="77777777" w:rsidR="004B250B" w:rsidRDefault="00000000">
      <w:pPr>
        <w:pStyle w:val="Heading1"/>
      </w:pPr>
      <w:r>
        <w:lastRenderedPageBreak/>
        <w:t>Tables</w:t>
      </w:r>
    </w:p>
    <w:p w14:paraId="076800F9"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177"/>
        <w:gridCol w:w="1002"/>
        <w:gridCol w:w="996"/>
        <w:gridCol w:w="984"/>
        <w:gridCol w:w="1019"/>
        <w:gridCol w:w="1019"/>
        <w:gridCol w:w="1063"/>
        <w:gridCol w:w="1114"/>
        <w:gridCol w:w="1408"/>
      </w:tblGrid>
      <w:tr w:rsidR="004B250B" w14:paraId="49274ECA" w14:textId="77777777">
        <w:trPr>
          <w:tblHeader/>
          <w:jc w:val="center"/>
        </w:trPr>
        <w:tc>
          <w:tcPr>
            <w:tcW w:w="1088" w:type="dxa"/>
            <w:shd w:val="clear" w:color="auto" w:fill="D9EAF7"/>
            <w:vAlign w:val="center"/>
          </w:tcPr>
          <w:p w14:paraId="3BFA1804" w14:textId="77777777" w:rsidR="004B250B" w:rsidRDefault="00000000">
            <w:pPr>
              <w:jc w:val="center"/>
            </w:pPr>
            <w:r>
              <w:rPr>
                <w:rFonts w:ascii="Arial" w:hAnsi="Arial"/>
                <w:b/>
                <w:sz w:val="16"/>
              </w:rPr>
              <w:t>Cohort</w:t>
            </w:r>
          </w:p>
        </w:tc>
        <w:tc>
          <w:tcPr>
            <w:tcW w:w="1088" w:type="dxa"/>
            <w:shd w:val="clear" w:color="auto" w:fill="D9EAF7"/>
            <w:vAlign w:val="center"/>
          </w:tcPr>
          <w:p w14:paraId="047816D7" w14:textId="77777777" w:rsidR="004B250B" w:rsidRDefault="00000000">
            <w:pPr>
              <w:jc w:val="center"/>
            </w:pPr>
            <w:r>
              <w:rPr>
                <w:rFonts w:ascii="Arial" w:hAnsi="Arial"/>
                <w:b/>
                <w:sz w:val="16"/>
              </w:rPr>
              <w:t>N</w:t>
            </w:r>
          </w:p>
        </w:tc>
        <w:tc>
          <w:tcPr>
            <w:tcW w:w="1088" w:type="dxa"/>
            <w:shd w:val="clear" w:color="auto" w:fill="D9EAF7"/>
            <w:vAlign w:val="center"/>
          </w:tcPr>
          <w:p w14:paraId="0E10F13A"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3B02FD9C"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7CC824B5"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25352832"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0353C3FC" w14:textId="77777777" w:rsidR="004B250B" w:rsidRDefault="00000000">
            <w:pPr>
              <w:jc w:val="center"/>
            </w:pPr>
            <w:r>
              <w:rPr>
                <w:rFonts w:ascii="Arial" w:hAnsi="Arial"/>
                <w:b/>
                <w:sz w:val="16"/>
              </w:rPr>
              <w:t>Ovulatory cycles</w:t>
            </w:r>
          </w:p>
        </w:tc>
        <w:tc>
          <w:tcPr>
            <w:tcW w:w="1088" w:type="dxa"/>
            <w:shd w:val="clear" w:color="auto" w:fill="D9EAF7"/>
            <w:vAlign w:val="center"/>
          </w:tcPr>
          <w:p w14:paraId="3F924867" w14:textId="77777777" w:rsidR="004B250B" w:rsidRDefault="00000000">
            <w:pPr>
              <w:jc w:val="center"/>
            </w:pPr>
            <w:r>
              <w:rPr>
                <w:rFonts w:ascii="Arial" w:hAnsi="Arial"/>
                <w:b/>
                <w:sz w:val="16"/>
              </w:rPr>
              <w:t>Seizure days/month</w:t>
            </w:r>
          </w:p>
        </w:tc>
        <w:tc>
          <w:tcPr>
            <w:tcW w:w="1088" w:type="dxa"/>
            <w:shd w:val="clear" w:color="auto" w:fill="D9EAF7"/>
            <w:vAlign w:val="center"/>
          </w:tcPr>
          <w:p w14:paraId="69F0778D" w14:textId="77777777" w:rsidR="004B250B" w:rsidRDefault="00000000">
            <w:pPr>
              <w:jc w:val="center"/>
            </w:pPr>
            <w:r>
              <w:rPr>
                <w:rFonts w:ascii="Arial" w:hAnsi="Arial"/>
                <w:b/>
                <w:sz w:val="16"/>
              </w:rPr>
              <w:t>Seizures/month</w:t>
            </w:r>
          </w:p>
        </w:tc>
      </w:tr>
      <w:tr w:rsidR="004B250B" w14:paraId="76C17DB3" w14:textId="77777777">
        <w:trPr>
          <w:jc w:val="center"/>
        </w:trPr>
        <w:tc>
          <w:tcPr>
            <w:tcW w:w="1088" w:type="dxa"/>
            <w:vAlign w:val="center"/>
          </w:tcPr>
          <w:p w14:paraId="04066AD0" w14:textId="77777777" w:rsidR="004B250B" w:rsidRDefault="00000000">
            <w:pPr>
              <w:keepLines/>
              <w:spacing w:after="0"/>
            </w:pPr>
            <w:r>
              <w:rPr>
                <w:sz w:val="16"/>
              </w:rPr>
              <w:t>Healthy ovulatory</w:t>
            </w:r>
          </w:p>
        </w:tc>
        <w:tc>
          <w:tcPr>
            <w:tcW w:w="1088" w:type="dxa"/>
            <w:vAlign w:val="center"/>
          </w:tcPr>
          <w:p w14:paraId="053C4F5C" w14:textId="77777777" w:rsidR="004B250B" w:rsidRDefault="00000000">
            <w:pPr>
              <w:keepLines/>
              <w:spacing w:after="0"/>
            </w:pPr>
            <w:r>
              <w:rPr>
                <w:sz w:val="16"/>
              </w:rPr>
              <w:t>50,000</w:t>
            </w:r>
          </w:p>
        </w:tc>
        <w:tc>
          <w:tcPr>
            <w:tcW w:w="1088" w:type="dxa"/>
            <w:vAlign w:val="center"/>
          </w:tcPr>
          <w:p w14:paraId="75BD2CD3" w14:textId="77777777" w:rsidR="004B250B" w:rsidRDefault="00000000">
            <w:pPr>
              <w:keepLines/>
              <w:spacing w:after="0"/>
            </w:pPr>
            <w:r>
              <w:rPr>
                <w:sz w:val="16"/>
              </w:rPr>
              <w:t>31.5</w:t>
            </w:r>
          </w:p>
        </w:tc>
        <w:tc>
          <w:tcPr>
            <w:tcW w:w="1088" w:type="dxa"/>
            <w:vAlign w:val="center"/>
          </w:tcPr>
          <w:p w14:paraId="756D8187" w14:textId="77777777" w:rsidR="004B250B" w:rsidRDefault="00000000">
            <w:pPr>
              <w:keepLines/>
              <w:spacing w:after="0"/>
            </w:pPr>
            <w:r>
              <w:rPr>
                <w:sz w:val="16"/>
              </w:rPr>
              <w:t>7.8</w:t>
            </w:r>
          </w:p>
        </w:tc>
        <w:tc>
          <w:tcPr>
            <w:tcW w:w="1088" w:type="dxa"/>
            <w:vAlign w:val="center"/>
          </w:tcPr>
          <w:p w14:paraId="050F0105" w14:textId="77777777" w:rsidR="004B250B" w:rsidRDefault="00000000">
            <w:pPr>
              <w:keepLines/>
              <w:spacing w:after="0"/>
            </w:pPr>
            <w:r>
              <w:rPr>
                <w:sz w:val="16"/>
              </w:rPr>
              <w:t>29.15</w:t>
            </w:r>
          </w:p>
        </w:tc>
        <w:tc>
          <w:tcPr>
            <w:tcW w:w="1088" w:type="dxa"/>
            <w:vAlign w:val="center"/>
          </w:tcPr>
          <w:p w14:paraId="2BA6E2BA" w14:textId="77777777" w:rsidR="004B250B" w:rsidRDefault="00000000">
            <w:pPr>
              <w:keepLines/>
              <w:spacing w:after="0"/>
            </w:pPr>
            <w:r>
              <w:rPr>
                <w:sz w:val="16"/>
              </w:rPr>
              <w:t>3.39</w:t>
            </w:r>
          </w:p>
        </w:tc>
        <w:tc>
          <w:tcPr>
            <w:tcW w:w="1088" w:type="dxa"/>
            <w:vAlign w:val="center"/>
          </w:tcPr>
          <w:p w14:paraId="3C54BF1B" w14:textId="77777777" w:rsidR="004B250B" w:rsidRDefault="00000000">
            <w:pPr>
              <w:keepLines/>
              <w:spacing w:after="0"/>
            </w:pPr>
            <w:r>
              <w:rPr>
                <w:sz w:val="16"/>
              </w:rPr>
              <w:t>100.0%</w:t>
            </w:r>
          </w:p>
        </w:tc>
        <w:tc>
          <w:tcPr>
            <w:tcW w:w="1088" w:type="dxa"/>
            <w:vAlign w:val="center"/>
          </w:tcPr>
          <w:p w14:paraId="1A3437DE" w14:textId="77777777" w:rsidR="004B250B" w:rsidRDefault="00000000">
            <w:pPr>
              <w:keepLines/>
              <w:spacing w:after="0"/>
            </w:pPr>
            <w:r>
              <w:rPr>
                <w:sz w:val="16"/>
              </w:rPr>
              <w:t>2.46</w:t>
            </w:r>
          </w:p>
        </w:tc>
        <w:tc>
          <w:tcPr>
            <w:tcW w:w="1088" w:type="dxa"/>
            <w:vAlign w:val="center"/>
          </w:tcPr>
          <w:p w14:paraId="604FF6F2" w14:textId="77777777" w:rsidR="004B250B" w:rsidRDefault="00000000">
            <w:pPr>
              <w:keepLines/>
              <w:spacing w:after="0"/>
            </w:pPr>
            <w:r>
              <w:rPr>
                <w:sz w:val="16"/>
              </w:rPr>
              <w:t>6.83</w:t>
            </w:r>
          </w:p>
        </w:tc>
      </w:tr>
      <w:tr w:rsidR="004B250B" w14:paraId="7255F714" w14:textId="77777777">
        <w:trPr>
          <w:jc w:val="center"/>
        </w:trPr>
        <w:tc>
          <w:tcPr>
            <w:tcW w:w="1088" w:type="dxa"/>
            <w:vAlign w:val="center"/>
          </w:tcPr>
          <w:p w14:paraId="7800296B" w14:textId="77777777" w:rsidR="004B250B" w:rsidRDefault="00000000">
            <w:pPr>
              <w:keepLines/>
              <w:spacing w:after="0"/>
            </w:pPr>
            <w:r>
              <w:rPr>
                <w:sz w:val="16"/>
              </w:rPr>
              <w:t>Heterogeneous menstruating-age</w:t>
            </w:r>
          </w:p>
        </w:tc>
        <w:tc>
          <w:tcPr>
            <w:tcW w:w="1088" w:type="dxa"/>
            <w:vAlign w:val="center"/>
          </w:tcPr>
          <w:p w14:paraId="3941F591" w14:textId="77777777" w:rsidR="004B250B" w:rsidRDefault="00000000">
            <w:pPr>
              <w:keepLines/>
              <w:spacing w:after="0"/>
            </w:pPr>
            <w:r>
              <w:rPr>
                <w:sz w:val="16"/>
              </w:rPr>
              <w:t>50,000</w:t>
            </w:r>
          </w:p>
        </w:tc>
        <w:tc>
          <w:tcPr>
            <w:tcW w:w="1088" w:type="dxa"/>
            <w:vAlign w:val="center"/>
          </w:tcPr>
          <w:p w14:paraId="327693B8" w14:textId="77777777" w:rsidR="004B250B" w:rsidRDefault="00000000">
            <w:pPr>
              <w:keepLines/>
              <w:spacing w:after="0"/>
            </w:pPr>
            <w:r>
              <w:rPr>
                <w:sz w:val="16"/>
              </w:rPr>
              <w:t>34.0</w:t>
            </w:r>
          </w:p>
        </w:tc>
        <w:tc>
          <w:tcPr>
            <w:tcW w:w="1088" w:type="dxa"/>
            <w:vAlign w:val="center"/>
          </w:tcPr>
          <w:p w14:paraId="0A0DBDBB" w14:textId="77777777" w:rsidR="004B250B" w:rsidRDefault="00000000">
            <w:pPr>
              <w:keepLines/>
              <w:spacing w:after="0"/>
            </w:pPr>
            <w:r>
              <w:rPr>
                <w:sz w:val="16"/>
              </w:rPr>
              <w:t>12.1</w:t>
            </w:r>
          </w:p>
        </w:tc>
        <w:tc>
          <w:tcPr>
            <w:tcW w:w="1088" w:type="dxa"/>
            <w:vAlign w:val="center"/>
          </w:tcPr>
          <w:p w14:paraId="4C347823" w14:textId="77777777" w:rsidR="004B250B" w:rsidRDefault="00000000">
            <w:pPr>
              <w:keepLines/>
              <w:spacing w:after="0"/>
            </w:pPr>
            <w:r>
              <w:rPr>
                <w:sz w:val="16"/>
              </w:rPr>
              <w:t>30.92</w:t>
            </w:r>
          </w:p>
        </w:tc>
        <w:tc>
          <w:tcPr>
            <w:tcW w:w="1088" w:type="dxa"/>
            <w:vAlign w:val="center"/>
          </w:tcPr>
          <w:p w14:paraId="13F1C251" w14:textId="77777777" w:rsidR="004B250B" w:rsidRDefault="00000000">
            <w:pPr>
              <w:keepLines/>
              <w:spacing w:after="0"/>
            </w:pPr>
            <w:r>
              <w:rPr>
                <w:sz w:val="16"/>
              </w:rPr>
              <w:t>4.74</w:t>
            </w:r>
          </w:p>
        </w:tc>
        <w:tc>
          <w:tcPr>
            <w:tcW w:w="1088" w:type="dxa"/>
            <w:vAlign w:val="center"/>
          </w:tcPr>
          <w:p w14:paraId="3CB84A9C" w14:textId="77777777" w:rsidR="004B250B" w:rsidRDefault="00000000">
            <w:pPr>
              <w:keepLines/>
              <w:spacing w:after="0"/>
            </w:pPr>
            <w:r>
              <w:rPr>
                <w:sz w:val="16"/>
              </w:rPr>
              <w:t>79.0%</w:t>
            </w:r>
          </w:p>
        </w:tc>
        <w:tc>
          <w:tcPr>
            <w:tcW w:w="1088" w:type="dxa"/>
            <w:vAlign w:val="center"/>
          </w:tcPr>
          <w:p w14:paraId="05130A75" w14:textId="77777777" w:rsidR="004B250B" w:rsidRDefault="00000000">
            <w:pPr>
              <w:keepLines/>
              <w:spacing w:after="0"/>
            </w:pPr>
            <w:r>
              <w:rPr>
                <w:sz w:val="16"/>
              </w:rPr>
              <w:t>2.45</w:t>
            </w:r>
          </w:p>
        </w:tc>
        <w:tc>
          <w:tcPr>
            <w:tcW w:w="1088" w:type="dxa"/>
            <w:vAlign w:val="center"/>
          </w:tcPr>
          <w:p w14:paraId="4684DE6E" w14:textId="77777777" w:rsidR="004B250B" w:rsidRDefault="00000000">
            <w:pPr>
              <w:keepLines/>
              <w:spacing w:after="0"/>
            </w:pPr>
            <w:r>
              <w:rPr>
                <w:sz w:val="16"/>
              </w:rPr>
              <w:t>6.80</w:t>
            </w:r>
          </w:p>
        </w:tc>
      </w:tr>
    </w:tbl>
    <w:p w14:paraId="66F4A14A" w14:textId="77777777" w:rsidR="004B250B" w:rsidRDefault="004B250B">
      <w:pPr>
        <w:spacing w:after="0"/>
      </w:pPr>
    </w:p>
    <w:p w14:paraId="51DC8ACB"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14C571B4" w14:textId="77777777" w:rsidR="004B250B" w:rsidRDefault="00000000">
      <w:r>
        <w:br w:type="page"/>
      </w:r>
    </w:p>
    <w:p w14:paraId="75A7C5B4"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398"/>
        <w:gridCol w:w="1397"/>
        <w:gridCol w:w="1397"/>
        <w:gridCol w:w="1397"/>
        <w:gridCol w:w="1398"/>
        <w:gridCol w:w="1397"/>
        <w:gridCol w:w="1398"/>
      </w:tblGrid>
      <w:tr w:rsidR="004B250B" w14:paraId="7ADDCD18" w14:textId="77777777">
        <w:trPr>
          <w:tblHeader/>
          <w:jc w:val="center"/>
        </w:trPr>
        <w:tc>
          <w:tcPr>
            <w:tcW w:w="1399" w:type="dxa"/>
            <w:shd w:val="clear" w:color="auto" w:fill="D9EAF7"/>
            <w:vAlign w:val="center"/>
          </w:tcPr>
          <w:p w14:paraId="405876E3" w14:textId="77777777" w:rsidR="004B250B" w:rsidRDefault="00000000">
            <w:pPr>
              <w:jc w:val="center"/>
            </w:pPr>
            <w:r>
              <w:rPr>
                <w:rFonts w:ascii="Arial" w:hAnsi="Arial"/>
                <w:b/>
                <w:sz w:val="14"/>
              </w:rPr>
              <w:t>Cohort</w:t>
            </w:r>
          </w:p>
        </w:tc>
        <w:tc>
          <w:tcPr>
            <w:tcW w:w="1399" w:type="dxa"/>
            <w:shd w:val="clear" w:color="auto" w:fill="D9EAF7"/>
            <w:vAlign w:val="center"/>
          </w:tcPr>
          <w:p w14:paraId="1CD5BCE8" w14:textId="77777777" w:rsidR="004B250B" w:rsidRDefault="00000000">
            <w:pPr>
              <w:jc w:val="center"/>
            </w:pPr>
            <w:r>
              <w:rPr>
                <w:rFonts w:ascii="Arial" w:hAnsi="Arial"/>
                <w:b/>
                <w:sz w:val="14"/>
              </w:rPr>
              <w:t>Analysis window</w:t>
            </w:r>
          </w:p>
        </w:tc>
        <w:tc>
          <w:tcPr>
            <w:tcW w:w="1399" w:type="dxa"/>
            <w:shd w:val="clear" w:color="auto" w:fill="D9EAF7"/>
            <w:vAlign w:val="center"/>
          </w:tcPr>
          <w:p w14:paraId="4EBCCCF9" w14:textId="77777777" w:rsidR="004B250B" w:rsidRDefault="00000000">
            <w:pPr>
              <w:jc w:val="center"/>
            </w:pPr>
            <w:r>
              <w:rPr>
                <w:rFonts w:ascii="Arial" w:hAnsi="Arial"/>
                <w:b/>
                <w:sz w:val="14"/>
              </w:rPr>
              <w:t>Definition</w:t>
            </w:r>
          </w:p>
        </w:tc>
        <w:tc>
          <w:tcPr>
            <w:tcW w:w="1399" w:type="dxa"/>
            <w:shd w:val="clear" w:color="auto" w:fill="D9EAF7"/>
            <w:vAlign w:val="center"/>
          </w:tcPr>
          <w:p w14:paraId="3C104B3E" w14:textId="77777777" w:rsidR="004B250B" w:rsidRDefault="00000000">
            <w:pPr>
              <w:jc w:val="center"/>
            </w:pPr>
            <w:r>
              <w:rPr>
                <w:rFonts w:ascii="Arial" w:hAnsi="Arial"/>
                <w:b/>
                <w:sz w:val="14"/>
              </w:rPr>
              <w:t>Classifiable / attempted</w:t>
            </w:r>
          </w:p>
        </w:tc>
        <w:tc>
          <w:tcPr>
            <w:tcW w:w="1399" w:type="dxa"/>
            <w:shd w:val="clear" w:color="auto" w:fill="D9EAF7"/>
            <w:vAlign w:val="center"/>
          </w:tcPr>
          <w:p w14:paraId="58235ABF" w14:textId="77777777" w:rsidR="004B250B" w:rsidRDefault="00000000">
            <w:pPr>
              <w:jc w:val="center"/>
            </w:pPr>
            <w:r>
              <w:rPr>
                <w:rFonts w:ascii="Arial" w:hAnsi="Arial"/>
                <w:b/>
                <w:sz w:val="14"/>
              </w:rPr>
              <w:t>Classifiable, % (95% Wilson CI)</w:t>
            </w:r>
          </w:p>
        </w:tc>
        <w:tc>
          <w:tcPr>
            <w:tcW w:w="1399" w:type="dxa"/>
            <w:shd w:val="clear" w:color="auto" w:fill="D9EAF7"/>
            <w:vAlign w:val="center"/>
          </w:tcPr>
          <w:p w14:paraId="5F5D2754" w14:textId="77777777" w:rsidR="004B250B" w:rsidRDefault="00000000">
            <w:pPr>
              <w:jc w:val="center"/>
            </w:pPr>
            <w:r>
              <w:rPr>
                <w:rFonts w:ascii="Arial" w:hAnsi="Arial"/>
                <w:b/>
                <w:sz w:val="14"/>
              </w:rPr>
              <w:t>All attempted, %</w:t>
            </w:r>
          </w:p>
        </w:tc>
        <w:tc>
          <w:tcPr>
            <w:tcW w:w="1399" w:type="dxa"/>
            <w:shd w:val="clear" w:color="auto" w:fill="D9EAF7"/>
            <w:vAlign w:val="center"/>
          </w:tcPr>
          <w:p w14:paraId="13BAA878" w14:textId="77777777" w:rsidR="004B250B" w:rsidRDefault="00000000">
            <w:pPr>
              <w:jc w:val="center"/>
            </w:pPr>
            <w:r>
              <w:rPr>
                <w:rFonts w:ascii="Arial" w:hAnsi="Arial"/>
                <w:b/>
                <w:sz w:val="14"/>
              </w:rPr>
              <w:t>Indeterminate, %</w:t>
            </w:r>
          </w:p>
        </w:tc>
      </w:tr>
      <w:tr w:rsidR="004B250B" w14:paraId="17304F83" w14:textId="77777777">
        <w:trPr>
          <w:jc w:val="center"/>
        </w:trPr>
        <w:tc>
          <w:tcPr>
            <w:tcW w:w="1399" w:type="dxa"/>
            <w:vAlign w:val="center"/>
          </w:tcPr>
          <w:p w14:paraId="2A121931" w14:textId="77777777" w:rsidR="004B250B" w:rsidRDefault="00000000">
            <w:pPr>
              <w:keepLines/>
              <w:spacing w:after="0"/>
            </w:pPr>
            <w:r>
              <w:rPr>
                <w:sz w:val="14"/>
              </w:rPr>
              <w:t>Healthy ovulatory</w:t>
            </w:r>
          </w:p>
        </w:tc>
        <w:tc>
          <w:tcPr>
            <w:tcW w:w="1399" w:type="dxa"/>
            <w:vAlign w:val="center"/>
          </w:tcPr>
          <w:p w14:paraId="135D2FDD" w14:textId="77777777" w:rsidR="004B250B" w:rsidRDefault="00000000">
            <w:pPr>
              <w:keepLines/>
              <w:spacing w:after="0"/>
            </w:pPr>
            <w:r>
              <w:rPr>
                <w:sz w:val="14"/>
              </w:rPr>
              <w:t>36-month full diary</w:t>
            </w:r>
          </w:p>
        </w:tc>
        <w:tc>
          <w:tcPr>
            <w:tcW w:w="1399" w:type="dxa"/>
            <w:vAlign w:val="center"/>
          </w:tcPr>
          <w:p w14:paraId="7901FA90" w14:textId="77777777" w:rsidR="004B250B" w:rsidRDefault="00000000">
            <w:pPr>
              <w:keepLines/>
              <w:spacing w:after="0"/>
            </w:pPr>
            <w:r>
              <w:rPr>
                <w:sz w:val="14"/>
              </w:rPr>
              <w:t>Windowed Herzog thresholds</w:t>
            </w:r>
          </w:p>
        </w:tc>
        <w:tc>
          <w:tcPr>
            <w:tcW w:w="1399" w:type="dxa"/>
            <w:vAlign w:val="center"/>
          </w:tcPr>
          <w:p w14:paraId="5BF658E0" w14:textId="77777777" w:rsidR="004B250B" w:rsidRDefault="00000000">
            <w:pPr>
              <w:keepLines/>
              <w:spacing w:after="0"/>
            </w:pPr>
            <w:r>
              <w:rPr>
                <w:sz w:val="14"/>
              </w:rPr>
              <w:t>49,605 / 50,000</w:t>
            </w:r>
          </w:p>
        </w:tc>
        <w:tc>
          <w:tcPr>
            <w:tcW w:w="1399" w:type="dxa"/>
            <w:vAlign w:val="center"/>
          </w:tcPr>
          <w:p w14:paraId="14BC7F3D" w14:textId="77777777" w:rsidR="004B250B" w:rsidRDefault="00000000">
            <w:pPr>
              <w:keepLines/>
              <w:spacing w:after="0"/>
            </w:pPr>
            <w:r>
              <w:rPr>
                <w:sz w:val="14"/>
              </w:rPr>
              <w:t>11.2 (11.0–11.5)</w:t>
            </w:r>
          </w:p>
        </w:tc>
        <w:tc>
          <w:tcPr>
            <w:tcW w:w="1399" w:type="dxa"/>
            <w:vAlign w:val="center"/>
          </w:tcPr>
          <w:p w14:paraId="1E6A1649" w14:textId="77777777" w:rsidR="004B250B" w:rsidRDefault="00000000">
            <w:pPr>
              <w:keepLines/>
              <w:spacing w:after="0"/>
            </w:pPr>
            <w:r>
              <w:rPr>
                <w:sz w:val="14"/>
              </w:rPr>
              <w:t>11.2</w:t>
            </w:r>
          </w:p>
        </w:tc>
        <w:tc>
          <w:tcPr>
            <w:tcW w:w="1399" w:type="dxa"/>
            <w:vAlign w:val="center"/>
          </w:tcPr>
          <w:p w14:paraId="66E5C12A" w14:textId="77777777" w:rsidR="004B250B" w:rsidRDefault="00000000">
            <w:pPr>
              <w:keepLines/>
              <w:spacing w:after="0"/>
            </w:pPr>
            <w:r>
              <w:rPr>
                <w:sz w:val="14"/>
              </w:rPr>
              <w:t>0.8</w:t>
            </w:r>
          </w:p>
        </w:tc>
      </w:tr>
      <w:tr w:rsidR="004B250B" w14:paraId="45CF1C08" w14:textId="77777777">
        <w:trPr>
          <w:jc w:val="center"/>
        </w:trPr>
        <w:tc>
          <w:tcPr>
            <w:tcW w:w="1399" w:type="dxa"/>
            <w:vAlign w:val="center"/>
          </w:tcPr>
          <w:p w14:paraId="3367139B" w14:textId="77777777" w:rsidR="004B250B" w:rsidRDefault="004B250B">
            <w:pPr>
              <w:keepLines/>
              <w:spacing w:after="0"/>
            </w:pPr>
          </w:p>
        </w:tc>
        <w:tc>
          <w:tcPr>
            <w:tcW w:w="1399" w:type="dxa"/>
            <w:vAlign w:val="center"/>
          </w:tcPr>
          <w:p w14:paraId="1467F1EF" w14:textId="77777777" w:rsidR="004B250B" w:rsidRDefault="004B250B">
            <w:pPr>
              <w:keepLines/>
              <w:spacing w:after="0"/>
            </w:pPr>
          </w:p>
        </w:tc>
        <w:tc>
          <w:tcPr>
            <w:tcW w:w="1399" w:type="dxa"/>
            <w:vAlign w:val="center"/>
          </w:tcPr>
          <w:p w14:paraId="72B92261" w14:textId="77777777" w:rsidR="004B250B" w:rsidRDefault="00000000">
            <w:pPr>
              <w:keepLines/>
              <w:spacing w:after="0"/>
            </w:pPr>
            <w:r>
              <w:rPr>
                <w:sz w:val="14"/>
              </w:rPr>
              <w:t>Windowed Herzog C1/C2 union</w:t>
            </w:r>
          </w:p>
        </w:tc>
        <w:tc>
          <w:tcPr>
            <w:tcW w:w="1399" w:type="dxa"/>
            <w:vAlign w:val="center"/>
          </w:tcPr>
          <w:p w14:paraId="4368EB29" w14:textId="77777777" w:rsidR="004B250B" w:rsidRDefault="00000000">
            <w:pPr>
              <w:keepLines/>
              <w:spacing w:after="0"/>
            </w:pPr>
            <w:r>
              <w:rPr>
                <w:sz w:val="14"/>
              </w:rPr>
              <w:t>49,605 / 50,000</w:t>
            </w:r>
          </w:p>
        </w:tc>
        <w:tc>
          <w:tcPr>
            <w:tcW w:w="1399" w:type="dxa"/>
            <w:vAlign w:val="center"/>
          </w:tcPr>
          <w:p w14:paraId="2B124A67" w14:textId="77777777" w:rsidR="004B250B" w:rsidRDefault="00000000">
            <w:pPr>
              <w:keepLines/>
              <w:spacing w:after="0"/>
            </w:pPr>
            <w:r>
              <w:rPr>
                <w:sz w:val="14"/>
              </w:rPr>
              <w:t>11.2 (11.0–11.5)</w:t>
            </w:r>
          </w:p>
        </w:tc>
        <w:tc>
          <w:tcPr>
            <w:tcW w:w="1399" w:type="dxa"/>
            <w:vAlign w:val="center"/>
          </w:tcPr>
          <w:p w14:paraId="77BD2855" w14:textId="77777777" w:rsidR="004B250B" w:rsidRDefault="00000000">
            <w:pPr>
              <w:keepLines/>
              <w:spacing w:after="0"/>
            </w:pPr>
            <w:r>
              <w:rPr>
                <w:sz w:val="14"/>
              </w:rPr>
              <w:t>11.2</w:t>
            </w:r>
          </w:p>
        </w:tc>
        <w:tc>
          <w:tcPr>
            <w:tcW w:w="1399" w:type="dxa"/>
            <w:vAlign w:val="center"/>
          </w:tcPr>
          <w:p w14:paraId="2EC139B2" w14:textId="77777777" w:rsidR="004B250B" w:rsidRDefault="00000000">
            <w:pPr>
              <w:keepLines/>
              <w:spacing w:after="0"/>
            </w:pPr>
            <w:r>
              <w:rPr>
                <w:sz w:val="14"/>
              </w:rPr>
              <w:t>0.8</w:t>
            </w:r>
          </w:p>
        </w:tc>
      </w:tr>
      <w:tr w:rsidR="004B250B" w14:paraId="06040578" w14:textId="77777777">
        <w:trPr>
          <w:jc w:val="center"/>
        </w:trPr>
        <w:tc>
          <w:tcPr>
            <w:tcW w:w="1399" w:type="dxa"/>
            <w:vAlign w:val="center"/>
          </w:tcPr>
          <w:p w14:paraId="35734BDA" w14:textId="77777777" w:rsidR="004B250B" w:rsidRDefault="004B250B">
            <w:pPr>
              <w:keepLines/>
              <w:spacing w:after="0"/>
            </w:pPr>
          </w:p>
        </w:tc>
        <w:tc>
          <w:tcPr>
            <w:tcW w:w="1399" w:type="dxa"/>
            <w:vAlign w:val="center"/>
          </w:tcPr>
          <w:p w14:paraId="2331C815" w14:textId="77777777" w:rsidR="004B250B" w:rsidRDefault="004B250B">
            <w:pPr>
              <w:keepLines/>
              <w:spacing w:after="0"/>
            </w:pPr>
          </w:p>
        </w:tc>
        <w:tc>
          <w:tcPr>
            <w:tcW w:w="1399" w:type="dxa"/>
            <w:vAlign w:val="center"/>
          </w:tcPr>
          <w:p w14:paraId="47D597F5" w14:textId="77777777" w:rsidR="004B250B" w:rsidRDefault="00000000">
            <w:pPr>
              <w:keepLines/>
              <w:spacing w:after="0"/>
            </w:pPr>
            <w:r>
              <w:rPr>
                <w:sz w:val="14"/>
              </w:rPr>
              <w:t>Herzog C1/C2 + ≥4 seizure-day minimum</w:t>
            </w:r>
          </w:p>
        </w:tc>
        <w:tc>
          <w:tcPr>
            <w:tcW w:w="1399" w:type="dxa"/>
            <w:vAlign w:val="center"/>
          </w:tcPr>
          <w:p w14:paraId="68337309" w14:textId="77777777" w:rsidR="004B250B" w:rsidRDefault="00000000">
            <w:pPr>
              <w:keepLines/>
              <w:spacing w:after="0"/>
            </w:pPr>
            <w:r>
              <w:rPr>
                <w:sz w:val="14"/>
              </w:rPr>
              <w:t>48,359 / 50,000</w:t>
            </w:r>
          </w:p>
        </w:tc>
        <w:tc>
          <w:tcPr>
            <w:tcW w:w="1399" w:type="dxa"/>
            <w:vAlign w:val="center"/>
          </w:tcPr>
          <w:p w14:paraId="18D102BA" w14:textId="77777777" w:rsidR="004B250B" w:rsidRDefault="00000000">
            <w:pPr>
              <w:keepLines/>
              <w:spacing w:after="0"/>
            </w:pPr>
            <w:r>
              <w:rPr>
                <w:sz w:val="14"/>
              </w:rPr>
              <w:t>10.2 (9.9–10.5)</w:t>
            </w:r>
          </w:p>
        </w:tc>
        <w:tc>
          <w:tcPr>
            <w:tcW w:w="1399" w:type="dxa"/>
            <w:vAlign w:val="center"/>
          </w:tcPr>
          <w:p w14:paraId="256266F9" w14:textId="77777777" w:rsidR="004B250B" w:rsidRDefault="00000000">
            <w:pPr>
              <w:keepLines/>
              <w:spacing w:after="0"/>
            </w:pPr>
            <w:r>
              <w:rPr>
                <w:sz w:val="14"/>
              </w:rPr>
              <w:t>9.9</w:t>
            </w:r>
          </w:p>
        </w:tc>
        <w:tc>
          <w:tcPr>
            <w:tcW w:w="1399" w:type="dxa"/>
            <w:vAlign w:val="center"/>
          </w:tcPr>
          <w:p w14:paraId="4B152A49" w14:textId="77777777" w:rsidR="004B250B" w:rsidRDefault="00000000">
            <w:pPr>
              <w:keepLines/>
              <w:spacing w:after="0"/>
            </w:pPr>
            <w:r>
              <w:rPr>
                <w:sz w:val="14"/>
              </w:rPr>
              <w:t>3.3</w:t>
            </w:r>
          </w:p>
        </w:tc>
      </w:tr>
      <w:tr w:rsidR="004B250B" w14:paraId="52E9E516" w14:textId="77777777">
        <w:trPr>
          <w:jc w:val="center"/>
        </w:trPr>
        <w:tc>
          <w:tcPr>
            <w:tcW w:w="1399" w:type="dxa"/>
            <w:vAlign w:val="center"/>
          </w:tcPr>
          <w:p w14:paraId="635282FD" w14:textId="77777777" w:rsidR="004B250B" w:rsidRDefault="004B250B">
            <w:pPr>
              <w:keepLines/>
              <w:spacing w:after="0"/>
            </w:pPr>
          </w:p>
        </w:tc>
        <w:tc>
          <w:tcPr>
            <w:tcW w:w="1399" w:type="dxa"/>
            <w:vAlign w:val="center"/>
          </w:tcPr>
          <w:p w14:paraId="6F781F2A" w14:textId="77777777" w:rsidR="004B250B" w:rsidRDefault="004B250B">
            <w:pPr>
              <w:keepLines/>
              <w:spacing w:after="0"/>
            </w:pPr>
          </w:p>
        </w:tc>
        <w:tc>
          <w:tcPr>
            <w:tcW w:w="1399" w:type="dxa"/>
            <w:vAlign w:val="center"/>
          </w:tcPr>
          <w:p w14:paraId="6E5086BD" w14:textId="77777777" w:rsidR="004B250B" w:rsidRDefault="00000000">
            <w:pPr>
              <w:keepLines/>
              <w:spacing w:after="0"/>
            </w:pPr>
            <w:r>
              <w:rPr>
                <w:sz w:val="14"/>
              </w:rPr>
              <w:t>Negative-binomial C1/C2 calibration</w:t>
            </w:r>
          </w:p>
        </w:tc>
        <w:tc>
          <w:tcPr>
            <w:tcW w:w="1399" w:type="dxa"/>
            <w:vAlign w:val="center"/>
          </w:tcPr>
          <w:p w14:paraId="224E03DD" w14:textId="77777777" w:rsidR="004B250B" w:rsidRDefault="00000000">
            <w:pPr>
              <w:keepLines/>
              <w:spacing w:after="0"/>
            </w:pPr>
            <w:r>
              <w:rPr>
                <w:sz w:val="14"/>
              </w:rPr>
              <w:t>48,359 / 50,000</w:t>
            </w:r>
          </w:p>
        </w:tc>
        <w:tc>
          <w:tcPr>
            <w:tcW w:w="1399" w:type="dxa"/>
            <w:vAlign w:val="center"/>
          </w:tcPr>
          <w:p w14:paraId="25F6EADC" w14:textId="77777777" w:rsidR="004B250B" w:rsidRDefault="00000000">
            <w:pPr>
              <w:keepLines/>
              <w:spacing w:after="0"/>
            </w:pPr>
            <w:r>
              <w:rPr>
                <w:sz w:val="14"/>
              </w:rPr>
              <w:t>4.1 (3.9–4.2)</w:t>
            </w:r>
          </w:p>
        </w:tc>
        <w:tc>
          <w:tcPr>
            <w:tcW w:w="1399" w:type="dxa"/>
            <w:vAlign w:val="center"/>
          </w:tcPr>
          <w:p w14:paraId="0C9CCEE5" w14:textId="77777777" w:rsidR="004B250B" w:rsidRDefault="00000000">
            <w:pPr>
              <w:keepLines/>
              <w:spacing w:after="0"/>
            </w:pPr>
            <w:r>
              <w:rPr>
                <w:sz w:val="14"/>
              </w:rPr>
              <w:t>3.9</w:t>
            </w:r>
          </w:p>
        </w:tc>
        <w:tc>
          <w:tcPr>
            <w:tcW w:w="1399" w:type="dxa"/>
            <w:vAlign w:val="center"/>
          </w:tcPr>
          <w:p w14:paraId="76B9D9EA" w14:textId="77777777" w:rsidR="004B250B" w:rsidRDefault="00000000">
            <w:pPr>
              <w:keepLines/>
              <w:spacing w:after="0"/>
            </w:pPr>
            <w:r>
              <w:rPr>
                <w:sz w:val="14"/>
              </w:rPr>
              <w:t>3.3</w:t>
            </w:r>
          </w:p>
        </w:tc>
      </w:tr>
      <w:tr w:rsidR="004B250B" w14:paraId="19577CCA" w14:textId="77777777">
        <w:trPr>
          <w:jc w:val="center"/>
        </w:trPr>
        <w:tc>
          <w:tcPr>
            <w:tcW w:w="1399" w:type="dxa"/>
            <w:vAlign w:val="center"/>
          </w:tcPr>
          <w:p w14:paraId="7206593A" w14:textId="77777777" w:rsidR="004B250B" w:rsidRDefault="004B250B">
            <w:pPr>
              <w:keepLines/>
              <w:spacing w:after="0"/>
            </w:pPr>
          </w:p>
        </w:tc>
        <w:tc>
          <w:tcPr>
            <w:tcW w:w="1399" w:type="dxa"/>
            <w:vAlign w:val="center"/>
          </w:tcPr>
          <w:p w14:paraId="7899F6E9" w14:textId="77777777" w:rsidR="004B250B" w:rsidRDefault="00000000">
            <w:pPr>
              <w:keepLines/>
              <w:spacing w:after="0"/>
            </w:pPr>
            <w:r>
              <w:rPr>
                <w:sz w:val="14"/>
              </w:rPr>
              <w:t>3-month calendar</w:t>
            </w:r>
          </w:p>
        </w:tc>
        <w:tc>
          <w:tcPr>
            <w:tcW w:w="1399" w:type="dxa"/>
            <w:vAlign w:val="center"/>
          </w:tcPr>
          <w:p w14:paraId="45A2379D" w14:textId="77777777" w:rsidR="004B250B" w:rsidRDefault="00000000">
            <w:pPr>
              <w:keepLines/>
              <w:spacing w:after="0"/>
            </w:pPr>
            <w:r>
              <w:rPr>
                <w:sz w:val="14"/>
              </w:rPr>
              <w:t>Windowed Herzog thresholds</w:t>
            </w:r>
          </w:p>
        </w:tc>
        <w:tc>
          <w:tcPr>
            <w:tcW w:w="1399" w:type="dxa"/>
            <w:vAlign w:val="center"/>
          </w:tcPr>
          <w:p w14:paraId="7B3C5C52" w14:textId="77777777" w:rsidR="004B250B" w:rsidRDefault="00000000">
            <w:pPr>
              <w:keepLines/>
              <w:spacing w:after="0"/>
            </w:pPr>
            <w:r>
              <w:rPr>
                <w:sz w:val="14"/>
              </w:rPr>
              <w:t>45,280 / 50,000</w:t>
            </w:r>
          </w:p>
        </w:tc>
        <w:tc>
          <w:tcPr>
            <w:tcW w:w="1399" w:type="dxa"/>
            <w:vAlign w:val="center"/>
          </w:tcPr>
          <w:p w14:paraId="55AEB145" w14:textId="77777777" w:rsidR="004B250B" w:rsidRDefault="00000000">
            <w:pPr>
              <w:keepLines/>
              <w:spacing w:after="0"/>
            </w:pPr>
            <w:r>
              <w:rPr>
                <w:sz w:val="14"/>
              </w:rPr>
              <w:t>41.3 (40.8–41.7)</w:t>
            </w:r>
          </w:p>
        </w:tc>
        <w:tc>
          <w:tcPr>
            <w:tcW w:w="1399" w:type="dxa"/>
            <w:vAlign w:val="center"/>
          </w:tcPr>
          <w:p w14:paraId="29D38B18" w14:textId="77777777" w:rsidR="004B250B" w:rsidRDefault="00000000">
            <w:pPr>
              <w:keepLines/>
              <w:spacing w:after="0"/>
            </w:pPr>
            <w:r>
              <w:rPr>
                <w:sz w:val="14"/>
              </w:rPr>
              <w:t>37.4</w:t>
            </w:r>
          </w:p>
        </w:tc>
        <w:tc>
          <w:tcPr>
            <w:tcW w:w="1399" w:type="dxa"/>
            <w:vAlign w:val="center"/>
          </w:tcPr>
          <w:p w14:paraId="338BE831" w14:textId="77777777" w:rsidR="004B250B" w:rsidRDefault="00000000">
            <w:pPr>
              <w:keepLines/>
              <w:spacing w:after="0"/>
            </w:pPr>
            <w:r>
              <w:rPr>
                <w:sz w:val="14"/>
              </w:rPr>
              <w:t>9.4</w:t>
            </w:r>
          </w:p>
        </w:tc>
      </w:tr>
      <w:tr w:rsidR="004B250B" w14:paraId="51F25813" w14:textId="77777777">
        <w:trPr>
          <w:jc w:val="center"/>
        </w:trPr>
        <w:tc>
          <w:tcPr>
            <w:tcW w:w="1399" w:type="dxa"/>
            <w:vAlign w:val="center"/>
          </w:tcPr>
          <w:p w14:paraId="4C5B14D1" w14:textId="77777777" w:rsidR="004B250B" w:rsidRDefault="004B250B">
            <w:pPr>
              <w:keepLines/>
              <w:spacing w:after="0"/>
            </w:pPr>
          </w:p>
        </w:tc>
        <w:tc>
          <w:tcPr>
            <w:tcW w:w="1399" w:type="dxa"/>
            <w:vAlign w:val="center"/>
          </w:tcPr>
          <w:p w14:paraId="5D3A820C" w14:textId="77777777" w:rsidR="004B250B" w:rsidRDefault="00000000">
            <w:pPr>
              <w:keepLines/>
              <w:spacing w:after="0"/>
            </w:pPr>
            <w:r>
              <w:rPr>
                <w:sz w:val="14"/>
              </w:rPr>
              <w:t>3 complete cycles</w:t>
            </w:r>
          </w:p>
        </w:tc>
        <w:tc>
          <w:tcPr>
            <w:tcW w:w="1399" w:type="dxa"/>
            <w:vAlign w:val="center"/>
          </w:tcPr>
          <w:p w14:paraId="289BE452" w14:textId="77777777" w:rsidR="004B250B" w:rsidRDefault="00000000">
            <w:pPr>
              <w:keepLines/>
              <w:spacing w:after="0"/>
            </w:pPr>
            <w:r>
              <w:rPr>
                <w:sz w:val="14"/>
              </w:rPr>
              <w:t>Exact Herzog 2004, any pattern</w:t>
            </w:r>
          </w:p>
        </w:tc>
        <w:tc>
          <w:tcPr>
            <w:tcW w:w="1399" w:type="dxa"/>
            <w:vAlign w:val="center"/>
          </w:tcPr>
          <w:p w14:paraId="7F92EF15" w14:textId="77777777" w:rsidR="004B250B" w:rsidRDefault="00000000">
            <w:pPr>
              <w:keepLines/>
              <w:spacing w:after="0"/>
            </w:pPr>
            <w:r>
              <w:rPr>
                <w:sz w:val="14"/>
              </w:rPr>
              <w:t>22,996 / 50,000</w:t>
            </w:r>
          </w:p>
        </w:tc>
        <w:tc>
          <w:tcPr>
            <w:tcW w:w="1399" w:type="dxa"/>
            <w:vAlign w:val="center"/>
          </w:tcPr>
          <w:p w14:paraId="42EAFBE7" w14:textId="77777777" w:rsidR="004B250B" w:rsidRDefault="00000000">
            <w:pPr>
              <w:keepLines/>
              <w:spacing w:after="0"/>
            </w:pPr>
            <w:r>
              <w:rPr>
                <w:sz w:val="14"/>
              </w:rPr>
              <w:t>49.7 (49.0–50.3)</w:t>
            </w:r>
          </w:p>
        </w:tc>
        <w:tc>
          <w:tcPr>
            <w:tcW w:w="1399" w:type="dxa"/>
            <w:vAlign w:val="center"/>
          </w:tcPr>
          <w:p w14:paraId="4BCEAFBF" w14:textId="77777777" w:rsidR="004B250B" w:rsidRDefault="00000000">
            <w:pPr>
              <w:keepLines/>
              <w:spacing w:after="0"/>
            </w:pPr>
            <w:r>
              <w:rPr>
                <w:sz w:val="14"/>
              </w:rPr>
              <w:t>22.8</w:t>
            </w:r>
          </w:p>
        </w:tc>
        <w:tc>
          <w:tcPr>
            <w:tcW w:w="1399" w:type="dxa"/>
            <w:vAlign w:val="center"/>
          </w:tcPr>
          <w:p w14:paraId="533922A1" w14:textId="77777777" w:rsidR="004B250B" w:rsidRDefault="00000000">
            <w:pPr>
              <w:keepLines/>
              <w:spacing w:after="0"/>
            </w:pPr>
            <w:r>
              <w:rPr>
                <w:sz w:val="14"/>
              </w:rPr>
              <w:t>54.0</w:t>
            </w:r>
          </w:p>
        </w:tc>
      </w:tr>
      <w:tr w:rsidR="004B250B" w14:paraId="2DF46F04" w14:textId="77777777">
        <w:trPr>
          <w:jc w:val="center"/>
        </w:trPr>
        <w:tc>
          <w:tcPr>
            <w:tcW w:w="1399" w:type="dxa"/>
            <w:vAlign w:val="center"/>
          </w:tcPr>
          <w:p w14:paraId="5929A5B8" w14:textId="77777777" w:rsidR="004B250B" w:rsidRDefault="00000000">
            <w:pPr>
              <w:keepLines/>
              <w:spacing w:after="0"/>
            </w:pPr>
            <w:r>
              <w:rPr>
                <w:sz w:val="14"/>
              </w:rPr>
              <w:t>Heterogeneous menstruating-age</w:t>
            </w:r>
          </w:p>
        </w:tc>
        <w:tc>
          <w:tcPr>
            <w:tcW w:w="1399" w:type="dxa"/>
            <w:vAlign w:val="center"/>
          </w:tcPr>
          <w:p w14:paraId="2DC7755D" w14:textId="77777777" w:rsidR="004B250B" w:rsidRDefault="00000000">
            <w:pPr>
              <w:keepLines/>
              <w:spacing w:after="0"/>
            </w:pPr>
            <w:r>
              <w:rPr>
                <w:sz w:val="14"/>
              </w:rPr>
              <w:t>36-month full diary</w:t>
            </w:r>
          </w:p>
        </w:tc>
        <w:tc>
          <w:tcPr>
            <w:tcW w:w="1399" w:type="dxa"/>
            <w:vAlign w:val="center"/>
          </w:tcPr>
          <w:p w14:paraId="57EE2B61" w14:textId="77777777" w:rsidR="004B250B" w:rsidRDefault="00000000">
            <w:pPr>
              <w:keepLines/>
              <w:spacing w:after="0"/>
            </w:pPr>
            <w:r>
              <w:rPr>
                <w:sz w:val="14"/>
              </w:rPr>
              <w:t>Windowed Herzog thresholds</w:t>
            </w:r>
          </w:p>
        </w:tc>
        <w:tc>
          <w:tcPr>
            <w:tcW w:w="1399" w:type="dxa"/>
            <w:vAlign w:val="center"/>
          </w:tcPr>
          <w:p w14:paraId="670303B9" w14:textId="77777777" w:rsidR="004B250B" w:rsidRDefault="00000000">
            <w:pPr>
              <w:keepLines/>
              <w:spacing w:after="0"/>
            </w:pPr>
            <w:r>
              <w:rPr>
                <w:sz w:val="14"/>
              </w:rPr>
              <w:t>49,587 / 50,000</w:t>
            </w:r>
          </w:p>
        </w:tc>
        <w:tc>
          <w:tcPr>
            <w:tcW w:w="1399" w:type="dxa"/>
            <w:vAlign w:val="center"/>
          </w:tcPr>
          <w:p w14:paraId="79B2C817" w14:textId="77777777" w:rsidR="004B250B" w:rsidRDefault="00000000">
            <w:pPr>
              <w:keepLines/>
              <w:spacing w:after="0"/>
            </w:pPr>
            <w:r>
              <w:rPr>
                <w:sz w:val="14"/>
              </w:rPr>
              <w:t>36.3 (35.8–36.7)</w:t>
            </w:r>
          </w:p>
        </w:tc>
        <w:tc>
          <w:tcPr>
            <w:tcW w:w="1399" w:type="dxa"/>
            <w:vAlign w:val="center"/>
          </w:tcPr>
          <w:p w14:paraId="5AB30C2C" w14:textId="77777777" w:rsidR="004B250B" w:rsidRDefault="00000000">
            <w:pPr>
              <w:keepLines/>
              <w:spacing w:after="0"/>
            </w:pPr>
            <w:r>
              <w:rPr>
                <w:sz w:val="14"/>
              </w:rPr>
              <w:t>36.0</w:t>
            </w:r>
          </w:p>
        </w:tc>
        <w:tc>
          <w:tcPr>
            <w:tcW w:w="1399" w:type="dxa"/>
            <w:vAlign w:val="center"/>
          </w:tcPr>
          <w:p w14:paraId="21E6CA87" w14:textId="77777777" w:rsidR="004B250B" w:rsidRDefault="00000000">
            <w:pPr>
              <w:keepLines/>
              <w:spacing w:after="0"/>
            </w:pPr>
            <w:r>
              <w:rPr>
                <w:sz w:val="14"/>
              </w:rPr>
              <w:t>0.8</w:t>
            </w:r>
          </w:p>
        </w:tc>
      </w:tr>
      <w:tr w:rsidR="004B250B" w14:paraId="4D8FF7C9" w14:textId="77777777">
        <w:trPr>
          <w:jc w:val="center"/>
        </w:trPr>
        <w:tc>
          <w:tcPr>
            <w:tcW w:w="1399" w:type="dxa"/>
            <w:vAlign w:val="center"/>
          </w:tcPr>
          <w:p w14:paraId="1553BB5B" w14:textId="77777777" w:rsidR="004B250B" w:rsidRDefault="004B250B">
            <w:pPr>
              <w:keepLines/>
              <w:spacing w:after="0"/>
            </w:pPr>
          </w:p>
        </w:tc>
        <w:tc>
          <w:tcPr>
            <w:tcW w:w="1399" w:type="dxa"/>
            <w:vAlign w:val="center"/>
          </w:tcPr>
          <w:p w14:paraId="48474FCD" w14:textId="77777777" w:rsidR="004B250B" w:rsidRDefault="004B250B">
            <w:pPr>
              <w:keepLines/>
              <w:spacing w:after="0"/>
            </w:pPr>
          </w:p>
        </w:tc>
        <w:tc>
          <w:tcPr>
            <w:tcW w:w="1399" w:type="dxa"/>
            <w:vAlign w:val="center"/>
          </w:tcPr>
          <w:p w14:paraId="72CD38B9" w14:textId="77777777" w:rsidR="004B250B" w:rsidRDefault="00000000">
            <w:pPr>
              <w:keepLines/>
              <w:spacing w:after="0"/>
            </w:pPr>
            <w:r>
              <w:rPr>
                <w:sz w:val="14"/>
              </w:rPr>
              <w:t>Windowed Herzog C1/C2 union</w:t>
            </w:r>
          </w:p>
        </w:tc>
        <w:tc>
          <w:tcPr>
            <w:tcW w:w="1399" w:type="dxa"/>
            <w:vAlign w:val="center"/>
          </w:tcPr>
          <w:p w14:paraId="4605F576" w14:textId="77777777" w:rsidR="004B250B" w:rsidRDefault="00000000">
            <w:pPr>
              <w:keepLines/>
              <w:spacing w:after="0"/>
            </w:pPr>
            <w:r>
              <w:rPr>
                <w:sz w:val="14"/>
              </w:rPr>
              <w:t>49,587 / 50,000</w:t>
            </w:r>
          </w:p>
        </w:tc>
        <w:tc>
          <w:tcPr>
            <w:tcW w:w="1399" w:type="dxa"/>
            <w:vAlign w:val="center"/>
          </w:tcPr>
          <w:p w14:paraId="6DA68B0D" w14:textId="77777777" w:rsidR="004B250B" w:rsidRDefault="00000000">
            <w:pPr>
              <w:keepLines/>
              <w:spacing w:after="0"/>
            </w:pPr>
            <w:r>
              <w:rPr>
                <w:sz w:val="14"/>
              </w:rPr>
              <w:t>11.8 (11.5–12.1)</w:t>
            </w:r>
          </w:p>
        </w:tc>
        <w:tc>
          <w:tcPr>
            <w:tcW w:w="1399" w:type="dxa"/>
            <w:vAlign w:val="center"/>
          </w:tcPr>
          <w:p w14:paraId="29317419" w14:textId="77777777" w:rsidR="004B250B" w:rsidRDefault="00000000">
            <w:pPr>
              <w:keepLines/>
              <w:spacing w:after="0"/>
            </w:pPr>
            <w:r>
              <w:rPr>
                <w:sz w:val="14"/>
              </w:rPr>
              <w:t>11.7</w:t>
            </w:r>
          </w:p>
        </w:tc>
        <w:tc>
          <w:tcPr>
            <w:tcW w:w="1399" w:type="dxa"/>
            <w:vAlign w:val="center"/>
          </w:tcPr>
          <w:p w14:paraId="693FBF04" w14:textId="77777777" w:rsidR="004B250B" w:rsidRDefault="00000000">
            <w:pPr>
              <w:keepLines/>
              <w:spacing w:after="0"/>
            </w:pPr>
            <w:r>
              <w:rPr>
                <w:sz w:val="14"/>
              </w:rPr>
              <w:t>0.8</w:t>
            </w:r>
          </w:p>
        </w:tc>
      </w:tr>
      <w:tr w:rsidR="004B250B" w14:paraId="31981139" w14:textId="77777777">
        <w:trPr>
          <w:jc w:val="center"/>
        </w:trPr>
        <w:tc>
          <w:tcPr>
            <w:tcW w:w="1399" w:type="dxa"/>
            <w:vAlign w:val="center"/>
          </w:tcPr>
          <w:p w14:paraId="2721B31C" w14:textId="77777777" w:rsidR="004B250B" w:rsidRDefault="004B250B">
            <w:pPr>
              <w:keepLines/>
              <w:spacing w:after="0"/>
            </w:pPr>
          </w:p>
        </w:tc>
        <w:tc>
          <w:tcPr>
            <w:tcW w:w="1399" w:type="dxa"/>
            <w:vAlign w:val="center"/>
          </w:tcPr>
          <w:p w14:paraId="52E111E3" w14:textId="77777777" w:rsidR="004B250B" w:rsidRDefault="004B250B">
            <w:pPr>
              <w:keepLines/>
              <w:spacing w:after="0"/>
            </w:pPr>
          </w:p>
        </w:tc>
        <w:tc>
          <w:tcPr>
            <w:tcW w:w="1399" w:type="dxa"/>
            <w:vAlign w:val="center"/>
          </w:tcPr>
          <w:p w14:paraId="1F780DB4" w14:textId="77777777" w:rsidR="004B250B" w:rsidRDefault="00000000">
            <w:pPr>
              <w:keepLines/>
              <w:spacing w:after="0"/>
            </w:pPr>
            <w:r>
              <w:rPr>
                <w:sz w:val="14"/>
              </w:rPr>
              <w:t>Windowed Herzog C3 only</w:t>
            </w:r>
          </w:p>
        </w:tc>
        <w:tc>
          <w:tcPr>
            <w:tcW w:w="1399" w:type="dxa"/>
            <w:vAlign w:val="center"/>
          </w:tcPr>
          <w:p w14:paraId="5BB27CDE" w14:textId="77777777" w:rsidR="004B250B" w:rsidRDefault="00000000">
            <w:pPr>
              <w:keepLines/>
              <w:spacing w:after="0"/>
            </w:pPr>
            <w:r>
              <w:rPr>
                <w:sz w:val="14"/>
              </w:rPr>
              <w:t>38,989 / 50,000</w:t>
            </w:r>
          </w:p>
        </w:tc>
        <w:tc>
          <w:tcPr>
            <w:tcW w:w="1399" w:type="dxa"/>
            <w:vAlign w:val="center"/>
          </w:tcPr>
          <w:p w14:paraId="696D3F9D" w14:textId="77777777" w:rsidR="004B250B" w:rsidRDefault="00000000">
            <w:pPr>
              <w:keepLines/>
              <w:spacing w:after="0"/>
            </w:pPr>
            <w:r>
              <w:rPr>
                <w:sz w:val="14"/>
              </w:rPr>
              <w:t>37.0 (36.5–37.5)</w:t>
            </w:r>
          </w:p>
        </w:tc>
        <w:tc>
          <w:tcPr>
            <w:tcW w:w="1399" w:type="dxa"/>
            <w:vAlign w:val="center"/>
          </w:tcPr>
          <w:p w14:paraId="1F2E6A9D" w14:textId="77777777" w:rsidR="004B250B" w:rsidRDefault="00000000">
            <w:pPr>
              <w:keepLines/>
              <w:spacing w:after="0"/>
            </w:pPr>
            <w:r>
              <w:rPr>
                <w:sz w:val="14"/>
              </w:rPr>
              <w:t>28.8</w:t>
            </w:r>
          </w:p>
        </w:tc>
        <w:tc>
          <w:tcPr>
            <w:tcW w:w="1399" w:type="dxa"/>
            <w:vAlign w:val="center"/>
          </w:tcPr>
          <w:p w14:paraId="52BCD72F" w14:textId="77777777" w:rsidR="004B250B" w:rsidRDefault="00000000">
            <w:pPr>
              <w:keepLines/>
              <w:spacing w:after="0"/>
            </w:pPr>
            <w:r>
              <w:rPr>
                <w:sz w:val="14"/>
              </w:rPr>
              <w:t>22.0</w:t>
            </w:r>
          </w:p>
        </w:tc>
      </w:tr>
      <w:tr w:rsidR="004B250B" w14:paraId="24A5C11E" w14:textId="77777777">
        <w:trPr>
          <w:jc w:val="center"/>
        </w:trPr>
        <w:tc>
          <w:tcPr>
            <w:tcW w:w="1399" w:type="dxa"/>
            <w:vAlign w:val="center"/>
          </w:tcPr>
          <w:p w14:paraId="31D987CE" w14:textId="77777777" w:rsidR="004B250B" w:rsidRDefault="004B250B">
            <w:pPr>
              <w:keepLines/>
              <w:spacing w:after="0"/>
            </w:pPr>
          </w:p>
        </w:tc>
        <w:tc>
          <w:tcPr>
            <w:tcW w:w="1399" w:type="dxa"/>
            <w:vAlign w:val="center"/>
          </w:tcPr>
          <w:p w14:paraId="013BCA59" w14:textId="77777777" w:rsidR="004B250B" w:rsidRDefault="004B250B">
            <w:pPr>
              <w:keepLines/>
              <w:spacing w:after="0"/>
            </w:pPr>
          </w:p>
        </w:tc>
        <w:tc>
          <w:tcPr>
            <w:tcW w:w="1399" w:type="dxa"/>
            <w:vAlign w:val="center"/>
          </w:tcPr>
          <w:p w14:paraId="6DCE6A02" w14:textId="77777777" w:rsidR="004B250B" w:rsidRDefault="00000000">
            <w:pPr>
              <w:keepLines/>
              <w:spacing w:after="0"/>
            </w:pPr>
            <w:r>
              <w:rPr>
                <w:sz w:val="14"/>
              </w:rPr>
              <w:t>Herzog C1/C2 + ≥4 seizure-day minimum</w:t>
            </w:r>
          </w:p>
        </w:tc>
        <w:tc>
          <w:tcPr>
            <w:tcW w:w="1399" w:type="dxa"/>
            <w:vAlign w:val="center"/>
          </w:tcPr>
          <w:p w14:paraId="22C5B8FA" w14:textId="77777777" w:rsidR="004B250B" w:rsidRDefault="00000000">
            <w:pPr>
              <w:keepLines/>
              <w:spacing w:after="0"/>
            </w:pPr>
            <w:r>
              <w:rPr>
                <w:sz w:val="14"/>
              </w:rPr>
              <w:t>48,333 / 50,000</w:t>
            </w:r>
          </w:p>
        </w:tc>
        <w:tc>
          <w:tcPr>
            <w:tcW w:w="1399" w:type="dxa"/>
            <w:vAlign w:val="center"/>
          </w:tcPr>
          <w:p w14:paraId="16562391" w14:textId="77777777" w:rsidR="004B250B" w:rsidRDefault="00000000">
            <w:pPr>
              <w:keepLines/>
              <w:spacing w:after="0"/>
            </w:pPr>
            <w:r>
              <w:rPr>
                <w:sz w:val="14"/>
              </w:rPr>
              <w:t>10.7 (10.5–11.0)</w:t>
            </w:r>
          </w:p>
        </w:tc>
        <w:tc>
          <w:tcPr>
            <w:tcW w:w="1399" w:type="dxa"/>
            <w:vAlign w:val="center"/>
          </w:tcPr>
          <w:p w14:paraId="019F35DD" w14:textId="77777777" w:rsidR="004B250B" w:rsidRDefault="00000000">
            <w:pPr>
              <w:keepLines/>
              <w:spacing w:after="0"/>
            </w:pPr>
            <w:r>
              <w:rPr>
                <w:sz w:val="14"/>
              </w:rPr>
              <w:t>10.4</w:t>
            </w:r>
          </w:p>
        </w:tc>
        <w:tc>
          <w:tcPr>
            <w:tcW w:w="1399" w:type="dxa"/>
            <w:vAlign w:val="center"/>
          </w:tcPr>
          <w:p w14:paraId="53E21E00" w14:textId="77777777" w:rsidR="004B250B" w:rsidRDefault="00000000">
            <w:pPr>
              <w:keepLines/>
              <w:spacing w:after="0"/>
            </w:pPr>
            <w:r>
              <w:rPr>
                <w:sz w:val="14"/>
              </w:rPr>
              <w:t>3.3</w:t>
            </w:r>
          </w:p>
        </w:tc>
      </w:tr>
      <w:tr w:rsidR="004B250B" w14:paraId="096E6E71" w14:textId="77777777">
        <w:trPr>
          <w:jc w:val="center"/>
        </w:trPr>
        <w:tc>
          <w:tcPr>
            <w:tcW w:w="1399" w:type="dxa"/>
            <w:vAlign w:val="center"/>
          </w:tcPr>
          <w:p w14:paraId="05EE560C" w14:textId="77777777" w:rsidR="004B250B" w:rsidRDefault="004B250B">
            <w:pPr>
              <w:keepLines/>
              <w:spacing w:after="0"/>
            </w:pPr>
          </w:p>
        </w:tc>
        <w:tc>
          <w:tcPr>
            <w:tcW w:w="1399" w:type="dxa"/>
            <w:vAlign w:val="center"/>
          </w:tcPr>
          <w:p w14:paraId="2367BC0A" w14:textId="77777777" w:rsidR="004B250B" w:rsidRDefault="004B250B">
            <w:pPr>
              <w:keepLines/>
              <w:spacing w:after="0"/>
            </w:pPr>
          </w:p>
        </w:tc>
        <w:tc>
          <w:tcPr>
            <w:tcW w:w="1399" w:type="dxa"/>
            <w:vAlign w:val="center"/>
          </w:tcPr>
          <w:p w14:paraId="5DA58F84" w14:textId="77777777" w:rsidR="004B250B" w:rsidRDefault="00000000">
            <w:pPr>
              <w:keepLines/>
              <w:spacing w:after="0"/>
            </w:pPr>
            <w:r>
              <w:rPr>
                <w:sz w:val="14"/>
              </w:rPr>
              <w:t>Negative-binomial C1/C2 calibration</w:t>
            </w:r>
          </w:p>
        </w:tc>
        <w:tc>
          <w:tcPr>
            <w:tcW w:w="1399" w:type="dxa"/>
            <w:vAlign w:val="center"/>
          </w:tcPr>
          <w:p w14:paraId="337FAA86" w14:textId="77777777" w:rsidR="004B250B" w:rsidRDefault="00000000">
            <w:pPr>
              <w:keepLines/>
              <w:spacing w:after="0"/>
            </w:pPr>
            <w:r>
              <w:rPr>
                <w:sz w:val="14"/>
              </w:rPr>
              <w:t>48,333 / 50,000</w:t>
            </w:r>
          </w:p>
        </w:tc>
        <w:tc>
          <w:tcPr>
            <w:tcW w:w="1399" w:type="dxa"/>
            <w:vAlign w:val="center"/>
          </w:tcPr>
          <w:p w14:paraId="43BD9BEA" w14:textId="77777777" w:rsidR="004B250B" w:rsidRDefault="00000000">
            <w:pPr>
              <w:keepLines/>
              <w:spacing w:after="0"/>
            </w:pPr>
            <w:r>
              <w:rPr>
                <w:sz w:val="14"/>
              </w:rPr>
              <w:t>4.2 (4.0–4.4)</w:t>
            </w:r>
          </w:p>
        </w:tc>
        <w:tc>
          <w:tcPr>
            <w:tcW w:w="1399" w:type="dxa"/>
            <w:vAlign w:val="center"/>
          </w:tcPr>
          <w:p w14:paraId="5C13338D" w14:textId="77777777" w:rsidR="004B250B" w:rsidRDefault="00000000">
            <w:pPr>
              <w:keepLines/>
              <w:spacing w:after="0"/>
            </w:pPr>
            <w:r>
              <w:rPr>
                <w:sz w:val="14"/>
              </w:rPr>
              <w:t>4.1</w:t>
            </w:r>
          </w:p>
        </w:tc>
        <w:tc>
          <w:tcPr>
            <w:tcW w:w="1399" w:type="dxa"/>
            <w:vAlign w:val="center"/>
          </w:tcPr>
          <w:p w14:paraId="67AD965D" w14:textId="77777777" w:rsidR="004B250B" w:rsidRDefault="00000000">
            <w:pPr>
              <w:keepLines/>
              <w:spacing w:after="0"/>
            </w:pPr>
            <w:r>
              <w:rPr>
                <w:sz w:val="14"/>
              </w:rPr>
              <w:t>3.3</w:t>
            </w:r>
          </w:p>
        </w:tc>
      </w:tr>
      <w:tr w:rsidR="004B250B" w14:paraId="43D40E4E" w14:textId="77777777">
        <w:trPr>
          <w:jc w:val="center"/>
        </w:trPr>
        <w:tc>
          <w:tcPr>
            <w:tcW w:w="1399" w:type="dxa"/>
            <w:vAlign w:val="center"/>
          </w:tcPr>
          <w:p w14:paraId="6C8F93CE" w14:textId="77777777" w:rsidR="004B250B" w:rsidRDefault="004B250B">
            <w:pPr>
              <w:keepLines/>
              <w:spacing w:after="0"/>
            </w:pPr>
          </w:p>
        </w:tc>
        <w:tc>
          <w:tcPr>
            <w:tcW w:w="1399" w:type="dxa"/>
            <w:vAlign w:val="center"/>
          </w:tcPr>
          <w:p w14:paraId="5B262CDC" w14:textId="77777777" w:rsidR="004B250B" w:rsidRDefault="00000000">
            <w:pPr>
              <w:keepLines/>
              <w:spacing w:after="0"/>
            </w:pPr>
            <w:r>
              <w:rPr>
                <w:sz w:val="14"/>
              </w:rPr>
              <w:t>3-month calendar</w:t>
            </w:r>
          </w:p>
        </w:tc>
        <w:tc>
          <w:tcPr>
            <w:tcW w:w="1399" w:type="dxa"/>
            <w:vAlign w:val="center"/>
          </w:tcPr>
          <w:p w14:paraId="6293EAD5" w14:textId="77777777" w:rsidR="004B250B" w:rsidRDefault="00000000">
            <w:pPr>
              <w:keepLines/>
              <w:spacing w:after="0"/>
            </w:pPr>
            <w:r>
              <w:rPr>
                <w:sz w:val="14"/>
              </w:rPr>
              <w:t>Windowed Herzog thresholds</w:t>
            </w:r>
          </w:p>
        </w:tc>
        <w:tc>
          <w:tcPr>
            <w:tcW w:w="1399" w:type="dxa"/>
            <w:vAlign w:val="center"/>
          </w:tcPr>
          <w:p w14:paraId="5FA4D155" w14:textId="77777777" w:rsidR="004B250B" w:rsidRDefault="00000000">
            <w:pPr>
              <w:keepLines/>
              <w:spacing w:after="0"/>
            </w:pPr>
            <w:r>
              <w:rPr>
                <w:sz w:val="14"/>
              </w:rPr>
              <w:t>45,297 / 50,000</w:t>
            </w:r>
          </w:p>
        </w:tc>
        <w:tc>
          <w:tcPr>
            <w:tcW w:w="1399" w:type="dxa"/>
            <w:vAlign w:val="center"/>
          </w:tcPr>
          <w:p w14:paraId="50FF8F8E" w14:textId="77777777" w:rsidR="004B250B" w:rsidRDefault="00000000">
            <w:pPr>
              <w:keepLines/>
              <w:spacing w:after="0"/>
            </w:pPr>
            <w:r>
              <w:rPr>
                <w:sz w:val="14"/>
              </w:rPr>
              <w:t>51.2 (50.7–51.6)</w:t>
            </w:r>
          </w:p>
        </w:tc>
        <w:tc>
          <w:tcPr>
            <w:tcW w:w="1399" w:type="dxa"/>
            <w:vAlign w:val="center"/>
          </w:tcPr>
          <w:p w14:paraId="77332714" w14:textId="77777777" w:rsidR="004B250B" w:rsidRDefault="00000000">
            <w:pPr>
              <w:keepLines/>
              <w:spacing w:after="0"/>
            </w:pPr>
            <w:r>
              <w:rPr>
                <w:sz w:val="14"/>
              </w:rPr>
              <w:t>46.4</w:t>
            </w:r>
          </w:p>
        </w:tc>
        <w:tc>
          <w:tcPr>
            <w:tcW w:w="1399" w:type="dxa"/>
            <w:vAlign w:val="center"/>
          </w:tcPr>
          <w:p w14:paraId="006F2B12" w14:textId="77777777" w:rsidR="004B250B" w:rsidRDefault="00000000">
            <w:pPr>
              <w:keepLines/>
              <w:spacing w:after="0"/>
            </w:pPr>
            <w:r>
              <w:rPr>
                <w:sz w:val="14"/>
              </w:rPr>
              <w:t>9.4</w:t>
            </w:r>
          </w:p>
        </w:tc>
      </w:tr>
      <w:tr w:rsidR="004B250B" w14:paraId="7FADDC64" w14:textId="77777777">
        <w:trPr>
          <w:jc w:val="center"/>
        </w:trPr>
        <w:tc>
          <w:tcPr>
            <w:tcW w:w="1399" w:type="dxa"/>
            <w:vAlign w:val="center"/>
          </w:tcPr>
          <w:p w14:paraId="3935AC17" w14:textId="77777777" w:rsidR="004B250B" w:rsidRDefault="004B250B">
            <w:pPr>
              <w:keepLines/>
              <w:spacing w:after="0"/>
            </w:pPr>
          </w:p>
        </w:tc>
        <w:tc>
          <w:tcPr>
            <w:tcW w:w="1399" w:type="dxa"/>
            <w:vAlign w:val="center"/>
          </w:tcPr>
          <w:p w14:paraId="5B17C6EB" w14:textId="77777777" w:rsidR="004B250B" w:rsidRDefault="00000000">
            <w:pPr>
              <w:keepLines/>
              <w:spacing w:after="0"/>
            </w:pPr>
            <w:r>
              <w:rPr>
                <w:sz w:val="14"/>
              </w:rPr>
              <w:t>3 complete cycles</w:t>
            </w:r>
          </w:p>
        </w:tc>
        <w:tc>
          <w:tcPr>
            <w:tcW w:w="1399" w:type="dxa"/>
            <w:vAlign w:val="center"/>
          </w:tcPr>
          <w:p w14:paraId="3A371A09" w14:textId="77777777" w:rsidR="004B250B" w:rsidRDefault="00000000">
            <w:pPr>
              <w:keepLines/>
              <w:spacing w:after="0"/>
            </w:pPr>
            <w:r>
              <w:rPr>
                <w:sz w:val="14"/>
              </w:rPr>
              <w:t>Exact Herzog 2004, any pattern</w:t>
            </w:r>
          </w:p>
        </w:tc>
        <w:tc>
          <w:tcPr>
            <w:tcW w:w="1399" w:type="dxa"/>
            <w:vAlign w:val="center"/>
          </w:tcPr>
          <w:p w14:paraId="6EEE9DFD" w14:textId="77777777" w:rsidR="004B250B" w:rsidRDefault="00000000">
            <w:pPr>
              <w:keepLines/>
              <w:spacing w:after="0"/>
            </w:pPr>
            <w:r>
              <w:rPr>
                <w:sz w:val="14"/>
              </w:rPr>
              <w:t>16,757 / 50,000</w:t>
            </w:r>
          </w:p>
        </w:tc>
        <w:tc>
          <w:tcPr>
            <w:tcW w:w="1399" w:type="dxa"/>
            <w:vAlign w:val="center"/>
          </w:tcPr>
          <w:p w14:paraId="532FE121" w14:textId="77777777" w:rsidR="004B250B" w:rsidRDefault="00000000">
            <w:pPr>
              <w:keepLines/>
              <w:spacing w:after="0"/>
            </w:pPr>
            <w:r>
              <w:rPr>
                <w:sz w:val="14"/>
              </w:rPr>
              <w:t>51.2 (50.4–51.9)</w:t>
            </w:r>
          </w:p>
        </w:tc>
        <w:tc>
          <w:tcPr>
            <w:tcW w:w="1399" w:type="dxa"/>
            <w:vAlign w:val="center"/>
          </w:tcPr>
          <w:p w14:paraId="6EDC9051" w14:textId="77777777" w:rsidR="004B250B" w:rsidRDefault="00000000">
            <w:pPr>
              <w:keepLines/>
              <w:spacing w:after="0"/>
            </w:pPr>
            <w:r>
              <w:rPr>
                <w:sz w:val="14"/>
              </w:rPr>
              <w:t>17.2</w:t>
            </w:r>
          </w:p>
        </w:tc>
        <w:tc>
          <w:tcPr>
            <w:tcW w:w="1399" w:type="dxa"/>
            <w:vAlign w:val="center"/>
          </w:tcPr>
          <w:p w14:paraId="1E9971C2" w14:textId="77777777" w:rsidR="004B250B" w:rsidRDefault="00000000">
            <w:pPr>
              <w:keepLines/>
              <w:spacing w:after="0"/>
            </w:pPr>
            <w:r>
              <w:rPr>
                <w:sz w:val="14"/>
              </w:rPr>
              <w:t>66.5</w:t>
            </w:r>
          </w:p>
        </w:tc>
      </w:tr>
    </w:tbl>
    <w:p w14:paraId="4BECDC04" w14:textId="77777777" w:rsidR="004B250B" w:rsidRDefault="004B250B">
      <w:pPr>
        <w:spacing w:after="0"/>
      </w:pPr>
    </w:p>
    <w:p w14:paraId="58C170AD" w14:textId="77777777" w:rsidR="004B250B"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p>
    <w:p w14:paraId="100C73EB" w14:textId="77777777" w:rsidR="004B250B" w:rsidRDefault="00000000">
      <w:r>
        <w:br w:type="page"/>
      </w:r>
    </w:p>
    <w:p w14:paraId="48C7B465"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397"/>
        <w:gridCol w:w="1397"/>
        <w:gridCol w:w="1397"/>
        <w:gridCol w:w="1397"/>
        <w:gridCol w:w="1398"/>
        <w:gridCol w:w="1398"/>
        <w:gridCol w:w="1398"/>
      </w:tblGrid>
      <w:tr w:rsidR="004B250B" w14:paraId="0CC48B3B" w14:textId="77777777">
        <w:trPr>
          <w:tblHeader/>
          <w:jc w:val="center"/>
        </w:trPr>
        <w:tc>
          <w:tcPr>
            <w:tcW w:w="1399" w:type="dxa"/>
            <w:shd w:val="clear" w:color="auto" w:fill="D9EAF7"/>
            <w:vAlign w:val="center"/>
          </w:tcPr>
          <w:p w14:paraId="30605F1C" w14:textId="77777777" w:rsidR="004B250B" w:rsidRDefault="00000000">
            <w:pPr>
              <w:jc w:val="center"/>
            </w:pPr>
            <w:r>
              <w:rPr>
                <w:rFonts w:ascii="Arial" w:hAnsi="Arial"/>
                <w:b/>
                <w:sz w:val="15"/>
              </w:rPr>
              <w:t>Cohort</w:t>
            </w:r>
          </w:p>
        </w:tc>
        <w:tc>
          <w:tcPr>
            <w:tcW w:w="1399" w:type="dxa"/>
            <w:shd w:val="clear" w:color="auto" w:fill="D9EAF7"/>
            <w:vAlign w:val="center"/>
          </w:tcPr>
          <w:p w14:paraId="7C2D7588" w14:textId="77777777" w:rsidR="004B250B" w:rsidRDefault="00000000">
            <w:pPr>
              <w:jc w:val="center"/>
            </w:pPr>
            <w:r>
              <w:rPr>
                <w:rFonts w:ascii="Arial" w:hAnsi="Arial"/>
                <w:b/>
                <w:sz w:val="15"/>
              </w:rPr>
              <w:t>N/study</w:t>
            </w:r>
          </w:p>
        </w:tc>
        <w:tc>
          <w:tcPr>
            <w:tcW w:w="1399" w:type="dxa"/>
            <w:shd w:val="clear" w:color="auto" w:fill="D9EAF7"/>
            <w:vAlign w:val="center"/>
          </w:tcPr>
          <w:p w14:paraId="7702E3BB" w14:textId="77777777" w:rsidR="004B250B" w:rsidRDefault="00000000">
            <w:pPr>
              <w:jc w:val="center"/>
            </w:pPr>
            <w:r>
              <w:rPr>
                <w:rFonts w:ascii="Arial" w:hAnsi="Arial"/>
                <w:b/>
                <w:sz w:val="15"/>
              </w:rPr>
              <w:t>Definition</w:t>
            </w:r>
          </w:p>
        </w:tc>
        <w:tc>
          <w:tcPr>
            <w:tcW w:w="1399" w:type="dxa"/>
            <w:shd w:val="clear" w:color="auto" w:fill="D9EAF7"/>
            <w:vAlign w:val="center"/>
          </w:tcPr>
          <w:p w14:paraId="44E76A67"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7CE9D9CA"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32551B8F"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060F1C7D"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4B250B" w14:paraId="5113F0CF" w14:textId="77777777">
        <w:trPr>
          <w:jc w:val="center"/>
        </w:trPr>
        <w:tc>
          <w:tcPr>
            <w:tcW w:w="1399" w:type="dxa"/>
            <w:vAlign w:val="center"/>
          </w:tcPr>
          <w:p w14:paraId="6B1E032A" w14:textId="77777777" w:rsidR="004B250B" w:rsidRDefault="00000000">
            <w:pPr>
              <w:keepLines/>
              <w:spacing w:after="0"/>
            </w:pPr>
            <w:r>
              <w:rPr>
                <w:sz w:val="15"/>
              </w:rPr>
              <w:t>Healthy ovulatory</w:t>
            </w:r>
          </w:p>
        </w:tc>
        <w:tc>
          <w:tcPr>
            <w:tcW w:w="1399" w:type="dxa"/>
            <w:vAlign w:val="center"/>
          </w:tcPr>
          <w:p w14:paraId="796C4CF4" w14:textId="77777777" w:rsidR="004B250B" w:rsidRDefault="00000000">
            <w:pPr>
              <w:keepLines/>
              <w:spacing w:after="0"/>
            </w:pPr>
            <w:r>
              <w:rPr>
                <w:sz w:val="15"/>
              </w:rPr>
              <w:t>30</w:t>
            </w:r>
          </w:p>
        </w:tc>
        <w:tc>
          <w:tcPr>
            <w:tcW w:w="1399" w:type="dxa"/>
            <w:vAlign w:val="center"/>
          </w:tcPr>
          <w:p w14:paraId="4AD11FA8" w14:textId="77777777" w:rsidR="004B250B" w:rsidRDefault="00000000">
            <w:pPr>
              <w:keepLines/>
              <w:spacing w:after="0"/>
            </w:pPr>
            <w:r>
              <w:rPr>
                <w:sz w:val="15"/>
              </w:rPr>
              <w:t>Windowed Herzog thresholds</w:t>
            </w:r>
          </w:p>
        </w:tc>
        <w:tc>
          <w:tcPr>
            <w:tcW w:w="1399" w:type="dxa"/>
            <w:vAlign w:val="center"/>
          </w:tcPr>
          <w:p w14:paraId="53B842FA" w14:textId="77777777" w:rsidR="004B250B" w:rsidRDefault="00000000">
            <w:pPr>
              <w:keepLines/>
              <w:spacing w:after="0"/>
            </w:pPr>
            <w:r>
              <w:rPr>
                <w:sz w:val="15"/>
              </w:rPr>
              <w:t>37.5%</w:t>
            </w:r>
          </w:p>
        </w:tc>
        <w:tc>
          <w:tcPr>
            <w:tcW w:w="1399" w:type="dxa"/>
            <w:vAlign w:val="center"/>
          </w:tcPr>
          <w:p w14:paraId="5EEE4D94" w14:textId="77777777" w:rsidR="004B250B" w:rsidRDefault="00000000">
            <w:pPr>
              <w:keepLines/>
              <w:spacing w:after="0"/>
            </w:pPr>
            <w:r>
              <w:rPr>
                <w:sz w:val="15"/>
              </w:rPr>
              <w:t>20.0%–53.3%</w:t>
            </w:r>
          </w:p>
        </w:tc>
        <w:tc>
          <w:tcPr>
            <w:tcW w:w="1399" w:type="dxa"/>
            <w:vAlign w:val="center"/>
          </w:tcPr>
          <w:p w14:paraId="77232205" w14:textId="77777777" w:rsidR="004B250B" w:rsidRDefault="00000000">
            <w:pPr>
              <w:keepLines/>
              <w:spacing w:after="0"/>
            </w:pPr>
            <w:r>
              <w:rPr>
                <w:sz w:val="15"/>
              </w:rPr>
              <w:t>45.4%</w:t>
            </w:r>
          </w:p>
        </w:tc>
        <w:tc>
          <w:tcPr>
            <w:tcW w:w="1399" w:type="dxa"/>
            <w:vAlign w:val="center"/>
          </w:tcPr>
          <w:p w14:paraId="19DD124E" w14:textId="77777777" w:rsidR="004B250B" w:rsidRDefault="00000000">
            <w:pPr>
              <w:keepLines/>
              <w:spacing w:after="0"/>
            </w:pPr>
            <w:r>
              <w:rPr>
                <w:sz w:val="15"/>
              </w:rPr>
              <w:t>20.1%</w:t>
            </w:r>
          </w:p>
        </w:tc>
      </w:tr>
      <w:tr w:rsidR="004B250B" w14:paraId="69C6885C" w14:textId="77777777">
        <w:trPr>
          <w:jc w:val="center"/>
        </w:trPr>
        <w:tc>
          <w:tcPr>
            <w:tcW w:w="1399" w:type="dxa"/>
            <w:vAlign w:val="center"/>
          </w:tcPr>
          <w:p w14:paraId="050A1111" w14:textId="77777777" w:rsidR="004B250B" w:rsidRDefault="004B250B">
            <w:pPr>
              <w:keepLines/>
              <w:spacing w:after="0"/>
            </w:pPr>
          </w:p>
        </w:tc>
        <w:tc>
          <w:tcPr>
            <w:tcW w:w="1399" w:type="dxa"/>
            <w:vAlign w:val="center"/>
          </w:tcPr>
          <w:p w14:paraId="6E3D60CF" w14:textId="77777777" w:rsidR="004B250B" w:rsidRDefault="00000000">
            <w:pPr>
              <w:keepLines/>
              <w:spacing w:after="0"/>
            </w:pPr>
            <w:r>
              <w:rPr>
                <w:sz w:val="15"/>
              </w:rPr>
              <w:t>30</w:t>
            </w:r>
          </w:p>
        </w:tc>
        <w:tc>
          <w:tcPr>
            <w:tcW w:w="1399" w:type="dxa"/>
            <w:vAlign w:val="center"/>
          </w:tcPr>
          <w:p w14:paraId="43B7E8C6" w14:textId="77777777" w:rsidR="004B250B" w:rsidRDefault="00000000">
            <w:pPr>
              <w:keepLines/>
              <w:spacing w:after="0"/>
            </w:pPr>
            <w:r>
              <w:rPr>
                <w:sz w:val="15"/>
              </w:rPr>
              <w:t>Windowed Herzog C1/C2 union</w:t>
            </w:r>
          </w:p>
        </w:tc>
        <w:tc>
          <w:tcPr>
            <w:tcW w:w="1399" w:type="dxa"/>
            <w:vAlign w:val="center"/>
          </w:tcPr>
          <w:p w14:paraId="0169CC46" w14:textId="77777777" w:rsidR="004B250B" w:rsidRDefault="00000000">
            <w:pPr>
              <w:keepLines/>
              <w:spacing w:after="0"/>
            </w:pPr>
            <w:r>
              <w:rPr>
                <w:sz w:val="15"/>
              </w:rPr>
              <w:t>37.5%</w:t>
            </w:r>
          </w:p>
        </w:tc>
        <w:tc>
          <w:tcPr>
            <w:tcW w:w="1399" w:type="dxa"/>
            <w:vAlign w:val="center"/>
          </w:tcPr>
          <w:p w14:paraId="52CE52D3" w14:textId="77777777" w:rsidR="004B250B" w:rsidRDefault="00000000">
            <w:pPr>
              <w:keepLines/>
              <w:spacing w:after="0"/>
            </w:pPr>
            <w:r>
              <w:rPr>
                <w:sz w:val="15"/>
              </w:rPr>
              <w:t>20.0%–53.3%</w:t>
            </w:r>
          </w:p>
        </w:tc>
        <w:tc>
          <w:tcPr>
            <w:tcW w:w="1399" w:type="dxa"/>
            <w:vAlign w:val="center"/>
          </w:tcPr>
          <w:p w14:paraId="504C47BD" w14:textId="77777777" w:rsidR="004B250B" w:rsidRDefault="00000000">
            <w:pPr>
              <w:keepLines/>
              <w:spacing w:after="0"/>
            </w:pPr>
            <w:r>
              <w:rPr>
                <w:sz w:val="15"/>
              </w:rPr>
              <w:t>45.4%</w:t>
            </w:r>
          </w:p>
        </w:tc>
        <w:tc>
          <w:tcPr>
            <w:tcW w:w="1399" w:type="dxa"/>
            <w:vAlign w:val="center"/>
          </w:tcPr>
          <w:p w14:paraId="1968EFDC" w14:textId="77777777" w:rsidR="004B250B" w:rsidRDefault="00000000">
            <w:pPr>
              <w:keepLines/>
              <w:spacing w:after="0"/>
            </w:pPr>
            <w:r>
              <w:rPr>
                <w:sz w:val="15"/>
              </w:rPr>
              <w:t>20.1%</w:t>
            </w:r>
          </w:p>
        </w:tc>
      </w:tr>
      <w:tr w:rsidR="004B250B" w14:paraId="12D40DC6" w14:textId="77777777">
        <w:trPr>
          <w:jc w:val="center"/>
        </w:trPr>
        <w:tc>
          <w:tcPr>
            <w:tcW w:w="1399" w:type="dxa"/>
            <w:vAlign w:val="center"/>
          </w:tcPr>
          <w:p w14:paraId="006A2F88" w14:textId="77777777" w:rsidR="004B250B" w:rsidRDefault="004B250B">
            <w:pPr>
              <w:keepLines/>
              <w:spacing w:after="0"/>
            </w:pPr>
          </w:p>
        </w:tc>
        <w:tc>
          <w:tcPr>
            <w:tcW w:w="1399" w:type="dxa"/>
            <w:vAlign w:val="center"/>
          </w:tcPr>
          <w:p w14:paraId="04AE1C6C" w14:textId="77777777" w:rsidR="004B250B" w:rsidRDefault="00000000">
            <w:pPr>
              <w:keepLines/>
              <w:spacing w:after="0"/>
            </w:pPr>
            <w:r>
              <w:rPr>
                <w:sz w:val="15"/>
              </w:rPr>
              <w:t>50</w:t>
            </w:r>
          </w:p>
        </w:tc>
        <w:tc>
          <w:tcPr>
            <w:tcW w:w="1399" w:type="dxa"/>
            <w:vAlign w:val="center"/>
          </w:tcPr>
          <w:p w14:paraId="26850E90" w14:textId="77777777" w:rsidR="004B250B" w:rsidRDefault="00000000">
            <w:pPr>
              <w:keepLines/>
              <w:spacing w:after="0"/>
            </w:pPr>
            <w:r>
              <w:rPr>
                <w:sz w:val="15"/>
              </w:rPr>
              <w:t>Windowed Herzog thresholds</w:t>
            </w:r>
          </w:p>
        </w:tc>
        <w:tc>
          <w:tcPr>
            <w:tcW w:w="1399" w:type="dxa"/>
            <w:vAlign w:val="center"/>
          </w:tcPr>
          <w:p w14:paraId="598C798C" w14:textId="77777777" w:rsidR="004B250B" w:rsidRDefault="00000000">
            <w:pPr>
              <w:keepLines/>
              <w:spacing w:after="0"/>
            </w:pPr>
            <w:r>
              <w:rPr>
                <w:sz w:val="15"/>
              </w:rPr>
              <w:t>37.3%</w:t>
            </w:r>
          </w:p>
        </w:tc>
        <w:tc>
          <w:tcPr>
            <w:tcW w:w="1399" w:type="dxa"/>
            <w:vAlign w:val="center"/>
          </w:tcPr>
          <w:p w14:paraId="7D1FE023" w14:textId="77777777" w:rsidR="004B250B" w:rsidRDefault="00000000">
            <w:pPr>
              <w:keepLines/>
              <w:spacing w:after="0"/>
            </w:pPr>
            <w:r>
              <w:rPr>
                <w:sz w:val="15"/>
              </w:rPr>
              <w:t>24.0%–50.0%</w:t>
            </w:r>
          </w:p>
        </w:tc>
        <w:tc>
          <w:tcPr>
            <w:tcW w:w="1399" w:type="dxa"/>
            <w:vAlign w:val="center"/>
          </w:tcPr>
          <w:p w14:paraId="4AE69301" w14:textId="77777777" w:rsidR="004B250B" w:rsidRDefault="00000000">
            <w:pPr>
              <w:keepLines/>
              <w:spacing w:after="0"/>
            </w:pPr>
            <w:r>
              <w:rPr>
                <w:sz w:val="15"/>
              </w:rPr>
              <w:t>39.7%</w:t>
            </w:r>
          </w:p>
        </w:tc>
        <w:tc>
          <w:tcPr>
            <w:tcW w:w="1399" w:type="dxa"/>
            <w:vAlign w:val="center"/>
          </w:tcPr>
          <w:p w14:paraId="0AA2639C" w14:textId="77777777" w:rsidR="004B250B" w:rsidRDefault="00000000">
            <w:pPr>
              <w:keepLines/>
              <w:spacing w:after="0"/>
            </w:pPr>
            <w:r>
              <w:rPr>
                <w:sz w:val="15"/>
              </w:rPr>
              <w:t>13.0%</w:t>
            </w:r>
          </w:p>
        </w:tc>
      </w:tr>
      <w:tr w:rsidR="004B250B" w14:paraId="7DB7423E" w14:textId="77777777">
        <w:trPr>
          <w:jc w:val="center"/>
        </w:trPr>
        <w:tc>
          <w:tcPr>
            <w:tcW w:w="1399" w:type="dxa"/>
            <w:vAlign w:val="center"/>
          </w:tcPr>
          <w:p w14:paraId="6C211DF3" w14:textId="77777777" w:rsidR="004B250B" w:rsidRDefault="004B250B">
            <w:pPr>
              <w:keepLines/>
              <w:spacing w:after="0"/>
            </w:pPr>
          </w:p>
        </w:tc>
        <w:tc>
          <w:tcPr>
            <w:tcW w:w="1399" w:type="dxa"/>
            <w:vAlign w:val="center"/>
          </w:tcPr>
          <w:p w14:paraId="4D86D5E2" w14:textId="77777777" w:rsidR="004B250B" w:rsidRDefault="00000000">
            <w:pPr>
              <w:keepLines/>
              <w:spacing w:after="0"/>
            </w:pPr>
            <w:r>
              <w:rPr>
                <w:sz w:val="15"/>
              </w:rPr>
              <w:t>50</w:t>
            </w:r>
          </w:p>
        </w:tc>
        <w:tc>
          <w:tcPr>
            <w:tcW w:w="1399" w:type="dxa"/>
            <w:vAlign w:val="center"/>
          </w:tcPr>
          <w:p w14:paraId="48C81A70" w14:textId="77777777" w:rsidR="004B250B" w:rsidRDefault="00000000">
            <w:pPr>
              <w:keepLines/>
              <w:spacing w:after="0"/>
            </w:pPr>
            <w:r>
              <w:rPr>
                <w:sz w:val="15"/>
              </w:rPr>
              <w:t>Windowed Herzog C1/C2 union</w:t>
            </w:r>
          </w:p>
        </w:tc>
        <w:tc>
          <w:tcPr>
            <w:tcW w:w="1399" w:type="dxa"/>
            <w:vAlign w:val="center"/>
          </w:tcPr>
          <w:p w14:paraId="3FAB24A3" w14:textId="77777777" w:rsidR="004B250B" w:rsidRDefault="00000000">
            <w:pPr>
              <w:keepLines/>
              <w:spacing w:after="0"/>
            </w:pPr>
            <w:r>
              <w:rPr>
                <w:sz w:val="15"/>
              </w:rPr>
              <w:t>37.3%</w:t>
            </w:r>
          </w:p>
        </w:tc>
        <w:tc>
          <w:tcPr>
            <w:tcW w:w="1399" w:type="dxa"/>
            <w:vAlign w:val="center"/>
          </w:tcPr>
          <w:p w14:paraId="23A954E9" w14:textId="77777777" w:rsidR="004B250B" w:rsidRDefault="00000000">
            <w:pPr>
              <w:keepLines/>
              <w:spacing w:after="0"/>
            </w:pPr>
            <w:r>
              <w:rPr>
                <w:sz w:val="15"/>
              </w:rPr>
              <w:t>24.0%–50.0%</w:t>
            </w:r>
          </w:p>
        </w:tc>
        <w:tc>
          <w:tcPr>
            <w:tcW w:w="1399" w:type="dxa"/>
            <w:vAlign w:val="center"/>
          </w:tcPr>
          <w:p w14:paraId="322B445D" w14:textId="77777777" w:rsidR="004B250B" w:rsidRDefault="00000000">
            <w:pPr>
              <w:keepLines/>
              <w:spacing w:after="0"/>
            </w:pPr>
            <w:r>
              <w:rPr>
                <w:sz w:val="15"/>
              </w:rPr>
              <w:t>39.7%</w:t>
            </w:r>
          </w:p>
        </w:tc>
        <w:tc>
          <w:tcPr>
            <w:tcW w:w="1399" w:type="dxa"/>
            <w:vAlign w:val="center"/>
          </w:tcPr>
          <w:p w14:paraId="40EA75D5" w14:textId="77777777" w:rsidR="004B250B" w:rsidRDefault="00000000">
            <w:pPr>
              <w:keepLines/>
              <w:spacing w:after="0"/>
            </w:pPr>
            <w:r>
              <w:rPr>
                <w:sz w:val="15"/>
              </w:rPr>
              <w:t>13.0%</w:t>
            </w:r>
          </w:p>
        </w:tc>
      </w:tr>
      <w:tr w:rsidR="004B250B" w14:paraId="03E08C72" w14:textId="77777777">
        <w:trPr>
          <w:jc w:val="center"/>
        </w:trPr>
        <w:tc>
          <w:tcPr>
            <w:tcW w:w="1399" w:type="dxa"/>
            <w:vAlign w:val="center"/>
          </w:tcPr>
          <w:p w14:paraId="7A754ADE" w14:textId="77777777" w:rsidR="004B250B" w:rsidRDefault="004B250B">
            <w:pPr>
              <w:keepLines/>
              <w:spacing w:after="0"/>
            </w:pPr>
          </w:p>
        </w:tc>
        <w:tc>
          <w:tcPr>
            <w:tcW w:w="1399" w:type="dxa"/>
            <w:vAlign w:val="center"/>
          </w:tcPr>
          <w:p w14:paraId="00C61AB7" w14:textId="77777777" w:rsidR="004B250B" w:rsidRDefault="00000000">
            <w:pPr>
              <w:keepLines/>
              <w:spacing w:after="0"/>
            </w:pPr>
            <w:r>
              <w:rPr>
                <w:sz w:val="15"/>
              </w:rPr>
              <w:t>100</w:t>
            </w:r>
          </w:p>
        </w:tc>
        <w:tc>
          <w:tcPr>
            <w:tcW w:w="1399" w:type="dxa"/>
            <w:vAlign w:val="center"/>
          </w:tcPr>
          <w:p w14:paraId="4AFB9FE4" w14:textId="77777777" w:rsidR="004B250B" w:rsidRDefault="00000000">
            <w:pPr>
              <w:keepLines/>
              <w:spacing w:after="0"/>
            </w:pPr>
            <w:r>
              <w:rPr>
                <w:sz w:val="15"/>
              </w:rPr>
              <w:t>Windowed Herzog thresholds</w:t>
            </w:r>
          </w:p>
        </w:tc>
        <w:tc>
          <w:tcPr>
            <w:tcW w:w="1399" w:type="dxa"/>
            <w:vAlign w:val="center"/>
          </w:tcPr>
          <w:p w14:paraId="3231DDA0" w14:textId="77777777" w:rsidR="004B250B" w:rsidRDefault="00000000">
            <w:pPr>
              <w:keepLines/>
              <w:spacing w:after="0"/>
            </w:pPr>
            <w:r>
              <w:rPr>
                <w:sz w:val="15"/>
              </w:rPr>
              <w:t>37.5%</w:t>
            </w:r>
          </w:p>
        </w:tc>
        <w:tc>
          <w:tcPr>
            <w:tcW w:w="1399" w:type="dxa"/>
            <w:vAlign w:val="center"/>
          </w:tcPr>
          <w:p w14:paraId="3E10025D" w14:textId="77777777" w:rsidR="004B250B" w:rsidRDefault="00000000">
            <w:pPr>
              <w:keepLines/>
              <w:spacing w:after="0"/>
            </w:pPr>
            <w:r>
              <w:rPr>
                <w:sz w:val="15"/>
              </w:rPr>
              <w:t>28.0%–47.0%</w:t>
            </w:r>
          </w:p>
        </w:tc>
        <w:tc>
          <w:tcPr>
            <w:tcW w:w="1399" w:type="dxa"/>
            <w:vAlign w:val="center"/>
          </w:tcPr>
          <w:p w14:paraId="07378F51" w14:textId="77777777" w:rsidR="004B250B" w:rsidRDefault="00000000">
            <w:pPr>
              <w:keepLines/>
              <w:spacing w:after="0"/>
            </w:pPr>
            <w:r>
              <w:rPr>
                <w:sz w:val="15"/>
              </w:rPr>
              <w:t>33.8%</w:t>
            </w:r>
          </w:p>
        </w:tc>
        <w:tc>
          <w:tcPr>
            <w:tcW w:w="1399" w:type="dxa"/>
            <w:vAlign w:val="center"/>
          </w:tcPr>
          <w:p w14:paraId="7981CE9E" w14:textId="77777777" w:rsidR="004B250B" w:rsidRDefault="00000000">
            <w:pPr>
              <w:keepLines/>
              <w:spacing w:after="0"/>
            </w:pPr>
            <w:r>
              <w:rPr>
                <w:sz w:val="15"/>
              </w:rPr>
              <w:t>7.1%</w:t>
            </w:r>
          </w:p>
        </w:tc>
      </w:tr>
      <w:tr w:rsidR="004B250B" w14:paraId="39B31158" w14:textId="77777777">
        <w:trPr>
          <w:jc w:val="center"/>
        </w:trPr>
        <w:tc>
          <w:tcPr>
            <w:tcW w:w="1399" w:type="dxa"/>
            <w:vAlign w:val="center"/>
          </w:tcPr>
          <w:p w14:paraId="5878AD6E" w14:textId="77777777" w:rsidR="004B250B" w:rsidRDefault="004B250B">
            <w:pPr>
              <w:keepLines/>
              <w:spacing w:after="0"/>
            </w:pPr>
          </w:p>
        </w:tc>
        <w:tc>
          <w:tcPr>
            <w:tcW w:w="1399" w:type="dxa"/>
            <w:vAlign w:val="center"/>
          </w:tcPr>
          <w:p w14:paraId="28A241C2" w14:textId="77777777" w:rsidR="004B250B" w:rsidRDefault="00000000">
            <w:pPr>
              <w:keepLines/>
              <w:spacing w:after="0"/>
            </w:pPr>
            <w:r>
              <w:rPr>
                <w:sz w:val="15"/>
              </w:rPr>
              <w:t>100</w:t>
            </w:r>
          </w:p>
        </w:tc>
        <w:tc>
          <w:tcPr>
            <w:tcW w:w="1399" w:type="dxa"/>
            <w:vAlign w:val="center"/>
          </w:tcPr>
          <w:p w14:paraId="73C17F6C" w14:textId="77777777" w:rsidR="004B250B" w:rsidRDefault="00000000">
            <w:pPr>
              <w:keepLines/>
              <w:spacing w:after="0"/>
            </w:pPr>
            <w:r>
              <w:rPr>
                <w:sz w:val="15"/>
              </w:rPr>
              <w:t>Windowed Herzog C1/C2 union</w:t>
            </w:r>
          </w:p>
        </w:tc>
        <w:tc>
          <w:tcPr>
            <w:tcW w:w="1399" w:type="dxa"/>
            <w:vAlign w:val="center"/>
          </w:tcPr>
          <w:p w14:paraId="61424B2B" w14:textId="77777777" w:rsidR="004B250B" w:rsidRDefault="00000000">
            <w:pPr>
              <w:keepLines/>
              <w:spacing w:after="0"/>
            </w:pPr>
            <w:r>
              <w:rPr>
                <w:sz w:val="15"/>
              </w:rPr>
              <w:t>37.5%</w:t>
            </w:r>
          </w:p>
        </w:tc>
        <w:tc>
          <w:tcPr>
            <w:tcW w:w="1399" w:type="dxa"/>
            <w:vAlign w:val="center"/>
          </w:tcPr>
          <w:p w14:paraId="474A90E7" w14:textId="77777777" w:rsidR="004B250B" w:rsidRDefault="00000000">
            <w:pPr>
              <w:keepLines/>
              <w:spacing w:after="0"/>
            </w:pPr>
            <w:r>
              <w:rPr>
                <w:sz w:val="15"/>
              </w:rPr>
              <w:t>28.0%–47.0%</w:t>
            </w:r>
          </w:p>
        </w:tc>
        <w:tc>
          <w:tcPr>
            <w:tcW w:w="1399" w:type="dxa"/>
            <w:vAlign w:val="center"/>
          </w:tcPr>
          <w:p w14:paraId="12A5D76C" w14:textId="77777777" w:rsidR="004B250B" w:rsidRDefault="00000000">
            <w:pPr>
              <w:keepLines/>
              <w:spacing w:after="0"/>
            </w:pPr>
            <w:r>
              <w:rPr>
                <w:sz w:val="15"/>
              </w:rPr>
              <w:t>33.8%</w:t>
            </w:r>
          </w:p>
        </w:tc>
        <w:tc>
          <w:tcPr>
            <w:tcW w:w="1399" w:type="dxa"/>
            <w:vAlign w:val="center"/>
          </w:tcPr>
          <w:p w14:paraId="7F45F41E" w14:textId="77777777" w:rsidR="004B250B" w:rsidRDefault="00000000">
            <w:pPr>
              <w:keepLines/>
              <w:spacing w:after="0"/>
            </w:pPr>
            <w:r>
              <w:rPr>
                <w:sz w:val="15"/>
              </w:rPr>
              <w:t>7.1%</w:t>
            </w:r>
          </w:p>
        </w:tc>
      </w:tr>
      <w:tr w:rsidR="004B250B" w14:paraId="60A2FC4E" w14:textId="77777777">
        <w:trPr>
          <w:jc w:val="center"/>
        </w:trPr>
        <w:tc>
          <w:tcPr>
            <w:tcW w:w="1399" w:type="dxa"/>
            <w:vAlign w:val="center"/>
          </w:tcPr>
          <w:p w14:paraId="25AD2CC5" w14:textId="77777777" w:rsidR="004B250B" w:rsidRDefault="00000000">
            <w:pPr>
              <w:keepLines/>
              <w:spacing w:after="0"/>
            </w:pPr>
            <w:r>
              <w:rPr>
                <w:sz w:val="15"/>
              </w:rPr>
              <w:t>Heterogeneous menstruating-age</w:t>
            </w:r>
          </w:p>
        </w:tc>
        <w:tc>
          <w:tcPr>
            <w:tcW w:w="1399" w:type="dxa"/>
            <w:vAlign w:val="center"/>
          </w:tcPr>
          <w:p w14:paraId="7F9B4632" w14:textId="77777777" w:rsidR="004B250B" w:rsidRDefault="00000000">
            <w:pPr>
              <w:keepLines/>
              <w:spacing w:after="0"/>
            </w:pPr>
            <w:r>
              <w:rPr>
                <w:sz w:val="15"/>
              </w:rPr>
              <w:t>30</w:t>
            </w:r>
          </w:p>
        </w:tc>
        <w:tc>
          <w:tcPr>
            <w:tcW w:w="1399" w:type="dxa"/>
            <w:vAlign w:val="center"/>
          </w:tcPr>
          <w:p w14:paraId="02E0FB0E" w14:textId="77777777" w:rsidR="004B250B" w:rsidRDefault="00000000">
            <w:pPr>
              <w:keepLines/>
              <w:spacing w:after="0"/>
            </w:pPr>
            <w:r>
              <w:rPr>
                <w:sz w:val="15"/>
              </w:rPr>
              <w:t>Windowed Herzog thresholds</w:t>
            </w:r>
          </w:p>
        </w:tc>
        <w:tc>
          <w:tcPr>
            <w:tcW w:w="1399" w:type="dxa"/>
            <w:vAlign w:val="center"/>
          </w:tcPr>
          <w:p w14:paraId="0C0C0A8D" w14:textId="77777777" w:rsidR="004B250B" w:rsidRDefault="00000000">
            <w:pPr>
              <w:keepLines/>
              <w:spacing w:after="0"/>
            </w:pPr>
            <w:r>
              <w:rPr>
                <w:sz w:val="15"/>
              </w:rPr>
              <w:t>46.3%</w:t>
            </w:r>
          </w:p>
        </w:tc>
        <w:tc>
          <w:tcPr>
            <w:tcW w:w="1399" w:type="dxa"/>
            <w:vAlign w:val="center"/>
          </w:tcPr>
          <w:p w14:paraId="44FD7B1F" w14:textId="77777777" w:rsidR="004B250B" w:rsidRDefault="00000000">
            <w:pPr>
              <w:keepLines/>
              <w:spacing w:after="0"/>
            </w:pPr>
            <w:r>
              <w:rPr>
                <w:sz w:val="15"/>
              </w:rPr>
              <w:t>30.0%–63.3%</w:t>
            </w:r>
          </w:p>
        </w:tc>
        <w:tc>
          <w:tcPr>
            <w:tcW w:w="1399" w:type="dxa"/>
            <w:vAlign w:val="center"/>
          </w:tcPr>
          <w:p w14:paraId="4B693210" w14:textId="77777777" w:rsidR="004B250B" w:rsidRDefault="00000000">
            <w:pPr>
              <w:keepLines/>
              <w:spacing w:after="0"/>
            </w:pPr>
            <w:r>
              <w:rPr>
                <w:sz w:val="15"/>
              </w:rPr>
              <w:t>80.5%</w:t>
            </w:r>
          </w:p>
        </w:tc>
        <w:tc>
          <w:tcPr>
            <w:tcW w:w="1399" w:type="dxa"/>
            <w:vAlign w:val="center"/>
          </w:tcPr>
          <w:p w14:paraId="1DB26A41" w14:textId="77777777" w:rsidR="004B250B" w:rsidRDefault="00000000">
            <w:pPr>
              <w:keepLines/>
              <w:spacing w:after="0"/>
            </w:pPr>
            <w:r>
              <w:rPr>
                <w:sz w:val="15"/>
              </w:rPr>
              <w:t>55.9%</w:t>
            </w:r>
          </w:p>
        </w:tc>
      </w:tr>
      <w:tr w:rsidR="004B250B" w14:paraId="32427706" w14:textId="77777777">
        <w:trPr>
          <w:jc w:val="center"/>
        </w:trPr>
        <w:tc>
          <w:tcPr>
            <w:tcW w:w="1399" w:type="dxa"/>
            <w:vAlign w:val="center"/>
          </w:tcPr>
          <w:p w14:paraId="67B61B1E" w14:textId="77777777" w:rsidR="004B250B" w:rsidRDefault="004B250B">
            <w:pPr>
              <w:keepLines/>
              <w:spacing w:after="0"/>
            </w:pPr>
          </w:p>
        </w:tc>
        <w:tc>
          <w:tcPr>
            <w:tcW w:w="1399" w:type="dxa"/>
            <w:vAlign w:val="center"/>
          </w:tcPr>
          <w:p w14:paraId="503B457C" w14:textId="77777777" w:rsidR="004B250B" w:rsidRDefault="00000000">
            <w:pPr>
              <w:keepLines/>
              <w:spacing w:after="0"/>
            </w:pPr>
            <w:r>
              <w:rPr>
                <w:sz w:val="15"/>
              </w:rPr>
              <w:t>30</w:t>
            </w:r>
          </w:p>
        </w:tc>
        <w:tc>
          <w:tcPr>
            <w:tcW w:w="1399" w:type="dxa"/>
            <w:vAlign w:val="center"/>
          </w:tcPr>
          <w:p w14:paraId="0CE57BFE" w14:textId="77777777" w:rsidR="004B250B" w:rsidRDefault="00000000">
            <w:pPr>
              <w:keepLines/>
              <w:spacing w:after="0"/>
            </w:pPr>
            <w:r>
              <w:rPr>
                <w:sz w:val="15"/>
              </w:rPr>
              <w:t>Windowed Herzog C1/C2 union</w:t>
            </w:r>
          </w:p>
        </w:tc>
        <w:tc>
          <w:tcPr>
            <w:tcW w:w="1399" w:type="dxa"/>
            <w:vAlign w:val="center"/>
          </w:tcPr>
          <w:p w14:paraId="5AD27FDC" w14:textId="77777777" w:rsidR="004B250B" w:rsidRDefault="00000000">
            <w:pPr>
              <w:keepLines/>
              <w:spacing w:after="0"/>
            </w:pPr>
            <w:r>
              <w:rPr>
                <w:sz w:val="15"/>
              </w:rPr>
              <w:t>38.2%</w:t>
            </w:r>
          </w:p>
        </w:tc>
        <w:tc>
          <w:tcPr>
            <w:tcW w:w="1399" w:type="dxa"/>
            <w:vAlign w:val="center"/>
          </w:tcPr>
          <w:p w14:paraId="58800ACA" w14:textId="77777777" w:rsidR="004B250B" w:rsidRDefault="00000000">
            <w:pPr>
              <w:keepLines/>
              <w:spacing w:after="0"/>
            </w:pPr>
            <w:r>
              <w:rPr>
                <w:sz w:val="15"/>
              </w:rPr>
              <w:t>20.0%–56.7%</w:t>
            </w:r>
          </w:p>
        </w:tc>
        <w:tc>
          <w:tcPr>
            <w:tcW w:w="1399" w:type="dxa"/>
            <w:vAlign w:val="center"/>
          </w:tcPr>
          <w:p w14:paraId="432AC87D" w14:textId="77777777" w:rsidR="004B250B" w:rsidRDefault="00000000">
            <w:pPr>
              <w:keepLines/>
              <w:spacing w:after="0"/>
            </w:pPr>
            <w:r>
              <w:rPr>
                <w:sz w:val="15"/>
              </w:rPr>
              <w:t>48.9%</w:t>
            </w:r>
          </w:p>
        </w:tc>
        <w:tc>
          <w:tcPr>
            <w:tcW w:w="1399" w:type="dxa"/>
            <w:vAlign w:val="center"/>
          </w:tcPr>
          <w:p w14:paraId="5B5A4CD5" w14:textId="77777777" w:rsidR="004B250B" w:rsidRDefault="00000000">
            <w:pPr>
              <w:keepLines/>
              <w:spacing w:after="0"/>
            </w:pPr>
            <w:r>
              <w:rPr>
                <w:sz w:val="15"/>
              </w:rPr>
              <w:t>22.4%</w:t>
            </w:r>
          </w:p>
        </w:tc>
      </w:tr>
      <w:tr w:rsidR="004B250B" w14:paraId="51E25FCF" w14:textId="77777777">
        <w:trPr>
          <w:jc w:val="center"/>
        </w:trPr>
        <w:tc>
          <w:tcPr>
            <w:tcW w:w="1399" w:type="dxa"/>
            <w:vAlign w:val="center"/>
          </w:tcPr>
          <w:p w14:paraId="3ADCED62" w14:textId="77777777" w:rsidR="004B250B" w:rsidRDefault="004B250B">
            <w:pPr>
              <w:keepLines/>
              <w:spacing w:after="0"/>
            </w:pPr>
          </w:p>
        </w:tc>
        <w:tc>
          <w:tcPr>
            <w:tcW w:w="1399" w:type="dxa"/>
            <w:vAlign w:val="center"/>
          </w:tcPr>
          <w:p w14:paraId="488B9806" w14:textId="77777777" w:rsidR="004B250B" w:rsidRDefault="00000000">
            <w:pPr>
              <w:keepLines/>
              <w:spacing w:after="0"/>
            </w:pPr>
            <w:r>
              <w:rPr>
                <w:sz w:val="15"/>
              </w:rPr>
              <w:t>50</w:t>
            </w:r>
          </w:p>
        </w:tc>
        <w:tc>
          <w:tcPr>
            <w:tcW w:w="1399" w:type="dxa"/>
            <w:vAlign w:val="center"/>
          </w:tcPr>
          <w:p w14:paraId="2E540CB3" w14:textId="77777777" w:rsidR="004B250B" w:rsidRDefault="00000000">
            <w:pPr>
              <w:keepLines/>
              <w:spacing w:after="0"/>
            </w:pPr>
            <w:r>
              <w:rPr>
                <w:sz w:val="15"/>
              </w:rPr>
              <w:t>Windowed Herzog thresholds</w:t>
            </w:r>
          </w:p>
        </w:tc>
        <w:tc>
          <w:tcPr>
            <w:tcW w:w="1399" w:type="dxa"/>
            <w:vAlign w:val="center"/>
          </w:tcPr>
          <w:p w14:paraId="697805CB" w14:textId="77777777" w:rsidR="004B250B" w:rsidRDefault="00000000">
            <w:pPr>
              <w:keepLines/>
              <w:spacing w:after="0"/>
            </w:pPr>
            <w:r>
              <w:rPr>
                <w:sz w:val="15"/>
              </w:rPr>
              <w:t>46.1%</w:t>
            </w:r>
          </w:p>
        </w:tc>
        <w:tc>
          <w:tcPr>
            <w:tcW w:w="1399" w:type="dxa"/>
            <w:vAlign w:val="center"/>
          </w:tcPr>
          <w:p w14:paraId="3C8323A0" w14:textId="77777777" w:rsidR="004B250B" w:rsidRDefault="00000000">
            <w:pPr>
              <w:keepLines/>
              <w:spacing w:after="0"/>
            </w:pPr>
            <w:r>
              <w:rPr>
                <w:sz w:val="15"/>
              </w:rPr>
              <w:t>32.0%–60.0%</w:t>
            </w:r>
          </w:p>
        </w:tc>
        <w:tc>
          <w:tcPr>
            <w:tcW w:w="1399" w:type="dxa"/>
            <w:vAlign w:val="center"/>
          </w:tcPr>
          <w:p w14:paraId="0DFA73AA" w14:textId="77777777" w:rsidR="004B250B" w:rsidRDefault="00000000">
            <w:pPr>
              <w:keepLines/>
              <w:spacing w:after="0"/>
            </w:pPr>
            <w:r>
              <w:rPr>
                <w:sz w:val="15"/>
              </w:rPr>
              <w:t>84.5%</w:t>
            </w:r>
          </w:p>
        </w:tc>
        <w:tc>
          <w:tcPr>
            <w:tcW w:w="1399" w:type="dxa"/>
            <w:vAlign w:val="center"/>
          </w:tcPr>
          <w:p w14:paraId="5C33FF9F" w14:textId="77777777" w:rsidR="004B250B" w:rsidRDefault="00000000">
            <w:pPr>
              <w:keepLines/>
              <w:spacing w:after="0"/>
            </w:pPr>
            <w:r>
              <w:rPr>
                <w:sz w:val="15"/>
              </w:rPr>
              <w:t>55.9%</w:t>
            </w:r>
          </w:p>
        </w:tc>
      </w:tr>
      <w:tr w:rsidR="004B250B" w14:paraId="1D069AAC" w14:textId="77777777">
        <w:trPr>
          <w:jc w:val="center"/>
        </w:trPr>
        <w:tc>
          <w:tcPr>
            <w:tcW w:w="1399" w:type="dxa"/>
            <w:vAlign w:val="center"/>
          </w:tcPr>
          <w:p w14:paraId="74827B5C" w14:textId="77777777" w:rsidR="004B250B" w:rsidRDefault="004B250B">
            <w:pPr>
              <w:keepLines/>
              <w:spacing w:after="0"/>
            </w:pPr>
          </w:p>
        </w:tc>
        <w:tc>
          <w:tcPr>
            <w:tcW w:w="1399" w:type="dxa"/>
            <w:vAlign w:val="center"/>
          </w:tcPr>
          <w:p w14:paraId="4CC37F98" w14:textId="77777777" w:rsidR="004B250B" w:rsidRDefault="00000000">
            <w:pPr>
              <w:keepLines/>
              <w:spacing w:after="0"/>
            </w:pPr>
            <w:r>
              <w:rPr>
                <w:sz w:val="15"/>
              </w:rPr>
              <w:t>50</w:t>
            </w:r>
          </w:p>
        </w:tc>
        <w:tc>
          <w:tcPr>
            <w:tcW w:w="1399" w:type="dxa"/>
            <w:vAlign w:val="center"/>
          </w:tcPr>
          <w:p w14:paraId="0302B7C6" w14:textId="77777777" w:rsidR="004B250B" w:rsidRDefault="00000000">
            <w:pPr>
              <w:keepLines/>
              <w:spacing w:after="0"/>
            </w:pPr>
            <w:r>
              <w:rPr>
                <w:sz w:val="15"/>
              </w:rPr>
              <w:t>Windowed Herzog C1/C2 union</w:t>
            </w:r>
          </w:p>
        </w:tc>
        <w:tc>
          <w:tcPr>
            <w:tcW w:w="1399" w:type="dxa"/>
            <w:vAlign w:val="center"/>
          </w:tcPr>
          <w:p w14:paraId="1A50DA55" w14:textId="77777777" w:rsidR="004B250B" w:rsidRDefault="00000000">
            <w:pPr>
              <w:keepLines/>
              <w:spacing w:after="0"/>
            </w:pPr>
            <w:r>
              <w:rPr>
                <w:sz w:val="15"/>
              </w:rPr>
              <w:t>38.1%</w:t>
            </w:r>
          </w:p>
        </w:tc>
        <w:tc>
          <w:tcPr>
            <w:tcW w:w="1399" w:type="dxa"/>
            <w:vAlign w:val="center"/>
          </w:tcPr>
          <w:p w14:paraId="2AD4B996" w14:textId="77777777" w:rsidR="004B250B" w:rsidRDefault="00000000">
            <w:pPr>
              <w:keepLines/>
              <w:spacing w:after="0"/>
            </w:pPr>
            <w:r>
              <w:rPr>
                <w:sz w:val="15"/>
              </w:rPr>
              <w:t>26.0%–52.0%</w:t>
            </w:r>
          </w:p>
        </w:tc>
        <w:tc>
          <w:tcPr>
            <w:tcW w:w="1399" w:type="dxa"/>
            <w:vAlign w:val="center"/>
          </w:tcPr>
          <w:p w14:paraId="3DE07DA5" w14:textId="77777777" w:rsidR="004B250B" w:rsidRDefault="00000000">
            <w:pPr>
              <w:keepLines/>
              <w:spacing w:after="0"/>
            </w:pPr>
            <w:r>
              <w:rPr>
                <w:sz w:val="15"/>
              </w:rPr>
              <w:t>43.9%</w:t>
            </w:r>
          </w:p>
        </w:tc>
        <w:tc>
          <w:tcPr>
            <w:tcW w:w="1399" w:type="dxa"/>
            <w:vAlign w:val="center"/>
          </w:tcPr>
          <w:p w14:paraId="6840E7B9" w14:textId="77777777" w:rsidR="004B250B" w:rsidRDefault="00000000">
            <w:pPr>
              <w:keepLines/>
              <w:spacing w:after="0"/>
            </w:pPr>
            <w:r>
              <w:rPr>
                <w:sz w:val="15"/>
              </w:rPr>
              <w:t>15.3%</w:t>
            </w:r>
          </w:p>
        </w:tc>
      </w:tr>
      <w:tr w:rsidR="004B250B" w14:paraId="4A4510BE" w14:textId="77777777">
        <w:trPr>
          <w:jc w:val="center"/>
        </w:trPr>
        <w:tc>
          <w:tcPr>
            <w:tcW w:w="1399" w:type="dxa"/>
            <w:vAlign w:val="center"/>
          </w:tcPr>
          <w:p w14:paraId="216872A2" w14:textId="77777777" w:rsidR="004B250B" w:rsidRDefault="004B250B">
            <w:pPr>
              <w:keepLines/>
              <w:spacing w:after="0"/>
            </w:pPr>
          </w:p>
        </w:tc>
        <w:tc>
          <w:tcPr>
            <w:tcW w:w="1399" w:type="dxa"/>
            <w:vAlign w:val="center"/>
          </w:tcPr>
          <w:p w14:paraId="3F026288" w14:textId="77777777" w:rsidR="004B250B" w:rsidRDefault="00000000">
            <w:pPr>
              <w:keepLines/>
              <w:spacing w:after="0"/>
            </w:pPr>
            <w:r>
              <w:rPr>
                <w:sz w:val="15"/>
              </w:rPr>
              <w:t>100</w:t>
            </w:r>
          </w:p>
        </w:tc>
        <w:tc>
          <w:tcPr>
            <w:tcW w:w="1399" w:type="dxa"/>
            <w:vAlign w:val="center"/>
          </w:tcPr>
          <w:p w14:paraId="598ABF4A" w14:textId="77777777" w:rsidR="004B250B" w:rsidRDefault="00000000">
            <w:pPr>
              <w:keepLines/>
              <w:spacing w:after="0"/>
            </w:pPr>
            <w:r>
              <w:rPr>
                <w:sz w:val="15"/>
              </w:rPr>
              <w:t>Windowed Herzog thresholds</w:t>
            </w:r>
          </w:p>
        </w:tc>
        <w:tc>
          <w:tcPr>
            <w:tcW w:w="1399" w:type="dxa"/>
            <w:vAlign w:val="center"/>
          </w:tcPr>
          <w:p w14:paraId="3AD96974" w14:textId="77777777" w:rsidR="004B250B" w:rsidRDefault="00000000">
            <w:pPr>
              <w:keepLines/>
              <w:spacing w:after="0"/>
            </w:pPr>
            <w:r>
              <w:rPr>
                <w:sz w:val="15"/>
              </w:rPr>
              <w:t>46.0%</w:t>
            </w:r>
          </w:p>
        </w:tc>
        <w:tc>
          <w:tcPr>
            <w:tcW w:w="1399" w:type="dxa"/>
            <w:vAlign w:val="center"/>
          </w:tcPr>
          <w:p w14:paraId="41AF4C60" w14:textId="77777777" w:rsidR="004B250B" w:rsidRDefault="00000000">
            <w:pPr>
              <w:keepLines/>
              <w:spacing w:after="0"/>
            </w:pPr>
            <w:r>
              <w:rPr>
                <w:sz w:val="15"/>
              </w:rPr>
              <w:t>36.0%–56.0%</w:t>
            </w:r>
          </w:p>
        </w:tc>
        <w:tc>
          <w:tcPr>
            <w:tcW w:w="1399" w:type="dxa"/>
            <w:vAlign w:val="center"/>
          </w:tcPr>
          <w:p w14:paraId="7D11D26B" w14:textId="77777777" w:rsidR="004B250B" w:rsidRDefault="00000000">
            <w:pPr>
              <w:keepLines/>
              <w:spacing w:after="0"/>
            </w:pPr>
            <w:r>
              <w:rPr>
                <w:sz w:val="15"/>
              </w:rPr>
              <w:t>90.8%</w:t>
            </w:r>
          </w:p>
        </w:tc>
        <w:tc>
          <w:tcPr>
            <w:tcW w:w="1399" w:type="dxa"/>
            <w:vAlign w:val="center"/>
          </w:tcPr>
          <w:p w14:paraId="2FC24104" w14:textId="77777777" w:rsidR="004B250B" w:rsidRDefault="00000000">
            <w:pPr>
              <w:keepLines/>
              <w:spacing w:after="0"/>
            </w:pPr>
            <w:r>
              <w:rPr>
                <w:sz w:val="15"/>
              </w:rPr>
              <w:t>62.2%</w:t>
            </w:r>
          </w:p>
        </w:tc>
      </w:tr>
      <w:tr w:rsidR="004B250B" w14:paraId="3A79AE61" w14:textId="77777777">
        <w:trPr>
          <w:jc w:val="center"/>
        </w:trPr>
        <w:tc>
          <w:tcPr>
            <w:tcW w:w="1399" w:type="dxa"/>
            <w:vAlign w:val="center"/>
          </w:tcPr>
          <w:p w14:paraId="56A01E24" w14:textId="77777777" w:rsidR="004B250B" w:rsidRDefault="004B250B">
            <w:pPr>
              <w:keepLines/>
              <w:spacing w:after="0"/>
            </w:pPr>
          </w:p>
        </w:tc>
        <w:tc>
          <w:tcPr>
            <w:tcW w:w="1399" w:type="dxa"/>
            <w:vAlign w:val="center"/>
          </w:tcPr>
          <w:p w14:paraId="57B1321A" w14:textId="77777777" w:rsidR="004B250B" w:rsidRDefault="00000000">
            <w:pPr>
              <w:keepLines/>
              <w:spacing w:after="0"/>
            </w:pPr>
            <w:r>
              <w:rPr>
                <w:sz w:val="15"/>
              </w:rPr>
              <w:t>100</w:t>
            </w:r>
          </w:p>
        </w:tc>
        <w:tc>
          <w:tcPr>
            <w:tcW w:w="1399" w:type="dxa"/>
            <w:vAlign w:val="center"/>
          </w:tcPr>
          <w:p w14:paraId="43DC0648" w14:textId="77777777" w:rsidR="004B250B" w:rsidRDefault="00000000">
            <w:pPr>
              <w:keepLines/>
              <w:spacing w:after="0"/>
            </w:pPr>
            <w:r>
              <w:rPr>
                <w:sz w:val="15"/>
              </w:rPr>
              <w:t>Windowed Herzog C1/C2 union</w:t>
            </w:r>
          </w:p>
        </w:tc>
        <w:tc>
          <w:tcPr>
            <w:tcW w:w="1399" w:type="dxa"/>
            <w:vAlign w:val="center"/>
          </w:tcPr>
          <w:p w14:paraId="6AE9D524" w14:textId="77777777" w:rsidR="004B250B" w:rsidRDefault="00000000">
            <w:pPr>
              <w:keepLines/>
              <w:spacing w:after="0"/>
            </w:pPr>
            <w:r>
              <w:rPr>
                <w:sz w:val="15"/>
              </w:rPr>
              <w:t>38.0%</w:t>
            </w:r>
          </w:p>
        </w:tc>
        <w:tc>
          <w:tcPr>
            <w:tcW w:w="1399" w:type="dxa"/>
            <w:vAlign w:val="center"/>
          </w:tcPr>
          <w:p w14:paraId="27A2AFE1" w14:textId="77777777" w:rsidR="004B250B" w:rsidRDefault="00000000">
            <w:pPr>
              <w:keepLines/>
              <w:spacing w:after="0"/>
            </w:pPr>
            <w:r>
              <w:rPr>
                <w:sz w:val="15"/>
              </w:rPr>
              <w:t>29.0%–47.0%</w:t>
            </w:r>
          </w:p>
        </w:tc>
        <w:tc>
          <w:tcPr>
            <w:tcW w:w="1399" w:type="dxa"/>
            <w:vAlign w:val="center"/>
          </w:tcPr>
          <w:p w14:paraId="27421080" w14:textId="77777777" w:rsidR="004B250B" w:rsidRDefault="00000000">
            <w:pPr>
              <w:keepLines/>
              <w:spacing w:after="0"/>
            </w:pPr>
            <w:r>
              <w:rPr>
                <w:sz w:val="15"/>
              </w:rPr>
              <w:t>38.2%</w:t>
            </w:r>
          </w:p>
        </w:tc>
        <w:tc>
          <w:tcPr>
            <w:tcW w:w="1399" w:type="dxa"/>
            <w:vAlign w:val="center"/>
          </w:tcPr>
          <w:p w14:paraId="2C7FB619" w14:textId="77777777" w:rsidR="004B250B" w:rsidRDefault="00000000">
            <w:pPr>
              <w:keepLines/>
              <w:spacing w:after="0"/>
            </w:pPr>
            <w:r>
              <w:rPr>
                <w:sz w:val="15"/>
              </w:rPr>
              <w:t>8.8%</w:t>
            </w:r>
          </w:p>
        </w:tc>
      </w:tr>
    </w:tbl>
    <w:p w14:paraId="69239C26" w14:textId="77777777" w:rsidR="004B250B" w:rsidRDefault="004B250B">
      <w:pPr>
        <w:spacing w:after="0"/>
      </w:pPr>
    </w:p>
    <w:p w14:paraId="162A40A3"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6DFE7717" w14:textId="77777777" w:rsidR="004B250B" w:rsidRDefault="00000000">
      <w:r>
        <w:br w:type="page"/>
      </w:r>
    </w:p>
    <w:p w14:paraId="562BB14E" w14:textId="77777777" w:rsidR="004B250B" w:rsidRDefault="00000000">
      <w:pPr>
        <w:pStyle w:val="Heading1"/>
      </w:pPr>
      <w:r>
        <w:lastRenderedPageBreak/>
        <w:t>Figure Legends and Figures</w:t>
      </w:r>
    </w:p>
    <w:p w14:paraId="653DD23A" w14:textId="77777777" w:rsidR="004B250B"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0FB6F38F" w14:textId="77777777" w:rsidR="004B250B" w:rsidRDefault="00000000">
      <w:pPr>
        <w:jc w:val="center"/>
      </w:pPr>
      <w:r>
        <w:rPr>
          <w:noProof/>
        </w:rPr>
        <w:drawing>
          <wp:inline distT="0" distB="0" distL="0" distR="0">
            <wp:extent cx="6126480" cy="2298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8015"/>
                    </a:xfrm>
                    <a:prstGeom prst="rect">
                      <a:avLst/>
                    </a:prstGeom>
                  </pic:spPr>
                </pic:pic>
              </a:graphicData>
            </a:graphic>
          </wp:inline>
        </w:drawing>
      </w:r>
    </w:p>
    <w:p w14:paraId="78AA6B6B" w14:textId="77777777"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3CE7EA19" w14:textId="77777777" w:rsidR="004B250B" w:rsidRDefault="00000000">
      <w:pPr>
        <w:jc w:val="center"/>
      </w:pPr>
      <w:r>
        <w:rPr>
          <w:noProof/>
        </w:rPr>
        <w:drawing>
          <wp:inline distT="0" distB="0" distL="0" distR="0">
            <wp:extent cx="6126480" cy="394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9"/>
                    <a:stretch>
                      <a:fillRect/>
                    </a:stretch>
                  </pic:blipFill>
                  <pic:spPr>
                    <a:xfrm>
                      <a:off x="0" y="0"/>
                      <a:ext cx="6126480" cy="3949714"/>
                    </a:xfrm>
                    <a:prstGeom prst="rect">
                      <a:avLst/>
                    </a:prstGeom>
                  </pic:spPr>
                </pic:pic>
              </a:graphicData>
            </a:graphic>
          </wp:inline>
        </w:drawing>
      </w:r>
    </w:p>
    <w:p w14:paraId="280C8F16"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04D9F5D8" w14:textId="77777777" w:rsidR="004B250B" w:rsidRDefault="00000000">
      <w:pPr>
        <w:jc w:val="center"/>
      </w:pPr>
      <w:r>
        <w:rPr>
          <w:noProof/>
        </w:rPr>
        <w:drawing>
          <wp:inline distT="0" distB="0" distL="0" distR="0">
            <wp:extent cx="6126480" cy="2397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7903"/>
                    </a:xfrm>
                    <a:prstGeom prst="rect">
                      <a:avLst/>
                    </a:prstGeom>
                  </pic:spPr>
                </pic:pic>
              </a:graphicData>
            </a:graphic>
          </wp:inline>
        </w:drawing>
      </w:r>
    </w:p>
    <w:sectPr w:rsidR="004B250B"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3D6D3" w14:textId="77777777" w:rsidR="006F223B" w:rsidRDefault="006F223B">
      <w:pPr>
        <w:spacing w:line="240" w:lineRule="auto"/>
      </w:pPr>
      <w:r>
        <w:separator/>
      </w:r>
    </w:p>
  </w:endnote>
  <w:endnote w:type="continuationSeparator" w:id="0">
    <w:p w14:paraId="36FCA674" w14:textId="77777777" w:rsidR="006F223B" w:rsidRDefault="006F22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5DDCBA" w14:textId="7EE6BF78" w:rsidR="004B250B" w:rsidRDefault="00000000">
    <w:pPr>
      <w:pStyle w:val="Footer"/>
      <w:jc w:val="right"/>
    </w:pPr>
    <w:r>
      <w:fldChar w:fldCharType="begin"/>
    </w:r>
    <w:r>
      <w:instrText xml:space="preserve"> PAGE </w:instrText>
    </w:r>
    <w:r w:rsidR="00053CE4">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03EDF0" w14:textId="77777777" w:rsidR="006F223B" w:rsidRDefault="006F223B">
      <w:pPr>
        <w:spacing w:line="240" w:lineRule="auto"/>
      </w:pPr>
      <w:r>
        <w:separator/>
      </w:r>
    </w:p>
  </w:footnote>
  <w:footnote w:type="continuationSeparator" w:id="0">
    <w:p w14:paraId="5A7896B3" w14:textId="77777777" w:rsidR="006F223B" w:rsidRDefault="006F22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0F67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34616"/>
    <w:rsid w:val="00035C0E"/>
    <w:rsid w:val="00053CE4"/>
    <w:rsid w:val="0006063C"/>
    <w:rsid w:val="000C6639"/>
    <w:rsid w:val="000C7F3A"/>
    <w:rsid w:val="000D4174"/>
    <w:rsid w:val="000E14BB"/>
    <w:rsid w:val="00122398"/>
    <w:rsid w:val="00124921"/>
    <w:rsid w:val="001441D1"/>
    <w:rsid w:val="0015074B"/>
    <w:rsid w:val="001515C8"/>
    <w:rsid w:val="00162362"/>
    <w:rsid w:val="001661A1"/>
    <w:rsid w:val="00171C99"/>
    <w:rsid w:val="00171DB7"/>
    <w:rsid w:val="00181CFA"/>
    <w:rsid w:val="00187F55"/>
    <w:rsid w:val="001E7C9B"/>
    <w:rsid w:val="002214F1"/>
    <w:rsid w:val="002241AD"/>
    <w:rsid w:val="00245DC0"/>
    <w:rsid w:val="002468DF"/>
    <w:rsid w:val="00264E07"/>
    <w:rsid w:val="00273C26"/>
    <w:rsid w:val="002752EA"/>
    <w:rsid w:val="0029061E"/>
    <w:rsid w:val="00291B8A"/>
    <w:rsid w:val="0029639D"/>
    <w:rsid w:val="002B084B"/>
    <w:rsid w:val="002B448D"/>
    <w:rsid w:val="0031215A"/>
    <w:rsid w:val="00326F90"/>
    <w:rsid w:val="003470BE"/>
    <w:rsid w:val="003A1FE9"/>
    <w:rsid w:val="003A6960"/>
    <w:rsid w:val="004034AC"/>
    <w:rsid w:val="004317BD"/>
    <w:rsid w:val="00461591"/>
    <w:rsid w:val="00462B1A"/>
    <w:rsid w:val="004A4F3D"/>
    <w:rsid w:val="004A6B28"/>
    <w:rsid w:val="004B250B"/>
    <w:rsid w:val="004D5618"/>
    <w:rsid w:val="004E0820"/>
    <w:rsid w:val="00527A3D"/>
    <w:rsid w:val="00550220"/>
    <w:rsid w:val="0055574E"/>
    <w:rsid w:val="005561B0"/>
    <w:rsid w:val="00584202"/>
    <w:rsid w:val="00596135"/>
    <w:rsid w:val="005D2486"/>
    <w:rsid w:val="005D648A"/>
    <w:rsid w:val="006A3065"/>
    <w:rsid w:val="006A5650"/>
    <w:rsid w:val="006A7C0E"/>
    <w:rsid w:val="006F223B"/>
    <w:rsid w:val="006F2A3B"/>
    <w:rsid w:val="007073D1"/>
    <w:rsid w:val="00734262"/>
    <w:rsid w:val="00766F8D"/>
    <w:rsid w:val="00793F4A"/>
    <w:rsid w:val="007D2872"/>
    <w:rsid w:val="007E64D8"/>
    <w:rsid w:val="00806295"/>
    <w:rsid w:val="00887623"/>
    <w:rsid w:val="008B766C"/>
    <w:rsid w:val="008F2692"/>
    <w:rsid w:val="009325E3"/>
    <w:rsid w:val="00932BEC"/>
    <w:rsid w:val="0093491F"/>
    <w:rsid w:val="00957D92"/>
    <w:rsid w:val="0098476B"/>
    <w:rsid w:val="009B00D6"/>
    <w:rsid w:val="009C7826"/>
    <w:rsid w:val="00A10598"/>
    <w:rsid w:val="00A22A73"/>
    <w:rsid w:val="00A65778"/>
    <w:rsid w:val="00AA1D8D"/>
    <w:rsid w:val="00AB7D70"/>
    <w:rsid w:val="00AD7D3C"/>
    <w:rsid w:val="00B0051E"/>
    <w:rsid w:val="00B033F7"/>
    <w:rsid w:val="00B248FE"/>
    <w:rsid w:val="00B25F86"/>
    <w:rsid w:val="00B35E5A"/>
    <w:rsid w:val="00B41555"/>
    <w:rsid w:val="00B47730"/>
    <w:rsid w:val="00B80FB5"/>
    <w:rsid w:val="00B9378A"/>
    <w:rsid w:val="00B972AA"/>
    <w:rsid w:val="00BA1FAB"/>
    <w:rsid w:val="00BA4574"/>
    <w:rsid w:val="00BA6609"/>
    <w:rsid w:val="00BC3FF5"/>
    <w:rsid w:val="00C223E7"/>
    <w:rsid w:val="00C3706C"/>
    <w:rsid w:val="00C406D1"/>
    <w:rsid w:val="00C460D2"/>
    <w:rsid w:val="00C94F0B"/>
    <w:rsid w:val="00CA5AF3"/>
    <w:rsid w:val="00CB0664"/>
    <w:rsid w:val="00CB1F27"/>
    <w:rsid w:val="00CB29DC"/>
    <w:rsid w:val="00CC486E"/>
    <w:rsid w:val="00D62C09"/>
    <w:rsid w:val="00D8577D"/>
    <w:rsid w:val="00DA0C79"/>
    <w:rsid w:val="00DA5F04"/>
    <w:rsid w:val="00DF21FC"/>
    <w:rsid w:val="00E24A71"/>
    <w:rsid w:val="00E30C79"/>
    <w:rsid w:val="00E33554"/>
    <w:rsid w:val="00E92E41"/>
    <w:rsid w:val="00EA795B"/>
    <w:rsid w:val="00EB299D"/>
    <w:rsid w:val="00EB4125"/>
    <w:rsid w:val="00F2119F"/>
    <w:rsid w:val="00F31434"/>
    <w:rsid w:val="00F416AF"/>
    <w:rsid w:val="00F503D2"/>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44E11"/>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12</Pages>
  <Words>7575</Words>
  <Characters>43183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19</cp:revision>
  <dcterms:created xsi:type="dcterms:W3CDTF">2026-07-25T11:50:00Z</dcterms:created>
  <dcterms:modified xsi:type="dcterms:W3CDTF">2026-07-28T23:21:00Z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id="DDpmQ3BF"/&gt;&lt;style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