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B40A3F" w14:textId="53144EC8" w:rsidR="004158AC" w:rsidRPr="00BF2053" w:rsidRDefault="008A559D">
      <w:pPr>
        <w:rPr>
          <w:rFonts w:ascii="Arial" w:hAnsi="Arial" w:cs="Arial"/>
        </w:rPr>
      </w:pPr>
      <w:r w:rsidRPr="00BF2053">
        <w:rPr>
          <w:rFonts w:ascii="Arial" w:hAnsi="Arial" w:cs="Arial"/>
        </w:rPr>
        <w:t xml:space="preserve">Dear Dr. </w:t>
      </w:r>
      <w:proofErr w:type="spellStart"/>
      <w:r w:rsidRPr="00BF2053">
        <w:rPr>
          <w:rFonts w:ascii="Arial" w:hAnsi="Arial" w:cs="Arial"/>
        </w:rPr>
        <w:t>Cendes</w:t>
      </w:r>
      <w:proofErr w:type="spellEnd"/>
      <w:r w:rsidRPr="00BF2053">
        <w:rPr>
          <w:rFonts w:ascii="Arial" w:hAnsi="Arial" w:cs="Arial"/>
        </w:rPr>
        <w:t>,</w:t>
      </w:r>
    </w:p>
    <w:p w14:paraId="408C545C" w14:textId="56934E26" w:rsidR="008A559D" w:rsidRPr="00BF2053" w:rsidRDefault="008A559D">
      <w:pPr>
        <w:rPr>
          <w:rFonts w:ascii="Arial" w:hAnsi="Arial" w:cs="Arial"/>
        </w:rPr>
      </w:pPr>
      <w:r w:rsidRPr="00BF2053">
        <w:rPr>
          <w:rFonts w:ascii="Arial" w:hAnsi="Arial" w:cs="Arial"/>
        </w:rPr>
        <w:t xml:space="preserve">Thank you for the opportunity to improve our manuscript. What follows is a </w:t>
      </w:r>
      <w:proofErr w:type="gramStart"/>
      <w:r w:rsidRPr="00BF2053">
        <w:rPr>
          <w:rFonts w:ascii="Arial" w:hAnsi="Arial" w:cs="Arial"/>
        </w:rPr>
        <w:t>point by point</w:t>
      </w:r>
      <w:proofErr w:type="gramEnd"/>
      <w:r w:rsidRPr="00BF2053">
        <w:rPr>
          <w:rFonts w:ascii="Arial" w:hAnsi="Arial" w:cs="Arial"/>
        </w:rPr>
        <w:t xml:space="preserve"> response with our text in bold.</w:t>
      </w:r>
    </w:p>
    <w:p w14:paraId="1C8336F9" w14:textId="77777777" w:rsidR="008A559D" w:rsidRPr="00BF2053" w:rsidRDefault="008A559D">
      <w:pPr>
        <w:pBdr>
          <w:bottom w:val="single" w:sz="6" w:space="1" w:color="auto"/>
        </w:pBdr>
        <w:rPr>
          <w:rFonts w:ascii="Arial" w:hAnsi="Arial" w:cs="Arial"/>
        </w:rPr>
      </w:pPr>
    </w:p>
    <w:p w14:paraId="1FF5DEE5" w14:textId="77777777" w:rsidR="00952B86" w:rsidRPr="00BF2053" w:rsidRDefault="008A559D">
      <w:pPr>
        <w:rPr>
          <w:rFonts w:ascii="Arial" w:hAnsi="Arial" w:cs="Arial"/>
          <w:b/>
          <w:bCs/>
          <w:color w:val="000000"/>
        </w:rPr>
      </w:pPr>
      <w:r w:rsidRPr="00BF2053">
        <w:rPr>
          <w:rFonts w:ascii="Arial" w:hAnsi="Arial" w:cs="Arial"/>
          <w:color w:val="000000"/>
          <w:shd w:val="clear" w:color="auto" w:fill="FFFFFF"/>
        </w:rPr>
        <w:t>Reviewers’ Comments (if applicable):</w:t>
      </w:r>
      <w:r w:rsidRPr="00BF2053">
        <w:rPr>
          <w:rFonts w:ascii="Arial" w:hAnsi="Arial" w:cs="Arial"/>
          <w:color w:val="000000"/>
        </w:rPr>
        <w:br/>
      </w:r>
      <w:r w:rsidRPr="00BF2053">
        <w:rPr>
          <w:rFonts w:ascii="Arial" w:hAnsi="Arial" w:cs="Arial"/>
          <w:color w:val="000000"/>
          <w:shd w:val="clear" w:color="auto" w:fill="FFFFFF"/>
        </w:rPr>
        <w:t>(If comments are not listed below, they may be attached.)</w:t>
      </w:r>
      <w:r w:rsidRPr="00BF2053">
        <w:rPr>
          <w:rFonts w:ascii="Arial" w:hAnsi="Arial" w:cs="Arial"/>
          <w:color w:val="000000"/>
        </w:rPr>
        <w:br/>
      </w:r>
      <w:r w:rsidRPr="00BF2053">
        <w:rPr>
          <w:rFonts w:ascii="Arial" w:hAnsi="Arial" w:cs="Arial"/>
          <w:color w:val="000000"/>
        </w:rPr>
        <w:br/>
      </w:r>
      <w:r w:rsidRPr="00BF2053">
        <w:rPr>
          <w:rFonts w:ascii="Arial" w:hAnsi="Arial" w:cs="Arial"/>
          <w:color w:val="000000"/>
          <w:shd w:val="clear" w:color="auto" w:fill="FFFFFF"/>
        </w:rPr>
        <w:t>Reviewer: 1</w:t>
      </w:r>
      <w:r w:rsidRPr="00BF2053">
        <w:rPr>
          <w:rFonts w:ascii="Arial" w:hAnsi="Arial" w:cs="Arial"/>
          <w:color w:val="000000"/>
        </w:rPr>
        <w:br/>
      </w:r>
      <w:r w:rsidRPr="00BF2053">
        <w:rPr>
          <w:rFonts w:ascii="Arial" w:hAnsi="Arial" w:cs="Arial"/>
          <w:color w:val="000000"/>
        </w:rPr>
        <w:br/>
      </w:r>
      <w:r w:rsidRPr="00BF2053">
        <w:rPr>
          <w:rFonts w:ascii="Arial" w:hAnsi="Arial" w:cs="Arial"/>
          <w:color w:val="000000"/>
          <w:shd w:val="clear" w:color="auto" w:fill="FFFFFF"/>
        </w:rPr>
        <w:t>Comments to the authors</w:t>
      </w:r>
      <w:r w:rsidRPr="00BF2053">
        <w:rPr>
          <w:rFonts w:ascii="Arial" w:hAnsi="Arial" w:cs="Arial"/>
          <w:color w:val="000000"/>
        </w:rPr>
        <w:br/>
      </w:r>
      <w:r w:rsidRPr="00BF2053">
        <w:rPr>
          <w:rFonts w:ascii="Arial" w:hAnsi="Arial" w:cs="Arial"/>
          <w:color w:val="000000"/>
          <w:shd w:val="clear" w:color="auto" w:fill="FFFFFF"/>
        </w:rPr>
        <w:t xml:space="preserve">Although menstrual-related increases in seizure frequency are often reported, the existence and definition of catamenial epilepsy (CE) remain debated. As the authors introduce, a hormonally mediated seizure pattern would be expected to show consistent alignment between menstrual and seizure cycles, yet at present, clinical CE criteria do not require confirmation of seizure and menstrual cycle phase locking. This study addresses that gap and highlights the main limitation of standard CE criteria established by Herzog and colleagues. The Herzog method makes static comparisons of seizure counts across menstrual cycle phases and is rather practical in the clinical setting, but only over short tracking periods. However, from a research setting, using very short duration seizure and menstrual diaries carries the propensity to over attribute patterns of increased seizure frequency to the menstrual cycle owing to insufficient data. Recent data also suggests that menstrual and seizure cycles can fluctuate in phase temporarily, then fall out of phase sometime later. Consequently, this method in </w:t>
      </w:r>
      <w:proofErr w:type="spellStart"/>
      <w:proofErr w:type="gramStart"/>
      <w:r w:rsidRPr="00BF2053">
        <w:rPr>
          <w:rFonts w:ascii="Arial" w:hAnsi="Arial" w:cs="Arial"/>
          <w:color w:val="000000"/>
          <w:shd w:val="clear" w:color="auto" w:fill="FFFFFF"/>
        </w:rPr>
        <w:t>it's</w:t>
      </w:r>
      <w:proofErr w:type="spellEnd"/>
      <w:proofErr w:type="gramEnd"/>
      <w:r w:rsidRPr="00BF2053">
        <w:rPr>
          <w:rFonts w:ascii="Arial" w:hAnsi="Arial" w:cs="Arial"/>
          <w:color w:val="000000"/>
          <w:shd w:val="clear" w:color="auto" w:fill="FFFFFF"/>
        </w:rPr>
        <w:t xml:space="preserve"> present form may not reliably identify women with hormonally sensitive seizure patterns.</w:t>
      </w:r>
      <w:r w:rsidRPr="00BF2053">
        <w:rPr>
          <w:rFonts w:ascii="Arial" w:hAnsi="Arial" w:cs="Arial"/>
          <w:color w:val="000000"/>
        </w:rPr>
        <w:br/>
      </w:r>
      <w:r w:rsidRPr="00BF2053">
        <w:rPr>
          <w:rFonts w:ascii="Arial" w:hAnsi="Arial" w:cs="Arial"/>
          <w:color w:val="000000"/>
        </w:rPr>
        <w:br/>
      </w:r>
      <w:r w:rsidRPr="00BF2053">
        <w:rPr>
          <w:rFonts w:ascii="Arial" w:hAnsi="Arial" w:cs="Arial"/>
          <w:color w:val="000000"/>
          <w:shd w:val="clear" w:color="auto" w:fill="FFFFFF"/>
        </w:rPr>
        <w:t xml:space="preserve">Here, the authors address the above. By combining simulated seizure diaries (seizure frequency) with simulated menstrual cycles, the risk for false attribution of a CE diagnosis is rather high. Further, the rate of CE (combined C1, C2, C3 subtypes) when using simulated data in several thousand patients, is closer to ~11% in normal cycling women; the true prevalence is still likely higher due to hormonal and physiologic variables in patients that can be difficult to replicate via simulation alone.  The authors also show that the three-month tracking period for identifying CE (which has been used as the screening mechanism in past hormonal treatment trials) yields significant false positive rates – a false positive rate of 10% was also seen even with a diary length of 36 months. Therefore, this short monitoring duration is not likely sufficient for an accurate CE diagnosis.  While this is a purely simulation-based study that only models real world data, the authors thoroughly address the limitations inherent to isolated data simulation in the discussion. Modeling of this kind is also novel to the field of CE and holds promise </w:t>
      </w:r>
      <w:r w:rsidRPr="00BF2053">
        <w:rPr>
          <w:rFonts w:ascii="Arial" w:hAnsi="Arial" w:cs="Arial"/>
          <w:color w:val="000000"/>
          <w:shd w:val="clear" w:color="auto" w:fill="FFFFFF"/>
        </w:rPr>
        <w:lastRenderedPageBreak/>
        <w:t>for augmenting or re-defining existing diagnostic methods for CE.</w:t>
      </w:r>
      <w:r w:rsidRPr="00BF2053">
        <w:rPr>
          <w:rStyle w:val="apple-converted-space"/>
          <w:rFonts w:ascii="Arial" w:hAnsi="Arial" w:cs="Arial"/>
          <w:color w:val="000000"/>
          <w:shd w:val="clear" w:color="auto" w:fill="FFFFFF"/>
        </w:rPr>
        <w:t> </w:t>
      </w:r>
      <w:r w:rsidRPr="00BF2053">
        <w:rPr>
          <w:rFonts w:ascii="Arial" w:hAnsi="Arial" w:cs="Arial"/>
          <w:color w:val="000000"/>
        </w:rPr>
        <w:br/>
      </w:r>
      <w:r w:rsidR="00952B86" w:rsidRPr="00BF2053">
        <w:rPr>
          <w:rFonts w:ascii="Arial" w:hAnsi="Arial" w:cs="Arial"/>
          <w:b/>
          <w:bCs/>
          <w:color w:val="000000"/>
        </w:rPr>
        <w:t>Thank you for your kind comments.</w:t>
      </w:r>
    </w:p>
    <w:p w14:paraId="57F8AE12" w14:textId="77777777" w:rsidR="006A1311" w:rsidRPr="00BF2053" w:rsidRDefault="008A559D">
      <w:pPr>
        <w:rPr>
          <w:rFonts w:ascii="Arial" w:hAnsi="Arial" w:cs="Arial"/>
          <w:b/>
          <w:bCs/>
          <w:color w:val="000000"/>
        </w:rPr>
      </w:pPr>
      <w:r w:rsidRPr="00BF2053">
        <w:rPr>
          <w:rFonts w:ascii="Arial" w:hAnsi="Arial" w:cs="Arial"/>
          <w:color w:val="000000"/>
        </w:rPr>
        <w:br/>
      </w:r>
      <w:r w:rsidRPr="00BF2053">
        <w:rPr>
          <w:rFonts w:ascii="Arial" w:hAnsi="Arial" w:cs="Arial"/>
          <w:color w:val="000000"/>
          <w:shd w:val="clear" w:color="auto" w:fill="FFFFFF"/>
        </w:rPr>
        <w:t>Additional comments and suggestions are listed below:</w:t>
      </w:r>
      <w:r w:rsidRPr="00BF2053">
        <w:rPr>
          <w:rFonts w:ascii="Arial" w:hAnsi="Arial" w:cs="Arial"/>
          <w:color w:val="000000"/>
        </w:rPr>
        <w:br/>
      </w:r>
      <w:r w:rsidRPr="00BF2053">
        <w:rPr>
          <w:rFonts w:ascii="Arial" w:hAnsi="Arial" w:cs="Arial"/>
          <w:color w:val="000000"/>
        </w:rPr>
        <w:br/>
      </w:r>
      <w:r w:rsidRPr="00BF2053">
        <w:rPr>
          <w:rFonts w:ascii="Arial" w:hAnsi="Arial" w:cs="Arial"/>
          <w:color w:val="000000"/>
          <w:shd w:val="clear" w:color="auto" w:fill="FFFFFF"/>
        </w:rPr>
        <w:t>Results:</w:t>
      </w:r>
      <w:r w:rsidRPr="00BF2053">
        <w:rPr>
          <w:rFonts w:ascii="Arial" w:hAnsi="Arial" w:cs="Arial"/>
          <w:color w:val="000000"/>
        </w:rPr>
        <w:br/>
      </w:r>
      <w:r w:rsidRPr="00BF2053">
        <w:rPr>
          <w:rFonts w:ascii="Arial" w:hAnsi="Arial" w:cs="Arial"/>
          <w:color w:val="000000"/>
          <w:shd w:val="clear" w:color="auto" w:fill="FFFFFF"/>
        </w:rPr>
        <w:t>1) For the prevalence of CE identified in the healthy cohort (11%) is it possible to identify the relative C1 vs C2 percentages? In addition, is it possible to comment on the percentages of simulated patients in both the healthy and heterogenous cohorts that had combined C1 and a C2 pattern? This is alluded to in Figure 2 but not reported in the text.</w:t>
      </w:r>
      <w:r w:rsidRPr="00BF2053">
        <w:rPr>
          <w:rFonts w:ascii="Arial" w:hAnsi="Arial" w:cs="Arial"/>
          <w:color w:val="000000"/>
        </w:rPr>
        <w:br/>
      </w:r>
      <w:r w:rsidR="006A1311" w:rsidRPr="00BF2053">
        <w:rPr>
          <w:rFonts w:ascii="Arial" w:hAnsi="Arial" w:cs="Arial"/>
          <w:b/>
          <w:bCs/>
          <w:color w:val="000000"/>
        </w:rPr>
        <w:t>The breakdown of C1 and C2 percentages were added to Table 2 and Figure 1.</w:t>
      </w:r>
    </w:p>
    <w:p w14:paraId="4A250E08" w14:textId="6C00B6B0" w:rsidR="006A1311" w:rsidRPr="00BF2053" w:rsidRDefault="006A1311">
      <w:pPr>
        <w:rPr>
          <w:rFonts w:ascii="Arial" w:hAnsi="Arial" w:cs="Arial"/>
          <w:b/>
          <w:bCs/>
          <w:color w:val="000000"/>
        </w:rPr>
      </w:pPr>
      <w:r w:rsidRPr="00BF2053">
        <w:rPr>
          <w:rFonts w:ascii="Arial" w:hAnsi="Arial" w:cs="Arial"/>
          <w:b/>
          <w:bCs/>
          <w:color w:val="000000"/>
        </w:rPr>
        <w:t xml:space="preserve">Additionally, the following text was updated in the </w:t>
      </w:r>
      <w:r w:rsidR="00BF2053" w:rsidRPr="00BF2053">
        <w:rPr>
          <w:rFonts w:ascii="Arial" w:hAnsi="Arial" w:cs="Arial"/>
          <w:b/>
          <w:bCs/>
          <w:color w:val="000000"/>
        </w:rPr>
        <w:t>results</w:t>
      </w:r>
      <w:r w:rsidRPr="00BF2053">
        <w:rPr>
          <w:rFonts w:ascii="Arial" w:hAnsi="Arial" w:cs="Arial"/>
          <w:b/>
          <w:bCs/>
          <w:color w:val="000000"/>
        </w:rPr>
        <w:t>:</w:t>
      </w:r>
    </w:p>
    <w:p w14:paraId="691AB25C" w14:textId="77777777" w:rsidR="00BF2053" w:rsidRPr="00BF2053" w:rsidRDefault="00BF2053" w:rsidP="00BF2053">
      <w:pPr>
        <w:ind w:left="720"/>
        <w:rPr>
          <w:rFonts w:ascii="Arial" w:hAnsi="Arial" w:cs="Arial"/>
          <w:b/>
          <w:bCs/>
        </w:rPr>
      </w:pPr>
      <w:r w:rsidRPr="00BF2053">
        <w:rPr>
          <w:rFonts w:ascii="Arial" w:hAnsi="Arial" w:cs="Arial"/>
          <w:b/>
          <w:bCs/>
          <w:color w:val="000000"/>
        </w:rPr>
        <w:t>“</w:t>
      </w:r>
      <w:r w:rsidRPr="00BF2053">
        <w:rPr>
          <w:rFonts w:ascii="Arial" w:hAnsi="Arial" w:cs="Arial"/>
          <w:b/>
          <w:bCs/>
        </w:rPr>
        <w:t>In the full 36-month diaries, 1,109 of 50,000 simulated participants in the healthy cohort (2.2%) and 1,068 of 50,000 in the heterogeneous cohort (2.1%) met both C1 and C2 criteria. In the heterogeneous cohort, the analogous combined group included 564 participants (1.1%) who did not meet C3 and 504 (1.0%) who also met C3.”</w:t>
      </w:r>
    </w:p>
    <w:p w14:paraId="0B4C66D7" w14:textId="77777777" w:rsidR="00BF2053" w:rsidRPr="00BF2053" w:rsidRDefault="00BF2053">
      <w:pPr>
        <w:rPr>
          <w:rFonts w:ascii="Arial" w:hAnsi="Arial" w:cs="Arial"/>
          <w:b/>
          <w:bCs/>
          <w:color w:val="000000"/>
        </w:rPr>
      </w:pPr>
      <w:r w:rsidRPr="00BF2053">
        <w:rPr>
          <w:rFonts w:ascii="Arial" w:hAnsi="Arial" w:cs="Arial"/>
          <w:b/>
          <w:bCs/>
          <w:color w:val="000000"/>
        </w:rPr>
        <w:t>The following was added to the Figure 2 caption as well:</w:t>
      </w:r>
    </w:p>
    <w:p w14:paraId="7B8C3CBC" w14:textId="77777777" w:rsidR="00BF2053" w:rsidRPr="00BF2053" w:rsidRDefault="00BF2053" w:rsidP="00BF2053">
      <w:pPr>
        <w:keepNext/>
        <w:ind w:left="720"/>
        <w:rPr>
          <w:rFonts w:ascii="Arial" w:hAnsi="Arial" w:cs="Arial"/>
        </w:rPr>
      </w:pPr>
      <w:r w:rsidRPr="00BF2053">
        <w:rPr>
          <w:rFonts w:ascii="Arial" w:hAnsi="Arial" w:cs="Arial"/>
          <w:color w:val="000000"/>
        </w:rPr>
        <w:t>“</w:t>
      </w:r>
      <w:r w:rsidRPr="00BF2053">
        <w:rPr>
          <w:rFonts w:ascii="Arial" w:hAnsi="Arial" w:cs="Arial"/>
          <w:b/>
        </w:rPr>
        <w:t>Note the C1+C2 category excludes C3, so its 1.1% heterogeneous-cohort segment is not the total C1+C2 overlap.</w:t>
      </w:r>
      <w:r w:rsidRPr="00BF2053">
        <w:rPr>
          <w:rFonts w:ascii="Arial" w:hAnsi="Arial" w:cs="Arial"/>
        </w:rPr>
        <w:t>”</w:t>
      </w:r>
    </w:p>
    <w:p w14:paraId="7962CD59" w14:textId="77777777" w:rsidR="0081374C" w:rsidRPr="0081374C" w:rsidRDefault="008A559D" w:rsidP="00BF2053">
      <w:pPr>
        <w:keepNext/>
        <w:rPr>
          <w:rFonts w:ascii="Arial" w:hAnsi="Arial" w:cs="Arial"/>
          <w:b/>
          <w:bCs/>
          <w:color w:val="000000"/>
          <w:shd w:val="clear" w:color="auto" w:fill="FFFFFF"/>
        </w:rPr>
      </w:pPr>
      <w:r w:rsidRPr="00BF2053">
        <w:rPr>
          <w:rFonts w:ascii="Arial" w:hAnsi="Arial" w:cs="Arial"/>
          <w:color w:val="000000"/>
        </w:rPr>
        <w:br/>
      </w:r>
      <w:r w:rsidRPr="00BF2053">
        <w:rPr>
          <w:rFonts w:ascii="Arial" w:hAnsi="Arial" w:cs="Arial"/>
          <w:color w:val="000000"/>
          <w:shd w:val="clear" w:color="auto" w:fill="FFFFFF"/>
        </w:rPr>
        <w:t>2) At line 175, stating “Exact Herzog applied to three complete cycles yielded 50.5% and 52.2%...”, do these values refer to the false positive rates regarding a CE diagnosis using the Herzog cut off points (C1 ratio of 1.69; C2 ratio of 1.83; C3 ratio of 1.62) when applied to only 3 cycles? Possible that this is intuitive to others but could be directly written here for clarity.</w:t>
      </w:r>
      <w:r w:rsidRPr="00BF2053">
        <w:rPr>
          <w:rFonts w:ascii="Arial" w:hAnsi="Arial" w:cs="Arial"/>
          <w:color w:val="000000"/>
        </w:rPr>
        <w:br/>
      </w:r>
      <w:r w:rsidR="0081374C" w:rsidRPr="0081374C">
        <w:rPr>
          <w:rFonts w:ascii="Arial" w:hAnsi="Arial" w:cs="Arial"/>
          <w:b/>
          <w:bCs/>
          <w:color w:val="000000"/>
          <w:shd w:val="clear" w:color="auto" w:fill="FFFFFF"/>
        </w:rPr>
        <w:lastRenderedPageBreak/>
        <w:t>A calculation error was identified when we reviewed this, that was updated throughout the text. Additionally, the sentence was clarified as follows:</w:t>
      </w:r>
    </w:p>
    <w:p w14:paraId="711569C2" w14:textId="77777777" w:rsidR="0081374C" w:rsidRPr="0081374C" w:rsidRDefault="0081374C" w:rsidP="0081374C">
      <w:pPr>
        <w:keepNext/>
        <w:ind w:left="720"/>
        <w:rPr>
          <w:b/>
          <w:bCs/>
        </w:rPr>
      </w:pPr>
      <w:r w:rsidRPr="0081374C">
        <w:rPr>
          <w:b/>
          <w:bCs/>
        </w:rPr>
        <w:t>“</w:t>
      </w:r>
      <w:r w:rsidRPr="0081374C">
        <w:rPr>
          <w:b/>
          <w:bCs/>
        </w:rPr>
        <w:t>Exact Herzog (C1 ≥1.69, C2 ≥1.83, and C3 ≥1.62) applied to three complete cycles yielded 45.2% and 41.1% among classifiable windows, while many attempted windows were indeterminate.</w:t>
      </w:r>
      <w:r w:rsidRPr="0081374C">
        <w:rPr>
          <w:b/>
          <w:bCs/>
        </w:rPr>
        <w:t>”</w:t>
      </w:r>
    </w:p>
    <w:p w14:paraId="5270EA7B" w14:textId="77777777" w:rsidR="0081374C" w:rsidRDefault="008A559D" w:rsidP="0081374C">
      <w:pPr>
        <w:keepNext/>
        <w:rPr>
          <w:rStyle w:val="apple-converted-space"/>
          <w:rFonts w:ascii="Arial" w:hAnsi="Arial" w:cs="Arial"/>
          <w:color w:val="000000"/>
          <w:shd w:val="clear" w:color="auto" w:fill="FFFFFF"/>
        </w:rPr>
      </w:pPr>
      <w:r w:rsidRPr="00BF2053">
        <w:rPr>
          <w:rFonts w:ascii="Arial" w:hAnsi="Arial" w:cs="Arial"/>
          <w:color w:val="000000"/>
          <w:shd w:val="clear" w:color="auto" w:fill="FFFFFF"/>
        </w:rPr>
        <w:t>3) Does the peri-menarche group included in the heterogenous cohort mean that some simulated patients in this group were pre-pubertal? Or was this adjusted to ensure that peri-menarche indicated just after first menses onset?</w:t>
      </w:r>
      <w:r w:rsidRPr="00BF2053">
        <w:rPr>
          <w:rStyle w:val="apple-converted-space"/>
          <w:rFonts w:ascii="Arial" w:hAnsi="Arial" w:cs="Arial"/>
          <w:color w:val="000000"/>
          <w:shd w:val="clear" w:color="auto" w:fill="FFFFFF"/>
        </w:rPr>
        <w:t> </w:t>
      </w:r>
    </w:p>
    <w:p w14:paraId="0D25F298" w14:textId="77777777" w:rsidR="0081374C" w:rsidRPr="0081374C" w:rsidRDefault="0081374C" w:rsidP="0081374C">
      <w:pPr>
        <w:keepNext/>
        <w:rPr>
          <w:rStyle w:val="apple-converted-space"/>
          <w:rFonts w:ascii="Arial" w:hAnsi="Arial" w:cs="Arial"/>
          <w:b/>
          <w:bCs/>
          <w:color w:val="000000"/>
          <w:shd w:val="clear" w:color="auto" w:fill="FFFFFF"/>
        </w:rPr>
      </w:pPr>
      <w:r w:rsidRPr="0081374C">
        <w:rPr>
          <w:rStyle w:val="apple-converted-space"/>
          <w:rFonts w:ascii="Arial" w:hAnsi="Arial" w:cs="Arial"/>
          <w:b/>
          <w:bCs/>
          <w:color w:val="000000"/>
          <w:shd w:val="clear" w:color="auto" w:fill="FFFFFF"/>
        </w:rPr>
        <w:t>The following was added to methods:</w:t>
      </w:r>
    </w:p>
    <w:p w14:paraId="432D3873" w14:textId="77777777" w:rsidR="0081374C" w:rsidRDefault="0081374C" w:rsidP="0081374C">
      <w:pPr>
        <w:keepNext/>
        <w:ind w:left="720"/>
        <w:rPr>
          <w:b/>
          <w:bCs/>
        </w:rPr>
      </w:pPr>
      <w:r w:rsidRPr="0081374C">
        <w:rPr>
          <w:b/>
          <w:bCs/>
        </w:rPr>
        <w:t>“</w:t>
      </w:r>
      <w:r w:rsidRPr="0081374C">
        <w:rPr>
          <w:b/>
          <w:bCs/>
        </w:rPr>
        <w:t xml:space="preserve">Peri-menarche and </w:t>
      </w:r>
      <w:proofErr w:type="gramStart"/>
      <w:r w:rsidRPr="0081374C">
        <w:rPr>
          <w:b/>
          <w:bCs/>
        </w:rPr>
        <w:t>peri-menopause</w:t>
      </w:r>
      <w:proofErr w:type="gramEnd"/>
      <w:r w:rsidRPr="0081374C">
        <w:rPr>
          <w:b/>
          <w:bCs/>
        </w:rPr>
        <w:t xml:space="preserve"> were abstractly simulated such as that all patients had hormone cycles but for ages at the extremes the cycles had modified cycle patterns consistent with literature values. Therefore, no patients were pre-pubertal or post-menopausal for our study.</w:t>
      </w:r>
      <w:r w:rsidRPr="0081374C">
        <w:rPr>
          <w:b/>
          <w:bCs/>
        </w:rPr>
        <w:t>”</w:t>
      </w:r>
    </w:p>
    <w:p w14:paraId="1DF17E8E" w14:textId="77777777" w:rsidR="007E27BA" w:rsidRPr="007E27BA" w:rsidRDefault="008A559D" w:rsidP="0081374C">
      <w:pPr>
        <w:keepNext/>
        <w:rPr>
          <w:rFonts w:ascii="Arial" w:hAnsi="Arial" w:cs="Arial"/>
          <w:b/>
          <w:bCs/>
          <w:color w:val="000000"/>
        </w:rPr>
      </w:pPr>
      <w:r w:rsidRPr="00BF2053">
        <w:rPr>
          <w:rFonts w:ascii="Arial" w:hAnsi="Arial" w:cs="Arial"/>
          <w:color w:val="000000"/>
          <w:shd w:val="clear" w:color="auto" w:fill="FFFFFF"/>
        </w:rPr>
        <w:t xml:space="preserve">4) How would the remainder of the heterogenous cohort, outside of the 10% PCOS, 10% peri-menarche, and ~15% </w:t>
      </w:r>
      <w:proofErr w:type="gramStart"/>
      <w:r w:rsidRPr="00BF2053">
        <w:rPr>
          <w:rFonts w:ascii="Arial" w:hAnsi="Arial" w:cs="Arial"/>
          <w:color w:val="000000"/>
          <w:shd w:val="clear" w:color="auto" w:fill="FFFFFF"/>
        </w:rPr>
        <w:t>peri-menopause</w:t>
      </w:r>
      <w:proofErr w:type="gramEnd"/>
      <w:r w:rsidRPr="00BF2053">
        <w:rPr>
          <w:rFonts w:ascii="Arial" w:hAnsi="Arial" w:cs="Arial"/>
          <w:color w:val="000000"/>
          <w:shd w:val="clear" w:color="auto" w:fill="FFFFFF"/>
        </w:rPr>
        <w:t xml:space="preserve">, compare, </w:t>
      </w:r>
      <w:proofErr w:type="gramStart"/>
      <w:r w:rsidRPr="00BF2053">
        <w:rPr>
          <w:rFonts w:ascii="Arial" w:hAnsi="Arial" w:cs="Arial"/>
          <w:color w:val="000000"/>
          <w:shd w:val="clear" w:color="auto" w:fill="FFFFFF"/>
        </w:rPr>
        <w:t>from a hormonal standpoint,</w:t>
      </w:r>
      <w:proofErr w:type="gramEnd"/>
      <w:r w:rsidRPr="00BF2053">
        <w:rPr>
          <w:rFonts w:ascii="Arial" w:hAnsi="Arial" w:cs="Arial"/>
          <w:color w:val="000000"/>
          <w:shd w:val="clear" w:color="auto" w:fill="FFFFFF"/>
        </w:rPr>
        <w:t xml:space="preserve"> to the healthy cohort? Is the 79% ovulatory cycle rate from the heterogenous cohort related to the fact that most of these simulated patients did not actually fall into one of the above three categories?</w:t>
      </w:r>
      <w:r w:rsidRPr="00BF2053">
        <w:rPr>
          <w:rStyle w:val="apple-converted-space"/>
          <w:rFonts w:ascii="Arial" w:hAnsi="Arial" w:cs="Arial"/>
          <w:color w:val="000000"/>
          <w:shd w:val="clear" w:color="auto" w:fill="FFFFFF"/>
        </w:rPr>
        <w:t> </w:t>
      </w:r>
      <w:r w:rsidRPr="00BF2053">
        <w:rPr>
          <w:rFonts w:ascii="Arial" w:hAnsi="Arial" w:cs="Arial"/>
          <w:color w:val="000000"/>
        </w:rPr>
        <w:br/>
      </w:r>
      <w:r w:rsidRPr="00BF2053">
        <w:rPr>
          <w:rFonts w:ascii="Arial" w:hAnsi="Arial" w:cs="Arial"/>
          <w:color w:val="000000"/>
        </w:rPr>
        <w:br/>
      </w:r>
      <w:r w:rsidRPr="00BF2053">
        <w:rPr>
          <w:rFonts w:ascii="Arial" w:hAnsi="Arial" w:cs="Arial"/>
          <w:color w:val="000000"/>
          <w:shd w:val="clear" w:color="auto" w:fill="FFFFFF"/>
        </w:rPr>
        <w:t>Figures:</w:t>
      </w:r>
      <w:r w:rsidRPr="00BF2053">
        <w:rPr>
          <w:rFonts w:ascii="Arial" w:hAnsi="Arial" w:cs="Arial"/>
          <w:color w:val="000000"/>
        </w:rPr>
        <w:br/>
      </w:r>
      <w:r w:rsidRPr="00BF2053">
        <w:rPr>
          <w:rFonts w:ascii="Arial" w:hAnsi="Arial" w:cs="Arial"/>
          <w:color w:val="000000"/>
          <w:shd w:val="clear" w:color="auto" w:fill="FFFFFF"/>
        </w:rPr>
        <w:t>1) Figures 1 and 2 may benefit from clarifying that the data reflects false positive rates when using the full healthy and heterogenous cohorts (50,000 each) while Figures 3 reflects false positive rates when simulating smaller cohorts with real-world applicability (30, 50, and 100 participants).</w:t>
      </w:r>
      <w:r w:rsidRPr="00BF2053">
        <w:rPr>
          <w:rFonts w:ascii="Arial" w:hAnsi="Arial" w:cs="Arial"/>
          <w:color w:val="000000"/>
        </w:rPr>
        <w:br/>
      </w:r>
      <w:r w:rsidR="0081374C" w:rsidRPr="007E27BA">
        <w:rPr>
          <w:rFonts w:ascii="Arial" w:hAnsi="Arial" w:cs="Arial"/>
          <w:b/>
          <w:bCs/>
          <w:color w:val="000000"/>
        </w:rPr>
        <w:t>Figures 1 and 2 were revised, now they both explicitly mention n=50,000</w:t>
      </w:r>
      <w:r w:rsidR="007E27BA" w:rsidRPr="007E27BA">
        <w:rPr>
          <w:rFonts w:ascii="Arial" w:hAnsi="Arial" w:cs="Arial"/>
          <w:b/>
          <w:bCs/>
          <w:color w:val="000000"/>
        </w:rPr>
        <w:t>. Figure 3 already explicitly states 30,50 and 100 in the figure legend.</w:t>
      </w:r>
    </w:p>
    <w:p w14:paraId="70500DB7" w14:textId="77777777" w:rsidR="00024687" w:rsidRDefault="008A559D" w:rsidP="0081374C">
      <w:pPr>
        <w:keepNext/>
        <w:rPr>
          <w:rFonts w:ascii="Arial" w:hAnsi="Arial" w:cs="Arial"/>
          <w:color w:val="000000"/>
          <w:shd w:val="clear" w:color="auto" w:fill="FFFFFF"/>
        </w:rPr>
      </w:pPr>
      <w:r w:rsidRPr="00BF2053">
        <w:rPr>
          <w:rFonts w:ascii="Arial" w:hAnsi="Arial" w:cs="Arial"/>
          <w:color w:val="000000"/>
        </w:rPr>
        <w:br/>
      </w:r>
      <w:r w:rsidRPr="00BF2053">
        <w:rPr>
          <w:rFonts w:ascii="Arial" w:hAnsi="Arial" w:cs="Arial"/>
          <w:color w:val="000000"/>
          <w:shd w:val="clear" w:color="auto" w:fill="FFFFFF"/>
        </w:rPr>
        <w:t>2) The last three figures provided in the manuscript proof file do not have figure legends or titles, nor are they directly referenced in the body of the MS.</w:t>
      </w:r>
    </w:p>
    <w:p w14:paraId="4333DA97" w14:textId="77777777" w:rsidR="00024687" w:rsidRPr="00024687" w:rsidRDefault="00024687" w:rsidP="0081374C">
      <w:pPr>
        <w:keepNext/>
        <w:rPr>
          <w:rFonts w:ascii="Arial" w:hAnsi="Arial" w:cs="Arial"/>
          <w:b/>
          <w:bCs/>
          <w:color w:val="000000"/>
          <w:shd w:val="clear" w:color="auto" w:fill="FFFFFF"/>
        </w:rPr>
      </w:pPr>
      <w:r w:rsidRPr="00024687">
        <w:rPr>
          <w:rFonts w:ascii="Arial" w:hAnsi="Arial" w:cs="Arial"/>
          <w:b/>
          <w:bCs/>
          <w:color w:val="000000"/>
          <w:shd w:val="clear" w:color="auto" w:fill="FFFFFF"/>
        </w:rPr>
        <w:t>These figures were high resolution versions of those shown in the manuscript document. They are now omitted from the proof.</w:t>
      </w:r>
    </w:p>
    <w:p w14:paraId="006C2FB9" w14:textId="77777777" w:rsidR="00024687" w:rsidRPr="00024687" w:rsidRDefault="008A559D" w:rsidP="0081374C">
      <w:pPr>
        <w:keepNext/>
        <w:rPr>
          <w:rFonts w:ascii="Arial" w:hAnsi="Arial" w:cs="Arial"/>
          <w:b/>
          <w:bCs/>
          <w:color w:val="000000"/>
        </w:rPr>
      </w:pPr>
      <w:r w:rsidRPr="00BF2053">
        <w:rPr>
          <w:rFonts w:ascii="Arial" w:hAnsi="Arial" w:cs="Arial"/>
          <w:color w:val="000000"/>
        </w:rPr>
        <w:br/>
      </w:r>
      <w:r w:rsidRPr="00BF2053">
        <w:rPr>
          <w:rFonts w:ascii="Arial" w:hAnsi="Arial" w:cs="Arial"/>
          <w:color w:val="000000"/>
        </w:rPr>
        <w:br/>
      </w:r>
      <w:r w:rsidRPr="00BF2053">
        <w:rPr>
          <w:rFonts w:ascii="Arial" w:hAnsi="Arial" w:cs="Arial"/>
          <w:color w:val="000000"/>
          <w:shd w:val="clear" w:color="auto" w:fill="FFFFFF"/>
        </w:rPr>
        <w:t>Additional comments on the discussion:</w:t>
      </w:r>
      <w:r w:rsidRPr="00BF2053">
        <w:rPr>
          <w:rStyle w:val="apple-converted-space"/>
          <w:rFonts w:ascii="Arial" w:hAnsi="Arial" w:cs="Arial"/>
          <w:color w:val="000000"/>
          <w:shd w:val="clear" w:color="auto" w:fill="FFFFFF"/>
        </w:rPr>
        <w:t> </w:t>
      </w:r>
      <w:r w:rsidRPr="00BF2053">
        <w:rPr>
          <w:rFonts w:ascii="Arial" w:hAnsi="Arial" w:cs="Arial"/>
          <w:color w:val="000000"/>
        </w:rPr>
        <w:br/>
      </w:r>
      <w:r w:rsidRPr="00BF2053">
        <w:rPr>
          <w:rFonts w:ascii="Arial" w:hAnsi="Arial" w:cs="Arial"/>
          <w:color w:val="000000"/>
          <w:shd w:val="clear" w:color="auto" w:fill="FFFFFF"/>
        </w:rPr>
        <w:t xml:space="preserve">1) Can this simulated data, alone, help to identify the likely minimum diary duration and minimum number of seizure days per month that one would need, in real-patient </w:t>
      </w:r>
      <w:r w:rsidRPr="00BF2053">
        <w:rPr>
          <w:rFonts w:ascii="Arial" w:hAnsi="Arial" w:cs="Arial"/>
          <w:color w:val="000000"/>
          <w:shd w:val="clear" w:color="auto" w:fill="FFFFFF"/>
        </w:rPr>
        <w:lastRenderedPageBreak/>
        <w:t>scenarios, to reliably diagnose CE?</w:t>
      </w:r>
      <w:r w:rsidRPr="00BF2053">
        <w:rPr>
          <w:rStyle w:val="apple-converted-space"/>
          <w:rFonts w:ascii="Arial" w:hAnsi="Arial" w:cs="Arial"/>
          <w:color w:val="000000"/>
          <w:shd w:val="clear" w:color="auto" w:fill="FFFFFF"/>
        </w:rPr>
        <w:t> </w:t>
      </w:r>
      <w:r w:rsidRPr="00BF2053">
        <w:rPr>
          <w:rFonts w:ascii="Arial" w:hAnsi="Arial" w:cs="Arial"/>
          <w:color w:val="000000"/>
        </w:rPr>
        <w:br/>
      </w:r>
      <w:r w:rsidR="00024687" w:rsidRPr="00024687">
        <w:rPr>
          <w:rFonts w:ascii="Arial" w:hAnsi="Arial" w:cs="Arial"/>
          <w:b/>
          <w:bCs/>
          <w:color w:val="000000"/>
        </w:rPr>
        <w:t>The following was added to the discussion:</w:t>
      </w:r>
    </w:p>
    <w:p w14:paraId="516F6C80" w14:textId="32929BB6" w:rsidR="00024687" w:rsidRPr="00024687" w:rsidRDefault="00024687" w:rsidP="00024687">
      <w:pPr>
        <w:ind w:left="720"/>
        <w:rPr>
          <w:b/>
          <w:bCs/>
        </w:rPr>
      </w:pPr>
      <w:r w:rsidRPr="00024687">
        <w:rPr>
          <w:b/>
          <w:bCs/>
        </w:rPr>
        <w:t>“</w:t>
      </w:r>
      <w:r w:rsidRPr="00024687">
        <w:rPr>
          <w:b/>
          <w:bCs/>
        </w:rPr>
        <w:t>The present simulations are not equipped to develop a tool for reliable diagnosis of CE, because the inter-relationship between hormone cycles and seizure diaries were not modelled. If this physiology were to be well characterized in a large cohort of CE patients, then it would be possible to update the simulations presented here to test hypotheses about clinical criteria for distinguishing true CE from false-positive diagnosis caused by chance alone.</w:t>
      </w:r>
      <w:r>
        <w:rPr>
          <w:b/>
          <w:bCs/>
        </w:rPr>
        <w:t xml:space="preserve"> </w:t>
      </w:r>
      <w:r w:rsidRPr="00024687">
        <w:rPr>
          <w:b/>
          <w:bCs/>
        </w:rPr>
        <w:t xml:space="preserve">Conversely, our goal here was to show that in the non-CE patient, there is a significance risk of </w:t>
      </w:r>
      <w:r w:rsidRPr="00024687">
        <w:rPr>
          <w:b/>
          <w:bCs/>
        </w:rPr>
        <w:t>misdiagnosis</w:t>
      </w:r>
      <w:r w:rsidRPr="00024687">
        <w:rPr>
          <w:b/>
          <w:bCs/>
        </w:rPr>
        <w:t>.</w:t>
      </w:r>
      <w:r w:rsidRPr="00024687">
        <w:rPr>
          <w:b/>
          <w:bCs/>
        </w:rPr>
        <w:t>”</w:t>
      </w:r>
    </w:p>
    <w:p w14:paraId="1F5E8C47" w14:textId="77777777" w:rsidR="00FD5756" w:rsidRDefault="008A559D" w:rsidP="0081374C">
      <w:pPr>
        <w:keepNext/>
        <w:rPr>
          <w:rFonts w:ascii="Arial" w:hAnsi="Arial" w:cs="Arial"/>
          <w:color w:val="000000"/>
          <w:shd w:val="clear" w:color="auto" w:fill="FFFFFF"/>
        </w:rPr>
      </w:pPr>
      <w:r w:rsidRPr="00BF2053">
        <w:rPr>
          <w:rFonts w:ascii="Arial" w:hAnsi="Arial" w:cs="Arial"/>
          <w:color w:val="000000"/>
        </w:rPr>
        <w:br/>
      </w:r>
      <w:r w:rsidRPr="00BF2053">
        <w:rPr>
          <w:rFonts w:ascii="Arial" w:hAnsi="Arial" w:cs="Arial"/>
          <w:color w:val="000000"/>
          <w:shd w:val="clear" w:color="auto" w:fill="FFFFFF"/>
        </w:rPr>
        <w:t>2) Would it be possible to use this simulator method to predict a CE diagnosis based on minimum duration data, if used in combination with or tested against separate, prospective seizure and menstrual diaries from real patients that were of sufficient length?</w:t>
      </w:r>
    </w:p>
    <w:p w14:paraId="4E86538B" w14:textId="444A106E" w:rsidR="00FD5756" w:rsidRPr="00024687" w:rsidRDefault="00FD5756" w:rsidP="00FD5756">
      <w:pPr>
        <w:ind w:left="720"/>
        <w:rPr>
          <w:b/>
          <w:bCs/>
        </w:rPr>
      </w:pPr>
      <w:r>
        <w:rPr>
          <w:rFonts w:ascii="Arial" w:hAnsi="Arial" w:cs="Arial"/>
          <w:b/>
          <w:bCs/>
          <w:color w:val="000000"/>
        </w:rPr>
        <w:t>See response above.</w:t>
      </w:r>
    </w:p>
    <w:p w14:paraId="7C78EF47" w14:textId="77777777" w:rsidR="003C187A" w:rsidRPr="003C187A" w:rsidRDefault="008A559D" w:rsidP="0081374C">
      <w:pPr>
        <w:keepNext/>
        <w:rPr>
          <w:rFonts w:ascii="Arial" w:hAnsi="Arial" w:cs="Arial"/>
          <w:b/>
          <w:bCs/>
          <w:color w:val="000000"/>
        </w:rPr>
      </w:pPr>
      <w:r w:rsidRPr="00BF2053">
        <w:rPr>
          <w:rFonts w:ascii="Arial" w:hAnsi="Arial" w:cs="Arial"/>
          <w:color w:val="000000"/>
        </w:rPr>
        <w:br/>
      </w:r>
      <w:r w:rsidRPr="00BF2053">
        <w:rPr>
          <w:rFonts w:ascii="Arial" w:hAnsi="Arial" w:cs="Arial"/>
          <w:color w:val="000000"/>
        </w:rPr>
        <w:br/>
      </w:r>
      <w:r w:rsidRPr="00BF2053">
        <w:rPr>
          <w:rFonts w:ascii="Arial" w:hAnsi="Arial" w:cs="Arial"/>
          <w:color w:val="000000"/>
          <w:shd w:val="clear" w:color="auto" w:fill="FFFFFF"/>
        </w:rPr>
        <w:t>Reviewer: 2</w:t>
      </w:r>
      <w:r w:rsidRPr="00BF2053">
        <w:rPr>
          <w:rFonts w:ascii="Arial" w:hAnsi="Arial" w:cs="Arial"/>
          <w:color w:val="000000"/>
        </w:rPr>
        <w:br/>
      </w:r>
      <w:r w:rsidRPr="00BF2053">
        <w:rPr>
          <w:rFonts w:ascii="Arial" w:hAnsi="Arial" w:cs="Arial"/>
          <w:color w:val="000000"/>
        </w:rPr>
        <w:br/>
      </w:r>
      <w:r w:rsidRPr="00BF2053">
        <w:rPr>
          <w:rFonts w:ascii="Arial" w:hAnsi="Arial" w:cs="Arial"/>
          <w:color w:val="000000"/>
          <w:shd w:val="clear" w:color="auto" w:fill="FFFFFF"/>
        </w:rPr>
        <w:t>Comments to the authors</w:t>
      </w:r>
      <w:r w:rsidRPr="00BF2053">
        <w:rPr>
          <w:rFonts w:ascii="Arial" w:hAnsi="Arial" w:cs="Arial"/>
          <w:color w:val="000000"/>
        </w:rPr>
        <w:br/>
      </w:r>
      <w:r w:rsidRPr="00BF2053">
        <w:rPr>
          <w:rFonts w:ascii="Arial" w:hAnsi="Arial" w:cs="Arial"/>
          <w:color w:val="000000"/>
          <w:shd w:val="clear" w:color="auto" w:fill="FFFFFF"/>
        </w:rPr>
        <w:t>Thanks for asking me to review this interesting and clinically relevant study that addresses an important weakness in the way catamenial epilepsy is currently identified. By showing that apparently convincing menstrual seizure patterns can arise even when seizure occurrence and menstrual cycling are completely independent, the paper raises some genuine uncertainty about how securely the clinical concept can be established from diary-based patterns alone. This is particularly relevant with short observation periods and relatively few seizures.</w:t>
      </w:r>
      <w:r w:rsidRPr="00BF2053">
        <w:rPr>
          <w:rStyle w:val="apple-converted-space"/>
          <w:rFonts w:ascii="Arial" w:hAnsi="Arial" w:cs="Arial"/>
          <w:color w:val="000000"/>
          <w:shd w:val="clear" w:color="auto" w:fill="FFFFFF"/>
        </w:rPr>
        <w:t> </w:t>
      </w:r>
      <w:r w:rsidRPr="00BF2053">
        <w:rPr>
          <w:rFonts w:ascii="Arial" w:hAnsi="Arial" w:cs="Arial"/>
          <w:color w:val="000000"/>
        </w:rPr>
        <w:br/>
      </w:r>
      <w:r w:rsidRPr="00BF2053">
        <w:rPr>
          <w:rFonts w:ascii="Arial" w:hAnsi="Arial" w:cs="Arial"/>
          <w:color w:val="000000"/>
        </w:rPr>
        <w:br/>
      </w:r>
      <w:r w:rsidRPr="00BF2053">
        <w:rPr>
          <w:rFonts w:ascii="Arial" w:hAnsi="Arial" w:cs="Arial"/>
          <w:color w:val="000000"/>
          <w:shd w:val="clear" w:color="auto" w:fill="FFFFFF"/>
        </w:rPr>
        <w:t xml:space="preserve">I think the manuscript is strongest when it makes this broader point. The findings do not argue that catamenial epilepsy is not biologically real, but they do suggest that some patients classified as having catamenial epilepsy using existing criteria may simply have coincidental clustering, which fits with observations about cycling in males. This distinction should probably be made more clearly in the Discussion. The current wording occasionally goes too far in suggesting that reported C1/C2/C3 patterns may simply be </w:t>
      </w:r>
      <w:r w:rsidRPr="00BF2053">
        <w:rPr>
          <w:rFonts w:ascii="Arial" w:hAnsi="Arial" w:cs="Arial"/>
          <w:color w:val="000000"/>
          <w:shd w:val="clear" w:color="auto" w:fill="FFFFFF"/>
        </w:rPr>
        <w:lastRenderedPageBreak/>
        <w:t>statistical artefact, which I don’t think the simulation can establish.</w:t>
      </w:r>
      <w:r w:rsidRPr="00BF2053">
        <w:rPr>
          <w:rStyle w:val="apple-converted-space"/>
          <w:rFonts w:ascii="Arial" w:hAnsi="Arial" w:cs="Arial"/>
          <w:color w:val="000000"/>
          <w:shd w:val="clear" w:color="auto" w:fill="FFFFFF"/>
        </w:rPr>
        <w:t> </w:t>
      </w:r>
      <w:r w:rsidRPr="00BF2053">
        <w:rPr>
          <w:rFonts w:ascii="Arial" w:hAnsi="Arial" w:cs="Arial"/>
          <w:color w:val="000000"/>
        </w:rPr>
        <w:br/>
      </w:r>
      <w:r w:rsidR="003C187A" w:rsidRPr="003C187A">
        <w:rPr>
          <w:rFonts w:ascii="Arial" w:hAnsi="Arial" w:cs="Arial"/>
          <w:b/>
          <w:bCs/>
          <w:color w:val="000000"/>
        </w:rPr>
        <w:t>The following was updated in the discussion:</w:t>
      </w:r>
    </w:p>
    <w:p w14:paraId="35CA012D" w14:textId="77777777" w:rsidR="003C187A" w:rsidRDefault="003C187A" w:rsidP="003C187A">
      <w:pPr>
        <w:keepNext/>
        <w:ind w:left="720"/>
        <w:rPr>
          <w:b/>
          <w:bCs/>
        </w:rPr>
      </w:pPr>
      <w:r w:rsidRPr="003C187A">
        <w:rPr>
          <w:rFonts w:ascii="Arial" w:hAnsi="Arial" w:cs="Arial"/>
          <w:b/>
          <w:bCs/>
          <w:color w:val="000000"/>
        </w:rPr>
        <w:t>“</w:t>
      </w:r>
      <w:r w:rsidRPr="003C187A">
        <w:rPr>
          <w:b/>
          <w:bCs/>
        </w:rPr>
        <w:t xml:space="preserve">Our results which find CE patterns in places they cannot exist raise the question of whether the C1/C2/C3 patterns reported in the literature may be </w:t>
      </w:r>
      <w:r>
        <w:rPr>
          <w:b/>
          <w:bCs/>
        </w:rPr>
        <w:t>at least partially</w:t>
      </w:r>
      <w:r w:rsidRPr="003C187A">
        <w:rPr>
          <w:b/>
          <w:bCs/>
        </w:rPr>
        <w:t xml:space="preserve"> contaminated by statistical artefact</w:t>
      </w:r>
      <w:r w:rsidRPr="003C187A">
        <w:rPr>
          <w:b/>
          <w:bCs/>
        </w:rPr>
        <w:t>.”</w:t>
      </w:r>
    </w:p>
    <w:p w14:paraId="1011A966" w14:textId="77777777" w:rsidR="003C187A" w:rsidRDefault="003C187A" w:rsidP="003C187A">
      <w:pPr>
        <w:keepNext/>
        <w:rPr>
          <w:rFonts w:ascii="Arial" w:hAnsi="Arial" w:cs="Arial"/>
          <w:b/>
          <w:bCs/>
          <w:color w:val="000000"/>
        </w:rPr>
      </w:pPr>
      <w:r>
        <w:rPr>
          <w:rFonts w:ascii="Arial" w:hAnsi="Arial" w:cs="Arial"/>
          <w:b/>
          <w:bCs/>
          <w:color w:val="000000"/>
        </w:rPr>
        <w:t>Also here in the discussion:</w:t>
      </w:r>
    </w:p>
    <w:p w14:paraId="68B5311D" w14:textId="0BF98AF5" w:rsidR="003C187A" w:rsidRPr="003C187A" w:rsidRDefault="003C187A" w:rsidP="003C187A">
      <w:pPr>
        <w:ind w:left="720"/>
        <w:rPr>
          <w:b/>
          <w:bCs/>
        </w:rPr>
      </w:pPr>
      <w:r w:rsidRPr="003C187A">
        <w:rPr>
          <w:rFonts w:ascii="Arial" w:hAnsi="Arial" w:cs="Arial"/>
          <w:b/>
          <w:bCs/>
          <w:color w:val="000000"/>
        </w:rPr>
        <w:t>“</w:t>
      </w:r>
      <w:r w:rsidRPr="003C187A">
        <w:rPr>
          <w:b/>
          <w:bCs/>
        </w:rPr>
        <w:t xml:space="preserve">More broadly, the present study cannot directly address the nature of what CE is. Instead, we focused exclusively on the case where the typical CE definitions risk significant misclassification of patients that </w:t>
      </w:r>
      <w:proofErr w:type="gramStart"/>
      <w:r w:rsidRPr="003C187A">
        <w:rPr>
          <w:b/>
          <w:bCs/>
        </w:rPr>
        <w:t>definitely don’t</w:t>
      </w:r>
      <w:proofErr w:type="gramEnd"/>
      <w:r w:rsidRPr="003C187A">
        <w:rPr>
          <w:b/>
          <w:bCs/>
        </w:rPr>
        <w:t xml:space="preserve"> have CE.</w:t>
      </w:r>
      <w:r w:rsidRPr="003C187A">
        <w:rPr>
          <w:b/>
          <w:bCs/>
        </w:rPr>
        <w:t>”</w:t>
      </w:r>
      <w:r w:rsidR="008A559D" w:rsidRPr="003C187A">
        <w:rPr>
          <w:rFonts w:ascii="Arial" w:hAnsi="Arial" w:cs="Arial"/>
          <w:b/>
          <w:bCs/>
          <w:color w:val="000000"/>
        </w:rPr>
        <w:br/>
      </w:r>
    </w:p>
    <w:p w14:paraId="2B56C116" w14:textId="77777777" w:rsidR="00DD3818" w:rsidRDefault="008A559D" w:rsidP="0081374C">
      <w:pPr>
        <w:keepNext/>
        <w:rPr>
          <w:rFonts w:ascii="Arial" w:hAnsi="Arial" w:cs="Arial"/>
          <w:color w:val="000000"/>
        </w:rPr>
      </w:pPr>
      <w:r w:rsidRPr="00BF2053">
        <w:rPr>
          <w:rFonts w:ascii="Arial" w:hAnsi="Arial" w:cs="Arial"/>
          <w:color w:val="000000"/>
          <w:shd w:val="clear" w:color="auto" w:fill="FFFFFF"/>
        </w:rPr>
        <w:t xml:space="preserve">I would also separate the C3 findings more clearly from C1 and C2, as the large overall effect in the heterogeneous cohort is mainly driven by the </w:t>
      </w:r>
      <w:proofErr w:type="gramStart"/>
      <w:r w:rsidRPr="00BF2053">
        <w:rPr>
          <w:rFonts w:ascii="Arial" w:hAnsi="Arial" w:cs="Arial"/>
          <w:color w:val="000000"/>
          <w:shd w:val="clear" w:color="auto" w:fill="FFFFFF"/>
        </w:rPr>
        <w:t>particular way</w:t>
      </w:r>
      <w:proofErr w:type="gramEnd"/>
      <w:r w:rsidRPr="00BF2053">
        <w:rPr>
          <w:rFonts w:ascii="Arial" w:hAnsi="Arial" w:cs="Arial"/>
          <w:color w:val="000000"/>
          <w:shd w:val="clear" w:color="auto" w:fill="FFFFFF"/>
        </w:rPr>
        <w:t xml:space="preserve"> inadequate luteal phase is defined in the simulation.</w:t>
      </w:r>
      <w:r w:rsidRPr="00BF2053">
        <w:rPr>
          <w:rStyle w:val="apple-converted-space"/>
          <w:rFonts w:ascii="Arial" w:hAnsi="Arial" w:cs="Arial"/>
          <w:color w:val="000000"/>
          <w:shd w:val="clear" w:color="auto" w:fill="FFFFFF"/>
        </w:rPr>
        <w:t> </w:t>
      </w:r>
      <w:r w:rsidRPr="00BF2053">
        <w:rPr>
          <w:rFonts w:ascii="Arial" w:hAnsi="Arial" w:cs="Arial"/>
          <w:color w:val="000000"/>
        </w:rPr>
        <w:br/>
      </w:r>
    </w:p>
    <w:p w14:paraId="52DC8D90" w14:textId="77777777" w:rsidR="00DD3818" w:rsidRPr="00DD3818" w:rsidRDefault="00DD3818" w:rsidP="0081374C">
      <w:pPr>
        <w:keepNext/>
        <w:rPr>
          <w:rFonts w:ascii="Arial" w:hAnsi="Arial" w:cs="Arial"/>
          <w:b/>
          <w:bCs/>
          <w:color w:val="000000"/>
        </w:rPr>
      </w:pPr>
      <w:r w:rsidRPr="00DD3818">
        <w:rPr>
          <w:rFonts w:ascii="Arial" w:hAnsi="Arial" w:cs="Arial"/>
          <w:b/>
          <w:bCs/>
          <w:color w:val="000000"/>
        </w:rPr>
        <w:t>The results section now separates the C3 and C1/C2 findings as follows:</w:t>
      </w:r>
    </w:p>
    <w:p w14:paraId="004EB024" w14:textId="77777777" w:rsidR="00DD3818" w:rsidRPr="00DD3818" w:rsidRDefault="00DD3818" w:rsidP="00DD3818">
      <w:pPr>
        <w:ind w:left="720"/>
        <w:rPr>
          <w:b/>
          <w:bCs/>
        </w:rPr>
      </w:pPr>
      <w:r w:rsidRPr="00DD3818">
        <w:rPr>
          <w:rFonts w:ascii="Arial" w:hAnsi="Arial" w:cs="Arial"/>
          <w:b/>
          <w:bCs/>
          <w:color w:val="000000"/>
        </w:rPr>
        <w:t>“</w:t>
      </w:r>
      <w:r w:rsidRPr="00DD3818">
        <w:rPr>
          <w:b/>
          <w:bCs/>
        </w:rPr>
        <w:t>In the full 36-month diaries, C1/C2 classification rates under independence were similar between cohorts: 11.4% of classifiable healthy-ovulatory participant-windows and 11.6% of classifiable heterogeneous-cohort participant-windows met at least one of these criteria (Table 2). Both C1 and C2 criteria were simultaneously met by 2.2% of healthy-cohort participants and 2.1% of heterogeneous-cohort participants.</w:t>
      </w:r>
    </w:p>
    <w:p w14:paraId="54916C0A" w14:textId="65489BAC" w:rsidR="00DD3818" w:rsidRDefault="00DD3818" w:rsidP="00DD3818">
      <w:pPr>
        <w:keepNext/>
        <w:ind w:left="720"/>
        <w:rPr>
          <w:b/>
          <w:bCs/>
        </w:rPr>
      </w:pPr>
      <w:r w:rsidRPr="00DD3818">
        <w:rPr>
          <w:b/>
          <w:bCs/>
        </w:rPr>
        <w:t>C3 was evaluated separately in the heterogeneous cohort</w:t>
      </w:r>
      <w:r w:rsidR="003924C8">
        <w:rPr>
          <w:b/>
          <w:bCs/>
        </w:rPr>
        <w:t xml:space="preserve"> by design</w:t>
      </w:r>
      <w:r w:rsidRPr="00DD3818">
        <w:rPr>
          <w:b/>
          <w:bCs/>
        </w:rPr>
        <w:t>, with eligibility determined by the simulator-generated inadequate-luteal-phase designation. C3 was positive in 37.0% of applicable, classifiable windows. Including C3 increased the heterogeneous cohort’s composite classification rate to 35.8% of classifiable participant-windows. Among the 1,068 heterogeneous-cohort participants meeting both C1 and C2 criteria, 564 did not meet C3 while 504 also met C3, representing 1.1% and 1.0% of 50,000 participants, respectively.</w:t>
      </w:r>
      <w:r w:rsidRPr="00DD3818">
        <w:rPr>
          <w:b/>
          <w:bCs/>
        </w:rPr>
        <w:t>”</w:t>
      </w:r>
    </w:p>
    <w:p w14:paraId="69E4D890" w14:textId="65B68C9C" w:rsidR="00DD3818" w:rsidRDefault="00DD3818" w:rsidP="00DD3818">
      <w:pPr>
        <w:keepNext/>
        <w:rPr>
          <w:b/>
          <w:bCs/>
        </w:rPr>
      </w:pPr>
      <w:r>
        <w:rPr>
          <w:b/>
          <w:bCs/>
        </w:rPr>
        <w:t>Additionally, in the discussion we added this:</w:t>
      </w:r>
    </w:p>
    <w:p w14:paraId="721BDD24" w14:textId="1A427B19" w:rsidR="00DD3818" w:rsidRPr="00783546" w:rsidRDefault="00783546" w:rsidP="00783546">
      <w:pPr>
        <w:keepNext/>
        <w:ind w:left="720"/>
        <w:rPr>
          <w:b/>
          <w:bCs/>
        </w:rPr>
      </w:pPr>
      <w:r w:rsidRPr="00783546">
        <w:rPr>
          <w:b/>
          <w:bCs/>
        </w:rPr>
        <w:t>“</w:t>
      </w:r>
      <w:r w:rsidRPr="00783546">
        <w:rPr>
          <w:b/>
          <w:bCs/>
        </w:rPr>
        <w:t>The</w:t>
      </w:r>
      <w:r w:rsidRPr="00783546">
        <w:rPr>
          <w:b/>
          <w:bCs/>
        </w:rPr>
        <w:t xml:space="preserve"> </w:t>
      </w:r>
      <w:r w:rsidRPr="00783546">
        <w:rPr>
          <w:b/>
          <w:bCs/>
        </w:rPr>
        <w:t xml:space="preserve">C1/C2 behavior was similar between cohorts, whereas the largest heterogeneous-cohort excess was C3-driven. The excess C3 classification largely reflected the inadequate-luteal-phase rule. C3 eligibility depended on simulated ovulatory status and progesterone profiles, followed by a custom </w:t>
      </w:r>
      <w:r w:rsidRPr="00783546">
        <w:rPr>
          <w:b/>
          <w:bCs/>
        </w:rPr>
        <w:lastRenderedPageBreak/>
        <w:t>timing and aggregation procedure. The estimated false-positive rate is therefore conditional on these modeling choices and may not generalize to other methods of identifying inadequate luteal phase. The C1/C2 findings demonstrate that false-positive classification also occurs without the additional assumptions governing C3 eligibility.</w:t>
      </w:r>
      <w:r w:rsidRPr="00783546">
        <w:rPr>
          <w:b/>
          <w:bCs/>
        </w:rPr>
        <w:t>”</w:t>
      </w:r>
    </w:p>
    <w:p w14:paraId="263B51FE" w14:textId="4D51C222" w:rsidR="008A559D" w:rsidRPr="007E27BA" w:rsidRDefault="008A559D" w:rsidP="00DD3818">
      <w:pPr>
        <w:keepNext/>
        <w:rPr>
          <w:rFonts w:ascii="Arial" w:hAnsi="Arial" w:cs="Arial"/>
          <w:color w:val="000000"/>
        </w:rPr>
      </w:pPr>
      <w:r w:rsidRPr="00BF2053">
        <w:rPr>
          <w:rFonts w:ascii="Arial" w:hAnsi="Arial" w:cs="Arial"/>
          <w:color w:val="000000"/>
        </w:rPr>
        <w:br/>
      </w:r>
      <w:r w:rsidRPr="00BF2053">
        <w:rPr>
          <w:rFonts w:ascii="Arial" w:hAnsi="Arial" w:cs="Arial"/>
          <w:color w:val="000000"/>
          <w:shd w:val="clear" w:color="auto" w:fill="FFFFFF"/>
        </w:rPr>
        <w:t>Overall, I think this is a useful paper and likely to stimulate more rethinking of how catamenial epilepsy is defined. Its main message is not that catamenial epilepsy does not exist, but that menstrual clustering alone may be much weaker evidence for a true hormone-related seizure disorder than has generally been assumed.</w:t>
      </w:r>
    </w:p>
    <w:sectPr w:rsidR="008A559D" w:rsidRPr="007E2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59D"/>
    <w:rsid w:val="000160B5"/>
    <w:rsid w:val="00024687"/>
    <w:rsid w:val="002D09BB"/>
    <w:rsid w:val="003924C8"/>
    <w:rsid w:val="003C187A"/>
    <w:rsid w:val="004158AC"/>
    <w:rsid w:val="005F0AD2"/>
    <w:rsid w:val="006A1311"/>
    <w:rsid w:val="00783546"/>
    <w:rsid w:val="007E27BA"/>
    <w:rsid w:val="0081374C"/>
    <w:rsid w:val="008A559D"/>
    <w:rsid w:val="00952B86"/>
    <w:rsid w:val="00A208B5"/>
    <w:rsid w:val="00BF2053"/>
    <w:rsid w:val="00DD3818"/>
    <w:rsid w:val="00EF3B7D"/>
    <w:rsid w:val="00FD5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70992A"/>
  <w15:chartTrackingRefBased/>
  <w15:docId w15:val="{AF103C4D-EDE7-8841-85C0-5A2D103B3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59D"/>
    <w:rPr>
      <w:rFonts w:eastAsiaTheme="majorEastAsia" w:cstheme="majorBidi"/>
      <w:color w:val="272727" w:themeColor="text1" w:themeTint="D8"/>
    </w:rPr>
  </w:style>
  <w:style w:type="paragraph" w:styleId="Title">
    <w:name w:val="Title"/>
    <w:basedOn w:val="Normal"/>
    <w:next w:val="Normal"/>
    <w:link w:val="TitleChar"/>
    <w:uiPriority w:val="10"/>
    <w:qFormat/>
    <w:rsid w:val="008A5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59D"/>
    <w:pPr>
      <w:spacing w:before="160"/>
      <w:jc w:val="center"/>
    </w:pPr>
    <w:rPr>
      <w:i/>
      <w:iCs/>
      <w:color w:val="404040" w:themeColor="text1" w:themeTint="BF"/>
    </w:rPr>
  </w:style>
  <w:style w:type="character" w:customStyle="1" w:styleId="QuoteChar">
    <w:name w:val="Quote Char"/>
    <w:basedOn w:val="DefaultParagraphFont"/>
    <w:link w:val="Quote"/>
    <w:uiPriority w:val="29"/>
    <w:rsid w:val="008A559D"/>
    <w:rPr>
      <w:i/>
      <w:iCs/>
      <w:color w:val="404040" w:themeColor="text1" w:themeTint="BF"/>
    </w:rPr>
  </w:style>
  <w:style w:type="paragraph" w:styleId="ListParagraph">
    <w:name w:val="List Paragraph"/>
    <w:basedOn w:val="Normal"/>
    <w:uiPriority w:val="34"/>
    <w:qFormat/>
    <w:rsid w:val="008A559D"/>
    <w:pPr>
      <w:ind w:left="720"/>
      <w:contextualSpacing/>
    </w:pPr>
  </w:style>
  <w:style w:type="character" w:styleId="IntenseEmphasis">
    <w:name w:val="Intense Emphasis"/>
    <w:basedOn w:val="DefaultParagraphFont"/>
    <w:uiPriority w:val="21"/>
    <w:qFormat/>
    <w:rsid w:val="008A559D"/>
    <w:rPr>
      <w:i/>
      <w:iCs/>
      <w:color w:val="0F4761" w:themeColor="accent1" w:themeShade="BF"/>
    </w:rPr>
  </w:style>
  <w:style w:type="paragraph" w:styleId="IntenseQuote">
    <w:name w:val="Intense Quote"/>
    <w:basedOn w:val="Normal"/>
    <w:next w:val="Normal"/>
    <w:link w:val="IntenseQuoteChar"/>
    <w:uiPriority w:val="30"/>
    <w:qFormat/>
    <w:rsid w:val="008A5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59D"/>
    <w:rPr>
      <w:i/>
      <w:iCs/>
      <w:color w:val="0F4761" w:themeColor="accent1" w:themeShade="BF"/>
    </w:rPr>
  </w:style>
  <w:style w:type="character" w:styleId="IntenseReference">
    <w:name w:val="Intense Reference"/>
    <w:basedOn w:val="DefaultParagraphFont"/>
    <w:uiPriority w:val="32"/>
    <w:qFormat/>
    <w:rsid w:val="008A559D"/>
    <w:rPr>
      <w:b/>
      <w:bCs/>
      <w:smallCaps/>
      <w:color w:val="0F4761" w:themeColor="accent1" w:themeShade="BF"/>
      <w:spacing w:val="5"/>
    </w:rPr>
  </w:style>
  <w:style w:type="character" w:customStyle="1" w:styleId="apple-converted-space">
    <w:name w:val="apple-converted-space"/>
    <w:basedOn w:val="DefaultParagraphFont"/>
    <w:rsid w:val="008A55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1675</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Goldenholz, Daniel M (HMFP - Neurology )</dc:creator>
  <cp:keywords/>
  <dc:description/>
  <cp:lastModifiedBy>Goldenholz, Daniel M (HMFP - Neurology )</cp:lastModifiedBy>
  <cp:revision>4</cp:revision>
  <dcterms:created xsi:type="dcterms:W3CDTF">2026-09-29T20:39:00Z</dcterms:created>
  <dcterms:modified xsi:type="dcterms:W3CDTF">2026-10-01T22:49:00Z</dcterms:modified>
</cp:coreProperties>
</file>