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left"/>
      </w:pPr>
      <w:r>
        <w:rPr>
          <w:rFonts w:ascii="Times New Roman" w:hAnsi="Times New Roman" w:eastAsia="Times New Roman"/>
          <w:b/>
          <w:sz w:val="28"/>
        </w:rPr>
        <w:t>Supplementary Appendix: Apparent Catamenial Epilepsy Classification Under Independence</w:t>
      </w:r>
    </w:p>
    <w:p>
      <w:pPr>
        <w:spacing w:line="480" w:lineRule="auto" w:after="0"/>
        <w:jc w:val="left"/>
      </w:pPr>
      <w:r>
        <w:t>This appendix provides additional methodological details, defined analysis choices, quality-control checks, sensitivity analyses, and supplementary results for the null simulation. It is intended as online supplementary material accompanying the main Neurology submission draft.</w:t>
      </w:r>
    </w:p>
    <w:p>
      <w:pPr>
        <w:pStyle w:val="Heading1"/>
      </w:pPr>
      <w:r>
        <w:t>Table of Contents</w:t>
      </w:r>
    </w:p>
    <w:p>
      <w:pPr>
        <w:pStyle w:val="ListBullet"/>
        <w:spacing w:line="480" w:lineRule="auto" w:after="0"/>
        <w:jc w:val="left"/>
      </w:pPr>
      <w:r>
        <w:t>A1. Simulation design and reproducibility</w:t>
      </w:r>
    </w:p>
    <w:p>
      <w:pPr>
        <w:pStyle w:val="ListBullet"/>
        <w:spacing w:line="480" w:lineRule="auto" w:after="0"/>
        <w:jc w:val="left"/>
      </w:pPr>
      <w:r>
        <w:t>A2. Simulator descriptions and validation targets</w:t>
      </w:r>
    </w:p>
    <w:p>
      <w:pPr>
        <w:pStyle w:val="ListBullet"/>
        <w:spacing w:line="480" w:lineRule="auto" w:after="0"/>
        <w:jc w:val="left"/>
      </w:pPr>
      <w:r>
        <w:t>A3. Cohort definitions and diary generation</w:t>
      </w:r>
    </w:p>
    <w:p>
      <w:pPr>
        <w:pStyle w:val="ListBullet"/>
        <w:spacing w:line="480" w:lineRule="auto" w:after="0"/>
        <w:jc w:val="left"/>
      </w:pPr>
      <w:r>
        <w:t>A4. Phase labeling and catamenial epilepsy definitions</w:t>
      </w:r>
    </w:p>
    <w:p>
      <w:pPr>
        <w:pStyle w:val="ListBullet"/>
        <w:spacing w:line="480" w:lineRule="auto" w:after="0"/>
        <w:jc w:val="left"/>
      </w:pPr>
      <w:r>
        <w:t>A5. Observation windows and analyzability rules</w:t>
      </w:r>
    </w:p>
    <w:p>
      <w:pPr>
        <w:pStyle w:val="ListBullet"/>
        <w:spacing w:line="480" w:lineRule="auto" w:after="0"/>
        <w:jc w:val="left"/>
      </w:pPr>
      <w:r>
        <w:t>A6. Statistical analysis and edge-case handling</w:t>
      </w:r>
    </w:p>
    <w:p>
      <w:pPr>
        <w:pStyle w:val="ListBullet"/>
        <w:spacing w:line="480" w:lineRule="auto" w:after="0"/>
        <w:jc w:val="left"/>
      </w:pPr>
      <w:r>
        <w:t>A7. Supplementary results</w:t>
      </w:r>
    </w:p>
    <w:p>
      <w:pPr>
        <w:pStyle w:val="ListBullet"/>
        <w:spacing w:line="480" w:lineRule="auto" w:after="0"/>
        <w:jc w:val="left"/>
      </w:pPr>
      <w:r>
        <w:t>A8. Output provenance and assumptions</w:t>
      </w:r>
    </w:p>
    <w:p>
      <w:pPr>
        <w:pStyle w:val="Heading1"/>
      </w:pPr>
      <w:r>
        <w:t>A1. Simulation design and reproducibility</w:t>
      </w:r>
    </w:p>
    <w:p>
      <w:pPr>
        <w:spacing w:line="480" w:lineRule="auto" w:after="0"/>
        <w:jc w:val="left"/>
      </w:pPr>
      <w:r>
        <w:t>The analysis used a deterministic master seed of 20260505. The full run simulated 100,000 synthetic participants, processed in chunks, with 50,000 in the healthy ovulatory cohort and 50,000 in the heterogeneous menstruating-age cohort. The 36-month diaries were generated independently for seizures and menstrual/hormone cycles, followed by a participant-specific random circular shift before merging.</w:t>
      </w:r>
    </w:p>
    <w:p>
      <w:pPr>
        <w:spacing w:line="480" w:lineRule="auto" w:after="0"/>
        <w:jc w:val="left"/>
      </w:pPr>
      <w:r>
        <w:t>Daily audit data were saved for a 1% random sample. Participant-level and window-level outputs were written as parquet and CSV files, and every output artifact was recorded in a machine-readable manifest with file size and SHA-256 checksum.</w:t>
      </w:r>
    </w:p>
    <w:p>
      <w:pPr>
        <w:spacing w:line="480" w:lineRule="auto" w:after="0"/>
        <w:jc w:val="left"/>
      </w:pPr>
      <w:r>
        <w:t>The term 'defined before the full simulation run' is used instead of 'prespecified' unless a dated protocol, locked commit, or preregistration is supplied. The manifest records the seed, config values, output checksums, and adapter assumptions.</w:t>
      </w:r>
    </w:p>
    <w:p>
      <w:pPr>
        <w:pStyle w:val="Heading1"/>
      </w:pPr>
      <w:r>
        <w:t>A2. Simulator descriptions and validation targets</w:t>
      </w:r>
    </w:p>
    <w:p>
      <w:pPr>
        <w:spacing w:line="480" w:lineRule="auto" w:after="0"/>
        <w:jc w:val="left"/>
      </w:pPr>
      <w:r>
        <w:t>CHOCOLATES generated seizure-count diaries independently of menstrual-cycle state. The adapter records observed seizure burden and the simulator-reported dominant seizure-cycle period when available. Because multidien rhythms near monthly periods are a key potential mechanism for chance alignment, submitted versions should report the distribution of dominant_seizure_cycle_days and sensitivity analyses excluding or flattening 24-35-day seizure rhythms.</w:t>
      </w:r>
    </w:p>
    <w:p>
      <w:pPr>
        <w:spacing w:line="480" w:lineRule="auto" w:after="0"/>
        <w:jc w:val="left"/>
      </w:pPr>
      <w:r>
        <w:t>HORMONE-CYCLE generated menstrual/hormone diaries independently of seizure state. The adapter records age, cycle length, within-participant cycle-length SD, ovulatory fraction, progesterone and estradiol when available, and inadequate-luteal-phase flags based on a progesterone threshold of 5.0 ng/mL. Submitted versions should include package versions or commits for both simulators and a validation table comparing simulated diary metrics with empirical benchmarks.</w:t>
      </w:r>
    </w:p>
    <w:p>
      <w:pPr>
        <w:spacing w:line="480" w:lineRule="auto" w:after="0"/>
        <w:jc w:val="left"/>
      </w:pPr>
      <w:r>
        <w:t>Supplementary Table 1. Minimum simulator validation targets for submission.</w:t>
      </w:r>
    </w:p>
    <w:tbl>
      <w:tblPr>
        <w:tblStyle w:val="TableGrid"/>
        <w:tblW w:type="auto" w:w="0"/>
        <w:jc w:val="center"/>
        <w:tblLook w:firstColumn="1" w:firstRow="1" w:lastColumn="0" w:lastRow="0" w:noHBand="0" w:noVBand="1" w:val="04A0"/>
      </w:tblPr>
      <w:tblGrid>
        <w:gridCol w:w="4320"/>
        <w:gridCol w:w="4320"/>
        <w:gridCol w:w="4320"/>
      </w:tblGrid>
      <w:tr>
        <w:trPr>
          <w:tblHeader w:val="true"/>
          <w:cantSplit/>
        </w:trPr>
        <w:tc>
          <w:tcPr>
            <w:tcW w:type="dxa" w:w="259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Domain</w:t>
            </w:r>
          </w:p>
        </w:tc>
        <w:tc>
          <w:tcPr>
            <w:tcW w:type="dxa" w:w="48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Simulated metric to report</w:t>
            </w:r>
          </w:p>
        </w:tc>
        <w:tc>
          <w:tcPr>
            <w:tcW w:type="dxa" w:w="48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Reviewer-facing purpose</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Seizure burden</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Seizure days/month, seizures/month, interseizure interval dispersion, seizure-cluster metrics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Shows the null seizure diary is not an unrealistically sparse or overclustered artifact.</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Seizure rhythms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Dominant multidien period distribution; proportion in 24-35-day band; sensitivity excluding that band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Separates finite-count ratio artifacts from monthly-ish seizure-rhythm alignment.</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Menstrual cycles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Cycle-length distribution, within-participant cycle-length SD, luteal length, ovulatory fraction, anovulation frequency</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Shows phase labeling and C3 eligibility are generated from plausible cycle structure.</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Missing/irregular behavior</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Unlabeled days, non-23-35-day cycles, ILP/anovulatory flags, medical-factor prevalence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Quantifies sources of indeterminate windows and C3 sensitivity.</w:t>
            </w:r>
          </w:p>
        </w:tc>
      </w:tr>
    </w:tbl>
    <w:p/>
    <w:p>
      <w:pPr>
        <w:pStyle w:val="Heading1"/>
      </w:pPr>
      <w:r>
        <w:t>A3. Cohort definitions and diary generation</w:t>
      </w:r>
    </w:p>
    <w:p>
      <w:pPr>
        <w:spacing w:line="480" w:lineRule="auto" w:after="0"/>
        <w:jc w:val="left"/>
      </w:pPr>
      <w:r>
        <w:t>The healthy ovulatory cohort targeted adult ovulatory cycling, age 18-45 years, with simulator medical modifiers disabled where exposed. The heterogeneous menstruating-age cohort targeted a broader menstruating-age range of 13.0-54.9 years and allowed anovulation and irregularity. Because the hormone simulator exposed medical-factor controls but not a natural prevalence sampler, PCOS, peri-menarche, perimenopause, and dysmenorrhea were sampled from config.yaml rates. This cohort is an assumption-driven heterogeneity stress test unless external prevalence calibration is added.</w:t>
      </w:r>
    </w:p>
    <w:p>
      <w:pPr>
        <w:spacing w:line="480" w:lineRule="auto" w:after="0"/>
        <w:jc w:val="left"/>
      </w:pPr>
      <w:r>
        <w:t>Supplementary Table 2. Cohort construction parameters.</w:t>
      </w:r>
    </w:p>
    <w:tbl>
      <w:tblPr>
        <w:tblStyle w:val="TableGrid"/>
        <w:tblW w:type="auto" w:w="0"/>
        <w:jc w:val="center"/>
        <w:tblLook w:firstColumn="1" w:firstRow="1" w:lastColumn="0" w:lastRow="0" w:noHBand="0" w:noVBand="1" w:val="04A0"/>
      </w:tblPr>
      <w:tblGrid>
        <w:gridCol w:w="4320"/>
        <w:gridCol w:w="4320"/>
        <w:gridCol w:w="4320"/>
      </w:tblGrid>
      <w:tr>
        <w:trPr>
          <w:tblHeader w:val="true"/>
          <w:cantSplit/>
        </w:trPr>
        <w:tc>
          <w:tcPr>
            <w:tcW w:type="dxa" w:w="288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Parameter</w:t>
            </w:r>
          </w:p>
        </w:tc>
        <w:tc>
          <w:tcPr>
            <w:tcW w:type="dxa" w:w="460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Healthy ovulatory</w:t>
            </w:r>
          </w:p>
        </w:tc>
        <w:tc>
          <w:tcPr>
            <w:tcW w:type="dxa" w:w="51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Heterogeneous menstruating-age</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Target sample size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50,000</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50,000</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Age range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18.0-45.0 years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13.0-54.9 years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Ovulatory-cycle handling</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Ovulation probability set to 1.0</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Natural ovulatory/anovulatory behavior allowed</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PCOS rate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Disabled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10%</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Peri-menarche rate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Disabled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60% when age &lt;20 years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Perimenopause rate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Disabled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55% when age &gt;=45 years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Dysmenorrhea rate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Disabled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12%</w:t>
            </w:r>
          </w:p>
        </w:tc>
      </w:tr>
    </w:tbl>
    <w:p/>
    <w:p>
      <w:pPr>
        <w:pStyle w:val="Heading1"/>
      </w:pPr>
      <w:r>
        <w:t>A4. Phase labeling and catamenial epilepsy definitions</w:t>
      </w:r>
    </w:p>
    <w:p>
      <w:pPr>
        <w:spacing w:line="480" w:lineRule="auto" w:after="0"/>
        <w:jc w:val="left"/>
      </w:pPr>
      <w:r>
        <w:t>Herzog-style phases were assigned on the full diary before window subsetting. For a complete cycle of length L, day 1 was the onset of menstrual flow and backward day was defined as d-(L+1). Phase assignment used an ordered lookup: menstrual phase if days 1-3 or backward days -3 to -1; follicular phase if days 4-9; ovulatory phase if day &gt;=10 and backward day &lt;=-13; luteal phase if backward days -12 to -4. The ovulatory condition is the intersection of forward and backward criteria. Days not satisfying any rule were unlabeled.</w:t>
      </w:r>
    </w:p>
    <w:p>
      <w:pPr>
        <w:spacing w:line="480" w:lineRule="auto" w:after="0"/>
        <w:jc w:val="left"/>
      </w:pPr>
      <w:r>
        <w:t>Supplementary Table 3. Implemented catamenial epilepsy definitions.</w:t>
      </w:r>
    </w:p>
    <w:tbl>
      <w:tblPr>
        <w:tblStyle w:val="TableGrid"/>
        <w:tblW w:type="auto" w:w="0"/>
        <w:jc w:val="center"/>
        <w:tblLook w:firstColumn="1" w:firstRow="1" w:lastColumn="0" w:lastRow="0" w:noHBand="0" w:noVBand="1" w:val="04A0"/>
      </w:tblPr>
      <w:tblGrid>
        <w:gridCol w:w="4320"/>
        <w:gridCol w:w="4320"/>
        <w:gridCol w:w="4320"/>
      </w:tblGrid>
      <w:tr>
        <w:trPr>
          <w:tblHeader w:val="true"/>
          <w:cantSplit/>
        </w:trPr>
        <w:tc>
          <w:tcPr>
            <w:tcW w:type="dxa" w:w="259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Definition</w:t>
            </w:r>
          </w:p>
        </w:tc>
        <w:tc>
          <w:tcPr>
            <w:tcW w:type="dxa" w:w="633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Primary rule</w:t>
            </w:r>
          </w:p>
        </w:tc>
        <w:tc>
          <w:tcPr>
            <w:tcW w:type="dxa" w:w="374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8"/>
              </w:rPr>
              <w:t>Main analyzability condition</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Exact Herzog 2004</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Three-cycle legacy rule; any CE if at least 2 of 3 cycles show any C1, C2, or C3 pattern.</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Only complete 3-cycle windows with strict 23-35 day cycles.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Windowed Herzog thresholds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C1 ADSF(M)/ADSF(F+L) &gt;=1.69; C2 ADSF(O)/ADSF(F+L) &gt;=1.83; C3 ADSF(O+L+M)/ADSF(F) &gt;=1.62 among ILP-flagged days.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Required phases observed; undefined ratios marked indeterminate.</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Minimum-data rule</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Windowed Herzog thresholds after applying minimum duration and seizure-burden criteria.</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At least 4 months or 6 complete cycles, plus at least 4 seizure days.</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Cycle reproducibility</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At least two-thirds of eligible cycles positive for the same pattern and pooled ratio passes threshold.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At least 6 complete cycles for primary rule; 12 cycles for sensitivity.</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Negative-binomial regression</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Daily GLM with M and O indicators; one-sided Holm-adjusted tests and C1/C2 rate-ratio thresholds. Stabilized and window-only dispersion versions reported.</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Minimum-data rule passed; Poisson robust fallback recorded when needed.</w:t>
            </w:r>
          </w:p>
        </w:tc>
      </w:tr>
      <w:tr>
        <w:trPr>
          <w:cantSplit/>
        </w:trPr>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Historical rules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Assumption-based operationalizations of Newmark-Penry, Duncan 1993, Herzog 1997 twofold, and Reddy 2007 any-phase rules.</w:t>
            </w:r>
          </w:p>
        </w:tc>
        <w:tc>
          <w:tcPr>
            <w:tcW w:type="dxa" w:w="432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8"/>
              </w:rPr>
              <w:t>Reported separately and flagged as assumption based.</w:t>
            </w:r>
          </w:p>
        </w:tc>
      </w:tr>
    </w:tbl>
    <w:p/>
    <w:p>
      <w:pPr>
        <w:spacing w:line="480" w:lineRule="auto" w:after="0"/>
        <w:jc w:val="left"/>
      </w:pPr>
      <w:r>
        <w:t>C3 was evaluated only in the heterogeneous cohort when ilp_flag was true. Anovulatory cycles without ILP labeling were not automatically considered C3-positive or C3-applicable. Supplementary sensitivity rows report any CE excluding C3 and C1, C2, and C3 separately.</w:t>
      </w:r>
    </w:p>
    <w:p>
      <w:pPr>
        <w:pStyle w:val="Heading1"/>
      </w:pPr>
      <w:r>
        <w:t>A5. Observation windows and analyzability rules</w:t>
      </w:r>
    </w:p>
    <w:p>
      <w:pPr>
        <w:spacing w:line="480" w:lineRule="auto" w:after="0"/>
        <w:jc w:val="left"/>
      </w:pPr>
      <w:r>
        <w:t>Calendar windows used one random valid start day per participant for 1, 3, 4, 6, and 12 months. Cycle windows used one random valid start among complete cycles for 3, 6, and 12 cycles. The full-window analysis used the entire 36-month diary. Windows were marked indeterminate, not negative, when required phases or denominator information were unavailable.</w:t>
      </w:r>
    </w:p>
    <w:p>
      <w:pPr>
        <w:spacing w:line="480" w:lineRule="auto" w:after="0"/>
        <w:jc w:val="left"/>
      </w:pPr>
      <w:r>
        <w:t>Exact Herzog 2004 is rule-defined only for complete 3-cycle windows with strict 23-35-day cycles. Other window settings are not evaluated for this rule; they should not be interpreted as negative evidence.</w:t>
      </w:r>
    </w:p>
    <w:p>
      <w:pPr>
        <w:pStyle w:val="Heading1"/>
      </w:pPr>
      <w:r>
        <w:t>A6. Statistical analysis and edge-case handling</w:t>
      </w:r>
    </w:p>
    <w:p>
      <w:pPr>
        <w:spacing w:line="480" w:lineRule="auto" w:after="0"/>
        <w:jc w:val="left"/>
      </w:pPr>
      <w:r>
        <w:t>All ratio definitions used average daily seizure frequency rather than raw counts. If a comparator phase had observed days but zero seizures, a positive numerator produced an infinite ratio and counted positive; zero numerator and zero comparator produced an undefined ratio and an indeterminate result. Wilson 95% confidence intervals were used for simple proportions. Study-level Monte Carlo sampled 10,000 studies of 30 participants per cohort for the 3-month window.</w:t>
      </w:r>
    </w:p>
    <w:p>
      <w:pPr>
        <w:spacing w:line="480" w:lineRule="auto" w:after="0"/>
        <w:jc w:val="left"/>
      </w:pPr>
      <w:r>
        <w:t>Negative-binomial regression used daily rows with an intercept, menstrual indicator, ovulatory indicator, and cycle fixed effects when at least four complete cycles were available. The offset was one observed day. The Holm family comprised the menstrual and ovulatory one-sided tests within participant-window. Positivity required adjusted P&lt;0.05 and the corresponding threshold ratio. The stabilized-dispersion analysis uses full-diary alpha and should be interpreted as an oracle/stabilized comparator for short windows; the window-only alpha analysis is a non-oracle sensitivity.</w:t>
      </w:r>
    </w:p>
    <w:p>
      <w:pPr>
        <w:spacing w:line="480" w:lineRule="auto" w:after="0"/>
        <w:jc w:val="left"/>
      </w:pPr>
      <w:r>
        <w:t>Monte Carlo binomial intervals quantify uncertainty under the fixed simulation model. They do not include uncertainty about simulator validity, medical-factor prevalence, seizure-rhythm periods, or menstrual-cycle parameterization.</w:t>
      </w:r>
    </w:p>
    <w:p>
      <w:pPr>
        <w:pStyle w:val="Heading1"/>
      </w:pPr>
      <w:r>
        <w:t>A7. Supplementary results</w:t>
      </w:r>
    </w:p>
    <w:p>
      <w:pPr>
        <w:spacing w:line="480" w:lineRule="auto" w:after="0"/>
        <w:jc w:val="left"/>
      </w:pPr>
      <w:r>
        <w:t>Supplementary Table 3. Window-length sensitivity for core definitions.</w:t>
      </w:r>
    </w:p>
    <w:tbl>
      <w:tblPr>
        <w:tblStyle w:val="TableGrid"/>
        <w:tblW w:type="auto" w:w="0"/>
        <w:jc w:val="center"/>
        <w:tblLook w:firstColumn="1" w:firstRow="1" w:lastColumn="0" w:lastRow="0" w:noHBand="0" w:noVBand="1" w:val="04A0"/>
      </w:tblPr>
      <w:tblGrid>
        <w:gridCol w:w="1851"/>
        <w:gridCol w:w="1851"/>
        <w:gridCol w:w="1851"/>
        <w:gridCol w:w="1851"/>
        <w:gridCol w:w="1851"/>
        <w:gridCol w:w="1851"/>
        <w:gridCol w:w="1851"/>
      </w:tblGrid>
      <w:tr>
        <w:trPr>
          <w:tblHeader w:val="true"/>
          <w:cantSplit/>
        </w:trPr>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Observation window</w:t>
            </w:r>
          </w:p>
        </w:tc>
        <w:tc>
          <w:tcPr>
            <w:tcW w:type="dxa" w:w="288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Definition</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Classifiable windows</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False-positive windows</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False-positive rate</w:t>
            </w:r>
          </w:p>
        </w:tc>
        <w:tc>
          <w:tcPr>
            <w:tcW w:type="dxa" w:w="144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Indeterminate</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38,234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18,249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18,696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37,641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1,236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46,381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17,894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7.2%</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37,641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13,501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6,706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704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86.6%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41,136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1,881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47,489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16,185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41,136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12,985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15,964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68.1%</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45,266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2,207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12,419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45,266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10,661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23,101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11,616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53.8%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Suppressed</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Not interpreted (&lt;1,000)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45,122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18,831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Suppressed</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Not interpreted (&lt;1,000)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22,591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2,742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54.8%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40,861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1,860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47,394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16,299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5.2%</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40,861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12,925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15,706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68.6%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45,088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2,155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48,682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12,364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45,088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10,544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6,132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87.7%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1,966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5,576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38,083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19,748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 month</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23,184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37,529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46,369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23,060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37,530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17,825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24.9%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5,189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409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89.6%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41,240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1,862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47,490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22,546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41,240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18,769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20,438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1,279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59.1%</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45,303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2,122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48,710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20,543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45,303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18,437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40.7%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16,673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8,602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66.7%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1,947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96.1%</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45,349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22,907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1,947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58.6%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96.1%</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25,842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2,006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41,326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1,910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47,488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22,375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41,326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18,672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20,074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1,854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59.9%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45,332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2,153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48,706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20,061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2.6%</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 cycles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45,332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18,002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13,364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Exact Herzog 2004, any pattern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2,032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17,983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17,206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bl>
    <w:p/>
    <w:p>
      <w:pPr>
        <w:spacing w:line="480" w:lineRule="auto" w:after="0"/>
        <w:jc w:val="left"/>
      </w:pPr>
      <w:r>
        <w:t>Rows with fewer than 1,000 classifiable windows are retained for transparency but their positive counts and rates are suppressed to avoid over-interpretation.</w:t>
      </w:r>
    </w:p>
    <w:p>
      <w:pPr>
        <w:spacing w:line="480" w:lineRule="auto" w:after="0"/>
        <w:jc w:val="left"/>
      </w:pPr>
      <w:r>
        <w:t>Supplementary Table 4. C1/C2/C3 decomposition and C3-exclusion sensitivity.</w:t>
      </w:r>
    </w:p>
    <w:tbl>
      <w:tblPr>
        <w:tblStyle w:val="TableGrid"/>
        <w:tblW w:type="auto" w:w="0"/>
        <w:jc w:val="center"/>
        <w:tblLook w:firstColumn="1" w:firstRow="1" w:lastColumn="0" w:lastRow="0" w:noHBand="0" w:noVBand="1" w:val="04A0"/>
      </w:tblPr>
      <w:tblGrid>
        <w:gridCol w:w="2160"/>
        <w:gridCol w:w="2160"/>
        <w:gridCol w:w="2160"/>
        <w:gridCol w:w="2160"/>
        <w:gridCol w:w="2160"/>
        <w:gridCol w:w="2160"/>
      </w:tblGrid>
      <w:tr>
        <w:trPr>
          <w:tblHeader w:val="true"/>
          <w:cantSplit/>
        </w:trPr>
        <w:tc>
          <w:tcPr>
            <w:tcW w:type="dxa" w:w="194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352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Definition</w:t>
            </w:r>
          </w:p>
        </w:tc>
        <w:tc>
          <w:tcPr>
            <w:tcW w:type="dxa" w:w="165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Classifiable windows</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Positive windows</w:t>
            </w:r>
          </w:p>
        </w:tc>
        <w:tc>
          <w:tcPr>
            <w:tcW w:type="dxa" w:w="223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Apparent classification rate</w:t>
            </w:r>
          </w:p>
        </w:tc>
        <w:tc>
          <w:tcPr>
            <w:tcW w:type="dxa" w:w="136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Indeterminate</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Minimum-data rule, excluding C3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10.2% (9.9%-10.5%)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49,451</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3,893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7.9% (7.6%-8.1%)</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C2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49,495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2,753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5.6% (5.4%-5.8%)</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C3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 (NA-NA)</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100.0%</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5,576</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 (11.0%-11.5%)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 excluding C3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5,576</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11.2% (11.0%-11.5%)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10.2% (9.9%-10.5%)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Minimum-data rule, excluding C3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5,183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10.7% (10.5%-11.0%)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C1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49,392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4,171</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8.4% (8.2%-8.7%)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1.2%</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C2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49,482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2,788</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5.6% (5.4%-5.8%)</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1.0%</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C3 only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38,989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14,425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37.0% (36.5%-37.5%)</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22.0%</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17,983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36.3% (35.8%-36.7%)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 excluding C3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5,837</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11.8% (11.5%-12.1%)</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17,206</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35.6% (35.2%-36.0%)</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bl>
    <w:p/>
    <w:p>
      <w:pPr>
        <w:spacing w:line="480" w:lineRule="auto" w:after="0"/>
        <w:jc w:val="left"/>
      </w:pPr>
      <w:r>
        <w:t>Supplementary Table 5. Negative-binomial stabilized versus window-only dispersion sensitivity.</w:t>
      </w:r>
    </w:p>
    <w:tbl>
      <w:tblPr>
        <w:tblStyle w:val="TableGrid"/>
        <w:tblW w:type="auto" w:w="0"/>
        <w:jc w:val="center"/>
        <w:tblLook w:firstColumn="1" w:firstRow="1" w:lastColumn="0" w:lastRow="0" w:noHBand="0" w:noVBand="1" w:val="04A0"/>
      </w:tblPr>
      <w:tblGrid>
        <w:gridCol w:w="2160"/>
        <w:gridCol w:w="2160"/>
        <w:gridCol w:w="2160"/>
        <w:gridCol w:w="2160"/>
        <w:gridCol w:w="2160"/>
        <w:gridCol w:w="2160"/>
      </w:tblGrid>
      <w:tr>
        <w:trPr>
          <w:tblHeader w:val="true"/>
          <w:cantSplit/>
        </w:trPr>
        <w:tc>
          <w:tcPr>
            <w:tcW w:type="dxa" w:w="172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151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Observation window</w:t>
            </w:r>
          </w:p>
        </w:tc>
        <w:tc>
          <w:tcPr>
            <w:tcW w:type="dxa" w:w="352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Regression comparator</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Classifiable windows</w:t>
            </w:r>
          </w:p>
        </w:tc>
        <w:tc>
          <w:tcPr>
            <w:tcW w:type="dxa" w:w="223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Apparent classification rate</w:t>
            </w:r>
          </w:p>
        </w:tc>
        <w:tc>
          <w:tcPr>
            <w:tcW w:type="dxa" w:w="12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Indeterminate</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 (3.9%-4.2%)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window-only dispersion</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48,359</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 (3.9%-4.2%)</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 (4.0%-4.4%)</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r>
        <w:trPr>
          <w:cantSplit/>
        </w:trPr>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window-only dispersion</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48,333</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 (4.0%-4.4%)</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3.3%</w:t>
            </w:r>
          </w:p>
        </w:tc>
      </w:tr>
    </w:tbl>
    <w:p/>
    <w:p>
      <w:pPr>
        <w:spacing w:line="480" w:lineRule="auto" w:after="0"/>
        <w:jc w:val="left"/>
      </w:pPr>
      <w:r>
        <w:t>Supplementary Table 6. Study-level Monte Carlo results.</w:t>
      </w:r>
    </w:p>
    <w:tbl>
      <w:tblPr>
        <w:tblStyle w:val="TableGrid"/>
        <w:tblW w:type="auto" w:w="0"/>
        <w:jc w:val="center"/>
        <w:tblLook w:firstColumn="1" w:firstRow="1" w:lastColumn="0" w:lastRow="0" w:noHBand="0" w:noVBand="1" w:val="04A0"/>
      </w:tblPr>
      <w:tblGrid>
        <w:gridCol w:w="1851"/>
        <w:gridCol w:w="1851"/>
        <w:gridCol w:w="1851"/>
        <w:gridCol w:w="1851"/>
        <w:gridCol w:w="1851"/>
        <w:gridCol w:w="1851"/>
        <w:gridCol w:w="1851"/>
      </w:tblGrid>
      <w:tr>
        <w:trPr>
          <w:tblHeader w:val="true"/>
          <w:cantSplit/>
        </w:trPr>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259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Definition</w:t>
            </w:r>
          </w:p>
        </w:tc>
        <w:tc>
          <w:tcPr>
            <w:tcW w:type="dxa" w:w="2160"/>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Denominator</w:t>
            </w:r>
          </w:p>
        </w:tc>
        <w:tc>
          <w:tcPr>
            <w:tcW w:type="dxa" w:w="1728"/>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Mean apparent prevalence</w:t>
            </w:r>
          </w:p>
        </w:tc>
        <w:tc>
          <w:tcPr>
            <w:tcW w:type="dxa" w:w="1872"/>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2.5th-97.5th percentiles</w:t>
            </w:r>
          </w:p>
        </w:tc>
        <w:tc>
          <w:tcPr>
            <w:tcW w:type="dxa" w:w="12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P &gt;=39.1%</w:t>
            </w:r>
          </w:p>
        </w:tc>
        <w:tc>
          <w:tcPr>
            <w:tcW w:type="dxa" w:w="12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P &gt;=44.2%</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20.0%-53.3%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19.7%</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23.1%-60.0%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60.8%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Cycle reproducibility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Negative-binomial regression, stabilized dispersion</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46.0%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30.0%-63.3%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79.9%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54.5%</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thresholds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50.8%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32.0%-69.2%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89.4%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75.9%</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All participants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0.0%</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Windowed Herzog with minimum data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Classifiable participants only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NA</w:t>
            </w:r>
          </w:p>
        </w:tc>
      </w:tr>
    </w:tbl>
    <w:p/>
    <w:p>
      <w:pPr>
        <w:spacing w:line="480" w:lineRule="auto" w:after="0"/>
        <w:jc w:val="left"/>
      </w:pPr>
      <w:r>
        <w:t>Supplementary Table 7. Assumption-based historical definitions.</w:t>
      </w:r>
    </w:p>
    <w:tbl>
      <w:tblPr>
        <w:tblStyle w:val="TableGrid"/>
        <w:tblW w:type="auto" w:w="0"/>
        <w:jc w:val="center"/>
        <w:tblLook w:firstColumn="1" w:firstRow="1" w:lastColumn="0" w:lastRow="0" w:noHBand="0" w:noVBand="1" w:val="04A0"/>
      </w:tblPr>
      <w:tblGrid>
        <w:gridCol w:w="1851"/>
        <w:gridCol w:w="1851"/>
        <w:gridCol w:w="1851"/>
        <w:gridCol w:w="1851"/>
        <w:gridCol w:w="1851"/>
        <w:gridCol w:w="1851"/>
        <w:gridCol w:w="1851"/>
      </w:tblGrid>
      <w:tr>
        <w:trPr>
          <w:tblHeader w:val="true"/>
          <w:cantSplit/>
        </w:trPr>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Cohort</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Observation window</w:t>
            </w:r>
          </w:p>
        </w:tc>
        <w:tc>
          <w:tcPr>
            <w:tcW w:type="dxa" w:w="30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Definition</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Classifiable windows</w:t>
            </w:r>
          </w:p>
        </w:tc>
        <w:tc>
          <w:tcPr>
            <w:tcW w:type="dxa" w:w="158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False-positive windows</w:t>
            </w:r>
          </w:p>
        </w:tc>
        <w:tc>
          <w:tcPr>
            <w:tcW w:type="dxa" w:w="1944"/>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False-positive rate</w:t>
            </w:r>
          </w:p>
        </w:tc>
        <w:tc>
          <w:tcPr>
            <w:tcW w:type="dxa" w:w="1296"/>
            <w:vAlign w:val="center"/>
            <w:tcMar>
              <w:top w:w="80" w:type="dxa"/>
              <w:start w:w="80" w:type="dxa"/>
              <w:bottom w:w="80" w:type="dxa"/>
              <w:end w:w="80" w:type="dxa"/>
            </w:tcMar>
          </w:tcPr>
          <w:p>
            <w:pPr>
              <w:spacing w:line="240" w:lineRule="auto" w:after="0"/>
              <w:jc w:val="left"/>
            </w:pPr>
            <w:r/>
            <w:r>
              <w:rPr>
                <w:rFonts w:ascii="Times New Roman" w:hAnsi="Times New Roman" w:eastAsia="Times New Roman"/>
                <w:b/>
                <w:sz w:val="16"/>
              </w:rPr>
              <w:t>Indeterminate</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Duncan 1993 ten-day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3,163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7.0% (6.8%-7.2%)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1997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16,862</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37.2% (36.8%-37.7%)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perimenstrual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3,939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8.7% (8.4%-9.0%)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two-thirds sensitivity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1,870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4.1% (4.0%-4.3%)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Reddy 2007 any-phase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45,280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34,681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76.6% (76.2%-77.0%)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Duncan 1993 ten-day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0.7% (0.7%-0.8%)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1997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3,603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7.3% (7.0%-7.5%)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perimenstrual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427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0.9% (0.8%-0.9%)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two-thirds sensitivity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0.3% (0.3%-0.4%)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healthy ovulatory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Reddy 2007 any-phase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49,605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6,599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13.3% (13.0%-13.6%)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Duncan 1993 ten-day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3,018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6.7% (6.4%-6.9%)</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1997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21,417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47.3% (46.8%-47.7%)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perimenstrual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3,696</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8.2% (7.9%-8.4%)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two-thirds sensitivity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1,733</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3.8% (3.7%-4.0%)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 months</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Reddy 2007 any-phase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45,297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34,750</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76.7% (76.3%-77.1%)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9.4%</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Duncan 1993 ten-day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311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0.6% (0.6%-0.7%)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Herzog 1997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14,914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30.1% (29.7%-30.5%)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perimenstrual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378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 (0.7%-0.8%)</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Newmark-Penry two-thirds sensitivity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175</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0.4% (0.3%-0.4%)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r>
        <w:trPr>
          <w:cantSplit/>
        </w:trPr>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heterogeneous menstruating-age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36-month full diary</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Reddy 2007 any-phase twofold rule</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49,587</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6,854</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13.8% (13.5%-14.1%)</w:t>
            </w:r>
          </w:p>
        </w:tc>
        <w:tc>
          <w:tcPr>
            <w:tcW w:type="dxa" w:w="1851"/>
            <w:vAlign w:val="center"/>
            <w:tcMar>
              <w:top w:w="80" w:type="dxa"/>
              <w:start w:w="80" w:type="dxa"/>
              <w:bottom w:w="80" w:type="dxa"/>
              <w:end w:w="80" w:type="dxa"/>
            </w:tcMar>
          </w:tcPr>
          <w:p>
            <w:pPr>
              <w:spacing w:line="240" w:lineRule="auto" w:after="0"/>
              <w:jc w:val="left"/>
            </w:pPr>
            <w:r/>
            <w:r>
              <w:rPr>
                <w:rFonts w:ascii="Times New Roman" w:hAnsi="Times New Roman" w:eastAsia="Times New Roman"/>
                <w:b w:val="0"/>
                <w:sz w:val="16"/>
              </w:rPr>
              <w:t>0.8%</w:t>
            </w:r>
          </w:p>
        </w:tc>
      </w:tr>
    </w:tbl>
    <w:p/>
    <w:p>
      <w:pPr>
        <w:spacing w:line="480" w:lineRule="auto" w:after="0"/>
        <w:jc w:val="left"/>
      </w:pPr>
      <w:r>
        <w:t>Supplementary Figure 1. False-positive and indeterminate frontier.</w:t>
      </w:r>
    </w:p>
    <w:p>
      <w:pPr>
        <w:jc w:val="center"/>
      </w:pPr>
      <w:r>
        <w:drawing>
          <wp:inline xmlns:a="http://schemas.openxmlformats.org/drawingml/2006/main" xmlns:pic="http://schemas.openxmlformats.org/drawingml/2006/picture">
            <wp:extent cx="7132320" cy="4722752"/>
            <wp:docPr id="1" name="Picture 1"/>
            <wp:cNvGraphicFramePr>
              <a:graphicFrameLocks noChangeAspect="1"/>
            </wp:cNvGraphicFramePr>
            <a:graphic>
              <a:graphicData uri="http://schemas.openxmlformats.org/drawingml/2006/picture">
                <pic:pic>
                  <pic:nvPicPr>
                    <pic:cNvPr id="0" name="fig3_indeterminate_vs_fpr_frontier.png"/>
                    <pic:cNvPicPr/>
                  </pic:nvPicPr>
                  <pic:blipFill>
                    <a:blip r:embed="rId10"/>
                    <a:stretch>
                      <a:fillRect/>
                    </a:stretch>
                  </pic:blipFill>
                  <pic:spPr>
                    <a:xfrm>
                      <a:off x="0" y="0"/>
                      <a:ext cx="7132320" cy="4722752"/>
                    </a:xfrm>
                    <a:prstGeom prst="rect"/>
                  </pic:spPr>
                </pic:pic>
              </a:graphicData>
            </a:graphic>
          </wp:inline>
        </w:drawing>
      </w:r>
    </w:p>
    <w:p>
      <w:pPr>
        <w:spacing w:line="480" w:lineRule="auto" w:after="0"/>
        <w:jc w:val="left"/>
      </w:pPr>
      <w:r>
        <w:t>Supplementary Figure 2. Historical and core definitions in 3-month windows.</w:t>
      </w:r>
    </w:p>
    <w:p>
      <w:pPr>
        <w:jc w:val="center"/>
      </w:pPr>
      <w:r>
        <w:drawing>
          <wp:inline xmlns:a="http://schemas.openxmlformats.org/drawingml/2006/main" xmlns:pic="http://schemas.openxmlformats.org/drawingml/2006/picture">
            <wp:extent cx="7132320" cy="3766506"/>
            <wp:docPr id="2" name="Picture 2"/>
            <wp:cNvGraphicFramePr>
              <a:graphicFrameLocks noChangeAspect="1"/>
            </wp:cNvGraphicFramePr>
            <a:graphic>
              <a:graphicData uri="http://schemas.openxmlformats.org/drawingml/2006/picture">
                <pic:pic>
                  <pic:nvPicPr>
                    <pic:cNvPr id="0" name="fig4_historical_vs_core_definitions.png"/>
                    <pic:cNvPicPr/>
                  </pic:nvPicPr>
                  <pic:blipFill>
                    <a:blip r:embed="rId11"/>
                    <a:stretch>
                      <a:fillRect/>
                    </a:stretch>
                  </pic:blipFill>
                  <pic:spPr>
                    <a:xfrm>
                      <a:off x="0" y="0"/>
                      <a:ext cx="7132320" cy="3766506"/>
                    </a:xfrm>
                    <a:prstGeom prst="rect"/>
                  </pic:spPr>
                </pic:pic>
              </a:graphicData>
            </a:graphic>
          </wp:inline>
        </w:drawing>
      </w:r>
    </w:p>
    <w:p>
      <w:pPr>
        <w:spacing w:line="480" w:lineRule="auto" w:after="0"/>
        <w:jc w:val="left"/>
      </w:pPr>
      <w:r>
        <w:t>Supplementary Figure 3. Null seizure profile by menstrual cycle day.</w:t>
      </w:r>
    </w:p>
    <w:p>
      <w:pPr>
        <w:jc w:val="center"/>
      </w:pPr>
      <w:r>
        <w:drawing>
          <wp:inline xmlns:a="http://schemas.openxmlformats.org/drawingml/2006/main" xmlns:pic="http://schemas.openxmlformats.org/drawingml/2006/picture">
            <wp:extent cx="6675120" cy="3968990"/>
            <wp:docPr id="3" name="Picture 3"/>
            <wp:cNvGraphicFramePr>
              <a:graphicFrameLocks noChangeAspect="1"/>
            </wp:cNvGraphicFramePr>
            <a:graphic>
              <a:graphicData uri="http://schemas.openxmlformats.org/drawingml/2006/picture">
                <pic:pic>
                  <pic:nvPicPr>
                    <pic:cNvPr id="0" name="fig5_null_cycle_day_profile.png"/>
                    <pic:cNvPicPr/>
                  </pic:nvPicPr>
                  <pic:blipFill>
                    <a:blip r:embed="rId12"/>
                    <a:stretch>
                      <a:fillRect/>
                    </a:stretch>
                  </pic:blipFill>
                  <pic:spPr>
                    <a:xfrm>
                      <a:off x="0" y="0"/>
                      <a:ext cx="6675120" cy="3968990"/>
                    </a:xfrm>
                    <a:prstGeom prst="rect"/>
                  </pic:spPr>
                </pic:pic>
              </a:graphicData>
            </a:graphic>
          </wp:inline>
        </w:drawing>
      </w:r>
    </w:p>
    <w:p>
      <w:pPr>
        <w:pStyle w:val="Heading1"/>
      </w:pPr>
      <w:r>
        <w:t>A8. Output provenance and assumptions</w:t>
      </w:r>
    </w:p>
    <w:p>
      <w:pPr>
        <w:pStyle w:val="ListBullet"/>
        <w:spacing w:line="480" w:lineRule="auto" w:after="0"/>
        <w:jc w:val="left"/>
      </w:pPr>
      <w:r>
        <w:t>Definition D uses a participant-full-diary method-of-moments negative-binomial alpha recorded in d_alpha; Poisson robust fallback is recorded in d_reason when statsmodels negative-binomial fitting fails. D_window_alpha re-estimates alpha from the analyzed window as a non-oracle sensitivity.</w:t>
      </w:r>
    </w:p>
    <w:p>
      <w:pPr>
        <w:pStyle w:val="ListBullet"/>
        <w:spacing w:line="480" w:lineRule="auto" w:after="0"/>
        <w:jc w:val="left"/>
      </w:pPr>
      <w:r>
        <w:t>Healthy ovulatory cohort used hormone_cycler build_patient_profile/render_cycle with ovulation_probability set to 1.0 because simulate_diary did not expose a public force-ovulation knob.</w:t>
      </w:r>
    </w:p>
    <w:p>
      <w:pPr>
        <w:pStyle w:val="ListBullet"/>
        <w:spacing w:line="480" w:lineRule="auto" w:after="0"/>
        <w:jc w:val="left"/>
      </w:pPr>
      <w:r>
        <w:t>Historical definitions H1-H4 are assumption-based operationalizations and are flagged in summary outputs.</w:t>
      </w:r>
    </w:p>
    <w:p>
      <w:pPr>
        <w:pStyle w:val="ListBullet"/>
        <w:spacing w:line="480" w:lineRule="auto" w:after="0"/>
        <w:jc w:val="left"/>
      </w:pPr>
      <w:r>
        <w:t>Study-level Monte Carlo samples each selected participant from a deterministic pool of precomputed random valid 3-month windows to avoid retaining all daily diaries in memory.</w:t>
      </w:r>
    </w:p>
    <w:p>
      <w:pPr>
        <w:pStyle w:val="ListBullet"/>
        <w:spacing w:line="480" w:lineRule="auto" w:after="0"/>
        <w:jc w:val="left"/>
      </w:pPr>
      <w:r>
        <w:t>The hormone simulator exposes medical-factor controls but no natural prevalence sampler; heterogeneous-cohort medical factors were sampled from config.yaml rates.</w:t>
      </w:r>
    </w:p>
    <w:p>
      <w:pPr>
        <w:pStyle w:val="ListBullet"/>
        <w:spacing w:line="480" w:lineRule="auto" w:after="0"/>
        <w:jc w:val="left"/>
      </w:pPr>
      <w:r>
        <w:t>Positive-control true-coupling modes add extra Poisson seizure events on target phase days after diary alignment and write to separate output directories.</w:t>
      </w:r>
    </w:p>
    <w:sectPr w:rsidR="00FC693F" w:rsidRPr="0006063C" w:rsidSect="00034616">
      <w:headerReference w:type="default" r:id="rId9"/>
      <w:pgSz w:w="15840" w:h="12240" w:orient="landscape"/>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right"/>
    </w:pPr>
    <w:r>
      <w:t xml:space="preserve">Supplementary Appendix </w:t>
    </w: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