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968179" w14:textId="77777777" w:rsidR="003E04F6" w:rsidRPr="00385F03" w:rsidRDefault="003E04F6" w:rsidP="003E04F6">
      <w:pPr>
        <w:pStyle w:val="Heading1"/>
        <w:rPr>
          <w:rFonts w:eastAsia="Arial"/>
        </w:rPr>
      </w:pPr>
      <w:r w:rsidRPr="00385F03">
        <w:rPr>
          <w:rFonts w:eastAsia="Arial"/>
        </w:rPr>
        <w:t>Supplem</w:t>
      </w:r>
      <w:r w:rsidRPr="00385F03">
        <w:rPr>
          <w:rFonts w:eastAsia="Arial"/>
          <w:spacing w:val="1"/>
        </w:rPr>
        <w:t>e</w:t>
      </w:r>
      <w:r w:rsidRPr="00385F03">
        <w:rPr>
          <w:rFonts w:eastAsia="Arial"/>
        </w:rPr>
        <w:t>n</w:t>
      </w:r>
      <w:r w:rsidRPr="00385F03">
        <w:rPr>
          <w:rFonts w:eastAsia="Arial"/>
          <w:spacing w:val="-1"/>
        </w:rPr>
        <w:t>t</w:t>
      </w:r>
      <w:r w:rsidRPr="00385F03">
        <w:rPr>
          <w:rFonts w:eastAsia="Arial"/>
          <w:spacing w:val="1"/>
        </w:rPr>
        <w:t>a</w:t>
      </w:r>
      <w:r w:rsidRPr="00385F03">
        <w:rPr>
          <w:rFonts w:eastAsia="Arial"/>
        </w:rPr>
        <w:t>l</w:t>
      </w:r>
      <w:r w:rsidRPr="00385F03">
        <w:rPr>
          <w:rFonts w:eastAsia="Arial"/>
          <w:spacing w:val="1"/>
        </w:rPr>
        <w:t xml:space="preserve"> </w:t>
      </w:r>
      <w:r w:rsidRPr="00385F03">
        <w:rPr>
          <w:rFonts w:eastAsia="Arial"/>
          <w:spacing w:val="-3"/>
        </w:rPr>
        <w:t>T</w:t>
      </w:r>
      <w:r w:rsidRPr="00385F03">
        <w:rPr>
          <w:rFonts w:eastAsia="Arial"/>
          <w:spacing w:val="1"/>
        </w:rPr>
        <w:t>a</w:t>
      </w:r>
      <w:r w:rsidRPr="00385F03">
        <w:rPr>
          <w:rFonts w:eastAsia="Arial"/>
        </w:rPr>
        <w:t>ble</w:t>
      </w:r>
      <w:r w:rsidRPr="00385F03">
        <w:rPr>
          <w:rFonts w:eastAsia="Arial"/>
          <w:spacing w:val="-3"/>
        </w:rPr>
        <w:t xml:space="preserve"> </w:t>
      </w:r>
      <w:r w:rsidRPr="00385F03">
        <w:rPr>
          <w:rFonts w:eastAsia="Arial"/>
          <w:spacing w:val="1"/>
        </w:rPr>
        <w:t>1</w:t>
      </w:r>
      <w:r w:rsidRPr="00385F03">
        <w:rPr>
          <w:rFonts w:eastAsia="Arial"/>
        </w:rPr>
        <w:t>.</w:t>
      </w:r>
      <w:r w:rsidRPr="00385F03">
        <w:rPr>
          <w:rFonts w:eastAsia="Arial"/>
          <w:spacing w:val="3"/>
        </w:rPr>
        <w:t xml:space="preserve"> </w:t>
      </w:r>
      <w:r w:rsidRPr="00385F03">
        <w:rPr>
          <w:rFonts w:eastAsia="Arial"/>
        </w:rPr>
        <w:t xml:space="preserve">CGM </w:t>
      </w:r>
      <w:r w:rsidRPr="00385F03">
        <w:rPr>
          <w:rFonts w:eastAsia="Arial"/>
          <w:spacing w:val="1"/>
        </w:rPr>
        <w:t>a</w:t>
      </w:r>
      <w:r w:rsidRPr="00385F03">
        <w:rPr>
          <w:rFonts w:eastAsia="Arial"/>
        </w:rPr>
        <w:t xml:space="preserve">nd </w:t>
      </w:r>
      <w:r w:rsidRPr="00385F03">
        <w:rPr>
          <w:rFonts w:eastAsia="Arial"/>
          <w:spacing w:val="-2"/>
        </w:rPr>
        <w:t>G</w:t>
      </w:r>
      <w:r w:rsidRPr="00385F03">
        <w:rPr>
          <w:rFonts w:eastAsia="Arial"/>
        </w:rPr>
        <w:t>l</w:t>
      </w:r>
      <w:r w:rsidRPr="00385F03">
        <w:rPr>
          <w:rFonts w:eastAsia="Arial"/>
          <w:spacing w:val="1"/>
        </w:rPr>
        <w:t>y</w:t>
      </w:r>
      <w:r w:rsidRPr="00385F03">
        <w:rPr>
          <w:rFonts w:eastAsia="Arial"/>
          <w:spacing w:val="-1"/>
        </w:rPr>
        <w:t>c</w:t>
      </w:r>
      <w:r w:rsidRPr="00385F03">
        <w:rPr>
          <w:rFonts w:eastAsia="Arial"/>
          <w:spacing w:val="1"/>
        </w:rPr>
        <w:t>e</w:t>
      </w:r>
      <w:r w:rsidRPr="00385F03">
        <w:rPr>
          <w:rFonts w:eastAsia="Arial"/>
        </w:rPr>
        <w:t>mic Con</w:t>
      </w:r>
      <w:r w:rsidRPr="00385F03">
        <w:rPr>
          <w:rFonts w:eastAsia="Arial"/>
          <w:spacing w:val="-1"/>
        </w:rPr>
        <w:t>t</w:t>
      </w:r>
      <w:r w:rsidRPr="00385F03">
        <w:rPr>
          <w:rFonts w:eastAsia="Arial"/>
        </w:rPr>
        <w:t>rol</w:t>
      </w:r>
      <w:r w:rsidRPr="00385F03">
        <w:rPr>
          <w:rFonts w:eastAsia="Arial"/>
          <w:spacing w:val="1"/>
        </w:rPr>
        <w:t xml:space="preserve"> </w:t>
      </w:r>
      <w:r w:rsidRPr="00385F03">
        <w:rPr>
          <w:rFonts w:eastAsia="Arial"/>
          <w:spacing w:val="-1"/>
        </w:rPr>
        <w:t>M</w:t>
      </w:r>
      <w:r w:rsidRPr="00385F03">
        <w:rPr>
          <w:rFonts w:eastAsia="Arial"/>
          <w:spacing w:val="1"/>
        </w:rPr>
        <w:t>e</w:t>
      </w:r>
      <w:r w:rsidRPr="00385F03">
        <w:rPr>
          <w:rFonts w:eastAsia="Arial"/>
        </w:rPr>
        <w:t>tri</w:t>
      </w:r>
      <w:r w:rsidRPr="00385F03">
        <w:rPr>
          <w:rFonts w:eastAsia="Arial"/>
          <w:spacing w:val="1"/>
        </w:rPr>
        <w:t>c</w:t>
      </w:r>
      <w:r w:rsidRPr="00385F03">
        <w:rPr>
          <w:rFonts w:eastAsia="Arial"/>
        </w:rPr>
        <w:t>s</w:t>
      </w:r>
      <w:r w:rsidRPr="00385F03">
        <w:rPr>
          <w:rFonts w:eastAsia="Arial"/>
          <w:spacing w:val="1"/>
        </w:rPr>
        <w:t xml:space="preserve"> </w:t>
      </w:r>
      <w:r w:rsidRPr="00385F03">
        <w:rPr>
          <w:rFonts w:eastAsia="Arial"/>
        </w:rPr>
        <w:t>Dur</w:t>
      </w:r>
      <w:r w:rsidRPr="00385F03">
        <w:rPr>
          <w:rFonts w:eastAsia="Arial"/>
          <w:spacing w:val="-2"/>
        </w:rPr>
        <w:t>i</w:t>
      </w:r>
      <w:r w:rsidRPr="00385F03">
        <w:rPr>
          <w:rFonts w:eastAsia="Arial"/>
        </w:rPr>
        <w:t>ng t</w:t>
      </w:r>
      <w:r w:rsidRPr="00385F03">
        <w:rPr>
          <w:rFonts w:eastAsia="Arial"/>
          <w:spacing w:val="-1"/>
        </w:rPr>
        <w:t>h</w:t>
      </w:r>
      <w:r w:rsidRPr="00385F03">
        <w:rPr>
          <w:rFonts w:eastAsia="Arial"/>
        </w:rPr>
        <w:t>e</w:t>
      </w:r>
      <w:r w:rsidRPr="00385F03">
        <w:rPr>
          <w:rFonts w:eastAsia="Arial"/>
          <w:spacing w:val="1"/>
        </w:rPr>
        <w:t xml:space="preserve"> S</w:t>
      </w:r>
      <w:r w:rsidRPr="00385F03">
        <w:rPr>
          <w:rFonts w:eastAsia="Arial"/>
        </w:rPr>
        <w:t>t</w:t>
      </w:r>
      <w:r w:rsidRPr="00385F03">
        <w:rPr>
          <w:rFonts w:eastAsia="Arial"/>
          <w:spacing w:val="-1"/>
        </w:rPr>
        <w:t>u</w:t>
      </w:r>
      <w:r w:rsidRPr="00385F03">
        <w:rPr>
          <w:rFonts w:eastAsia="Arial"/>
        </w:rPr>
        <w:t>dy</w:t>
      </w:r>
      <w:r w:rsidRPr="00385F03">
        <w:rPr>
          <w:rFonts w:eastAsia="Arial"/>
          <w:spacing w:val="1"/>
        </w:rPr>
        <w:t xml:space="preserve"> </w:t>
      </w:r>
      <w:r w:rsidRPr="00385F03">
        <w:rPr>
          <w:rFonts w:eastAsia="Arial"/>
        </w:rPr>
        <w:t>by</w:t>
      </w:r>
      <w:r w:rsidRPr="00385F03">
        <w:rPr>
          <w:rFonts w:eastAsia="Arial"/>
          <w:spacing w:val="1"/>
        </w:rPr>
        <w:t xml:space="preserve"> </w:t>
      </w:r>
      <w:r w:rsidRPr="00385F03">
        <w:rPr>
          <w:rFonts w:eastAsia="Arial"/>
        </w:rPr>
        <w:t>D</w:t>
      </w:r>
      <w:r w:rsidRPr="00385F03">
        <w:rPr>
          <w:rFonts w:eastAsia="Arial"/>
          <w:spacing w:val="-2"/>
        </w:rPr>
        <w:t>i</w:t>
      </w:r>
      <w:r w:rsidRPr="00385F03">
        <w:rPr>
          <w:rFonts w:eastAsia="Arial"/>
          <w:spacing w:val="1"/>
        </w:rPr>
        <w:t>a</w:t>
      </w:r>
      <w:r w:rsidRPr="00385F03">
        <w:rPr>
          <w:rFonts w:eastAsia="Arial"/>
        </w:rPr>
        <w:t>betes</w:t>
      </w:r>
      <w:r w:rsidRPr="00385F03">
        <w:rPr>
          <w:rFonts w:eastAsia="Arial"/>
          <w:spacing w:val="1"/>
        </w:rPr>
        <w:t xml:space="preserve"> </w:t>
      </w:r>
      <w:r w:rsidRPr="00385F03">
        <w:rPr>
          <w:rFonts w:eastAsia="Arial"/>
        </w:rPr>
        <w:t>T</w:t>
      </w:r>
      <w:r w:rsidRPr="00385F03">
        <w:rPr>
          <w:rFonts w:eastAsia="Arial"/>
          <w:spacing w:val="1"/>
        </w:rPr>
        <w:t>y</w:t>
      </w:r>
      <w:r w:rsidRPr="00385F03">
        <w:rPr>
          <w:rFonts w:eastAsia="Arial"/>
          <w:spacing w:val="-3"/>
        </w:rPr>
        <w:t>p</w:t>
      </w:r>
      <w:r w:rsidRPr="00385F03">
        <w:rPr>
          <w:rFonts w:eastAsia="Arial"/>
        </w:rPr>
        <w:t>e</w:t>
      </w:r>
      <w:r w:rsidRPr="00385F03">
        <w:rPr>
          <w:rFonts w:eastAsia="Arial"/>
          <w:spacing w:val="1"/>
        </w:rPr>
        <w:t xml:space="preserve"> a</w:t>
      </w:r>
      <w:r w:rsidRPr="00385F03">
        <w:rPr>
          <w:rFonts w:eastAsia="Arial"/>
        </w:rPr>
        <w:t>nd I</w:t>
      </w:r>
      <w:r w:rsidRPr="00385F03">
        <w:rPr>
          <w:rFonts w:eastAsia="Arial"/>
          <w:spacing w:val="-2"/>
        </w:rPr>
        <w:t>n</w:t>
      </w:r>
      <w:r w:rsidRPr="00385F03">
        <w:rPr>
          <w:rFonts w:eastAsia="Arial"/>
          <w:spacing w:val="1"/>
        </w:rPr>
        <w:t>s</w:t>
      </w:r>
      <w:r w:rsidRPr="00385F03">
        <w:rPr>
          <w:rFonts w:eastAsia="Arial"/>
        </w:rPr>
        <w:t>ulin</w:t>
      </w:r>
    </w:p>
    <w:p w14:paraId="28F1B907" w14:textId="77777777" w:rsidR="003E04F6" w:rsidRPr="00385F03" w:rsidRDefault="003E04F6" w:rsidP="003E04F6">
      <w:pPr>
        <w:spacing w:before="21"/>
        <w:ind w:left="100"/>
        <w:rPr>
          <w:rFonts w:eastAsia="Arial"/>
          <w:sz w:val="24"/>
          <w:szCs w:val="24"/>
        </w:rPr>
      </w:pPr>
      <w:r w:rsidRPr="00385F03">
        <w:rPr>
          <w:rFonts w:eastAsia="Arial"/>
          <w:b/>
          <w:i/>
          <w:spacing w:val="-1"/>
          <w:sz w:val="24"/>
          <w:szCs w:val="24"/>
        </w:rPr>
        <w:t>M</w:t>
      </w:r>
      <w:r w:rsidRPr="00385F03">
        <w:rPr>
          <w:rFonts w:eastAsia="Arial"/>
          <w:b/>
          <w:i/>
          <w:sz w:val="24"/>
          <w:szCs w:val="24"/>
        </w:rPr>
        <w:t>oda</w:t>
      </w:r>
      <w:r w:rsidRPr="00385F03">
        <w:rPr>
          <w:rFonts w:eastAsia="Arial"/>
          <w:b/>
          <w:i/>
          <w:spacing w:val="1"/>
          <w:sz w:val="24"/>
          <w:szCs w:val="24"/>
        </w:rPr>
        <w:t>l</w:t>
      </w:r>
      <w:r w:rsidRPr="00385F03">
        <w:rPr>
          <w:rFonts w:eastAsia="Arial"/>
          <w:b/>
          <w:i/>
          <w:sz w:val="24"/>
          <w:szCs w:val="24"/>
        </w:rPr>
        <w:t>ity</w:t>
      </w:r>
      <w:r w:rsidRPr="00385F03">
        <w:rPr>
          <w:rFonts w:eastAsia="Arial"/>
          <w:b/>
          <w:i/>
          <w:spacing w:val="1"/>
          <w:sz w:val="24"/>
          <w:szCs w:val="24"/>
        </w:rPr>
        <w:t xml:space="preserve"> </w:t>
      </w:r>
      <w:r w:rsidRPr="00385F03">
        <w:rPr>
          <w:rFonts w:eastAsia="Arial"/>
          <w:b/>
          <w:i/>
          <w:sz w:val="24"/>
          <w:szCs w:val="24"/>
        </w:rPr>
        <w:t>(</w:t>
      </w:r>
      <w:r w:rsidRPr="00385F03">
        <w:rPr>
          <w:rFonts w:eastAsia="Arial"/>
          <w:b/>
          <w:i/>
          <w:spacing w:val="-1"/>
          <w:sz w:val="24"/>
          <w:szCs w:val="24"/>
        </w:rPr>
        <w:t>N=</w:t>
      </w:r>
      <w:r w:rsidRPr="00385F03">
        <w:rPr>
          <w:rFonts w:eastAsia="Arial"/>
          <w:b/>
          <w:i/>
          <w:spacing w:val="1"/>
          <w:sz w:val="24"/>
          <w:szCs w:val="24"/>
        </w:rPr>
        <w:t>34</w:t>
      </w:r>
      <w:r w:rsidRPr="00385F03">
        <w:rPr>
          <w:rFonts w:eastAsia="Arial"/>
          <w:b/>
          <w:i/>
          <w:sz w:val="24"/>
          <w:szCs w:val="24"/>
        </w:rPr>
        <w:t>)</w:t>
      </w:r>
    </w:p>
    <w:p w14:paraId="5C54129D" w14:textId="77777777" w:rsidR="003E04F6" w:rsidRPr="00385F03" w:rsidRDefault="003E04F6" w:rsidP="003E04F6">
      <w:pPr>
        <w:spacing w:before="2" w:line="180" w:lineRule="exact"/>
        <w:rPr>
          <w:sz w:val="19"/>
          <w:szCs w:val="19"/>
        </w:rPr>
      </w:pPr>
    </w:p>
    <w:tbl>
      <w:tblPr>
        <w:tblStyle w:val="TableGrid"/>
        <w:tblW w:w="11520" w:type="dxa"/>
        <w:tblLook w:val="04A0" w:firstRow="1" w:lastRow="0" w:firstColumn="1" w:lastColumn="0" w:noHBand="0" w:noVBand="1"/>
      </w:tblPr>
      <w:tblGrid>
        <w:gridCol w:w="3744"/>
        <w:gridCol w:w="1440"/>
        <w:gridCol w:w="1440"/>
        <w:gridCol w:w="1008"/>
        <w:gridCol w:w="1440"/>
        <w:gridCol w:w="1440"/>
        <w:gridCol w:w="1008"/>
      </w:tblGrid>
      <w:tr w:rsidR="003E04F6" w:rsidRPr="00385F03" w14:paraId="0F25F59B" w14:textId="77777777" w:rsidTr="00523D5A">
        <w:tc>
          <w:tcPr>
            <w:tcW w:w="3744" w:type="dxa"/>
            <w:tcBorders>
              <w:bottom w:val="nil"/>
            </w:tcBorders>
            <w:vAlign w:val="center"/>
          </w:tcPr>
          <w:p w14:paraId="205B0AE9" w14:textId="77777777" w:rsidR="003E04F6" w:rsidRPr="00385F03" w:rsidRDefault="003E04F6" w:rsidP="00523D5A">
            <w:pPr>
              <w:jc w:val="center"/>
              <w:rPr>
                <w:b/>
                <w:i/>
                <w:iCs/>
                <w:noProof/>
              </w:rPr>
            </w:pPr>
          </w:p>
        </w:tc>
        <w:tc>
          <w:tcPr>
            <w:tcW w:w="3888" w:type="dxa"/>
            <w:gridSpan w:val="3"/>
            <w:tcBorders>
              <w:bottom w:val="single" w:sz="4" w:space="0" w:color="auto"/>
            </w:tcBorders>
            <w:vAlign w:val="center"/>
          </w:tcPr>
          <w:p w14:paraId="5FBE3DCC" w14:textId="77777777" w:rsidR="003E04F6" w:rsidRPr="00385F03" w:rsidRDefault="003E04F6" w:rsidP="00523D5A">
            <w:pPr>
              <w:jc w:val="center"/>
              <w:rPr>
                <w:b/>
              </w:rPr>
            </w:pPr>
            <w:r w:rsidRPr="00385F03">
              <w:rPr>
                <w:b/>
              </w:rPr>
              <w:t>Type of Diabetes</w:t>
            </w:r>
          </w:p>
        </w:tc>
        <w:tc>
          <w:tcPr>
            <w:tcW w:w="3888" w:type="dxa"/>
            <w:gridSpan w:val="3"/>
            <w:tcBorders>
              <w:bottom w:val="single" w:sz="4" w:space="0" w:color="auto"/>
            </w:tcBorders>
            <w:vAlign w:val="center"/>
          </w:tcPr>
          <w:p w14:paraId="20559AF2" w14:textId="77777777" w:rsidR="003E04F6" w:rsidRPr="00385F03" w:rsidRDefault="003E04F6" w:rsidP="00523D5A">
            <w:pPr>
              <w:jc w:val="center"/>
              <w:rPr>
                <w:b/>
              </w:rPr>
            </w:pPr>
            <w:r w:rsidRPr="00385F03">
              <w:rPr>
                <w:b/>
              </w:rPr>
              <w:t>Insulin Modality</w:t>
            </w:r>
          </w:p>
        </w:tc>
      </w:tr>
      <w:tr w:rsidR="003E04F6" w:rsidRPr="00385F03" w14:paraId="48D75B7D" w14:textId="77777777" w:rsidTr="00523D5A">
        <w:tc>
          <w:tcPr>
            <w:tcW w:w="3744" w:type="dxa"/>
            <w:tcBorders>
              <w:top w:val="nil"/>
              <w:bottom w:val="single" w:sz="4" w:space="0" w:color="auto"/>
            </w:tcBorders>
            <w:vAlign w:val="center"/>
          </w:tcPr>
          <w:p w14:paraId="3E4BFDEC" w14:textId="77777777" w:rsidR="003E04F6" w:rsidRPr="00385F03" w:rsidRDefault="003E04F6" w:rsidP="00523D5A">
            <w:pPr>
              <w:jc w:val="center"/>
              <w:rPr>
                <w:b/>
                <w:i/>
                <w:iCs/>
                <w:noProof/>
              </w:rPr>
            </w:pPr>
          </w:p>
        </w:tc>
        <w:tc>
          <w:tcPr>
            <w:tcW w:w="1440" w:type="dxa"/>
            <w:tcBorders>
              <w:bottom w:val="single" w:sz="4" w:space="0" w:color="auto"/>
              <w:right w:val="nil"/>
            </w:tcBorders>
            <w:vAlign w:val="center"/>
          </w:tcPr>
          <w:p w14:paraId="04590C92" w14:textId="77777777" w:rsidR="003E04F6" w:rsidRPr="00385F03" w:rsidRDefault="003E04F6" w:rsidP="00523D5A">
            <w:pPr>
              <w:contextualSpacing/>
              <w:jc w:val="center"/>
              <w:rPr>
                <w:b/>
              </w:rPr>
            </w:pPr>
            <w:r w:rsidRPr="00385F03">
              <w:rPr>
                <w:b/>
              </w:rPr>
              <w:t>T1D</w:t>
            </w:r>
          </w:p>
          <w:p w14:paraId="6743FB9A" w14:textId="77777777" w:rsidR="003E04F6" w:rsidRPr="00385F03" w:rsidRDefault="003E04F6" w:rsidP="00523D5A">
            <w:pPr>
              <w:jc w:val="center"/>
              <w:rPr>
                <w:b/>
                <w:i/>
                <w:iCs/>
                <w:noProof/>
              </w:rPr>
            </w:pPr>
            <w:r w:rsidRPr="00385F03">
              <w:rPr>
                <w:b/>
              </w:rPr>
              <w:t>(N=27)</w:t>
            </w:r>
          </w:p>
        </w:tc>
        <w:tc>
          <w:tcPr>
            <w:tcW w:w="144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618367C" w14:textId="77777777" w:rsidR="003E04F6" w:rsidRPr="00385F03" w:rsidRDefault="003E04F6" w:rsidP="00523D5A">
            <w:pPr>
              <w:contextualSpacing/>
              <w:jc w:val="center"/>
              <w:rPr>
                <w:b/>
              </w:rPr>
            </w:pPr>
            <w:r w:rsidRPr="00385F03">
              <w:rPr>
                <w:b/>
              </w:rPr>
              <w:t>T2D</w:t>
            </w:r>
          </w:p>
          <w:p w14:paraId="59EF1055" w14:textId="77777777" w:rsidR="003E04F6" w:rsidRPr="00385F03" w:rsidRDefault="003E04F6" w:rsidP="00523D5A">
            <w:pPr>
              <w:jc w:val="center"/>
              <w:rPr>
                <w:b/>
                <w:i/>
                <w:iCs/>
                <w:noProof/>
              </w:rPr>
            </w:pPr>
            <w:r w:rsidRPr="00385F03">
              <w:rPr>
                <w:b/>
              </w:rPr>
              <w:t>(N=7)</w:t>
            </w:r>
          </w:p>
        </w:tc>
        <w:tc>
          <w:tcPr>
            <w:tcW w:w="1008" w:type="dxa"/>
            <w:tcBorders>
              <w:left w:val="nil"/>
              <w:bottom w:val="single" w:sz="4" w:space="0" w:color="auto"/>
            </w:tcBorders>
            <w:vAlign w:val="center"/>
          </w:tcPr>
          <w:p w14:paraId="43526C30" w14:textId="77777777" w:rsidR="003E04F6" w:rsidRPr="00385F03" w:rsidRDefault="003E04F6" w:rsidP="00523D5A">
            <w:pPr>
              <w:jc w:val="center"/>
              <w:rPr>
                <w:b/>
                <w:i/>
                <w:iCs/>
                <w:noProof/>
              </w:rPr>
            </w:pPr>
            <w:r w:rsidRPr="00385F03">
              <w:rPr>
                <w:b/>
              </w:rPr>
              <w:t>p-value</w:t>
            </w:r>
          </w:p>
        </w:tc>
        <w:tc>
          <w:tcPr>
            <w:tcW w:w="1440" w:type="dxa"/>
            <w:tcBorders>
              <w:bottom w:val="single" w:sz="4" w:space="0" w:color="auto"/>
              <w:right w:val="nil"/>
            </w:tcBorders>
            <w:vAlign w:val="center"/>
          </w:tcPr>
          <w:p w14:paraId="4C0D4913" w14:textId="77777777" w:rsidR="003E04F6" w:rsidRPr="00385F03" w:rsidRDefault="003E04F6" w:rsidP="00523D5A">
            <w:pPr>
              <w:contextualSpacing/>
              <w:jc w:val="center"/>
              <w:rPr>
                <w:b/>
              </w:rPr>
            </w:pPr>
            <w:r w:rsidRPr="00385F03">
              <w:rPr>
                <w:b/>
              </w:rPr>
              <w:t>Pump</w:t>
            </w:r>
          </w:p>
          <w:p w14:paraId="34B93D5D" w14:textId="77777777" w:rsidR="003E04F6" w:rsidRPr="00385F03" w:rsidRDefault="003E04F6" w:rsidP="00523D5A">
            <w:pPr>
              <w:jc w:val="center"/>
              <w:rPr>
                <w:b/>
                <w:i/>
                <w:iCs/>
                <w:noProof/>
              </w:rPr>
            </w:pPr>
            <w:r w:rsidRPr="00385F03">
              <w:rPr>
                <w:b/>
              </w:rPr>
              <w:t>(N=7)</w:t>
            </w:r>
          </w:p>
        </w:tc>
        <w:tc>
          <w:tcPr>
            <w:tcW w:w="144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173DBFF" w14:textId="77777777" w:rsidR="003E04F6" w:rsidRPr="00385F03" w:rsidRDefault="003E04F6" w:rsidP="00523D5A">
            <w:pPr>
              <w:contextualSpacing/>
              <w:jc w:val="center"/>
              <w:rPr>
                <w:b/>
              </w:rPr>
            </w:pPr>
            <w:r w:rsidRPr="00385F03">
              <w:rPr>
                <w:b/>
              </w:rPr>
              <w:t>Injections</w:t>
            </w:r>
          </w:p>
          <w:p w14:paraId="14CB9CDB" w14:textId="77777777" w:rsidR="003E04F6" w:rsidRPr="00385F03" w:rsidRDefault="003E04F6" w:rsidP="00523D5A">
            <w:pPr>
              <w:jc w:val="center"/>
              <w:rPr>
                <w:b/>
                <w:i/>
                <w:iCs/>
                <w:noProof/>
              </w:rPr>
            </w:pPr>
            <w:r w:rsidRPr="00385F03">
              <w:rPr>
                <w:b/>
              </w:rPr>
              <w:t>(N=27)</w:t>
            </w:r>
          </w:p>
        </w:tc>
        <w:tc>
          <w:tcPr>
            <w:tcW w:w="1008" w:type="dxa"/>
            <w:tcBorders>
              <w:left w:val="nil"/>
              <w:bottom w:val="single" w:sz="4" w:space="0" w:color="auto"/>
            </w:tcBorders>
            <w:vAlign w:val="center"/>
          </w:tcPr>
          <w:p w14:paraId="624D4184" w14:textId="77777777" w:rsidR="003E04F6" w:rsidRPr="00385F03" w:rsidRDefault="003E04F6" w:rsidP="00523D5A">
            <w:pPr>
              <w:jc w:val="center"/>
              <w:rPr>
                <w:b/>
                <w:i/>
                <w:iCs/>
                <w:noProof/>
              </w:rPr>
            </w:pPr>
            <w:r w:rsidRPr="00385F03">
              <w:rPr>
                <w:b/>
              </w:rPr>
              <w:t>p-value</w:t>
            </w:r>
          </w:p>
        </w:tc>
      </w:tr>
      <w:tr w:rsidR="003E04F6" w:rsidRPr="00385F03" w14:paraId="36F356A9" w14:textId="77777777" w:rsidTr="00523D5A">
        <w:trPr>
          <w:trHeight w:val="259"/>
        </w:trPr>
        <w:tc>
          <w:tcPr>
            <w:tcW w:w="3744" w:type="dxa"/>
            <w:tcBorders>
              <w:bottom w:val="nil"/>
            </w:tcBorders>
          </w:tcPr>
          <w:p w14:paraId="08DDB1E4" w14:textId="77777777" w:rsidR="003E04F6" w:rsidRPr="00385F03" w:rsidRDefault="003E04F6" w:rsidP="00523D5A">
            <w:pPr>
              <w:contextualSpacing/>
              <w:rPr>
                <w:b/>
                <w:i/>
                <w:iCs/>
                <w:noProof/>
              </w:rPr>
            </w:pPr>
            <w:r w:rsidRPr="00385F03">
              <w:rPr>
                <w:b/>
                <w:noProof/>
              </w:rPr>
              <w:t xml:space="preserve">HbA1c </w:t>
            </w:r>
            <w:r w:rsidRPr="00385F03">
              <w:rPr>
                <w:bCs/>
                <w:noProof/>
                <w:vertAlign w:val="superscript"/>
              </w:rPr>
              <w:t xml:space="preserve">a,b </w:t>
            </w:r>
            <w:r w:rsidRPr="00385F03">
              <w:rPr>
                <w:noProof/>
              </w:rPr>
              <w:t xml:space="preserve">(%) </w:t>
            </w:r>
            <w:r w:rsidRPr="00385F03">
              <w:rPr>
                <w:i/>
                <w:iCs/>
                <w:noProof/>
              </w:rPr>
              <w:t>mean ± SD</w:t>
            </w:r>
          </w:p>
        </w:tc>
        <w:tc>
          <w:tcPr>
            <w:tcW w:w="1440" w:type="dxa"/>
            <w:tcBorders>
              <w:bottom w:val="nil"/>
              <w:right w:val="nil"/>
            </w:tcBorders>
          </w:tcPr>
          <w:p w14:paraId="3BFE2563" w14:textId="77777777" w:rsidR="003E04F6" w:rsidRPr="00385F03" w:rsidRDefault="003E04F6" w:rsidP="00523D5A">
            <w:pPr>
              <w:jc w:val="center"/>
              <w:rPr>
                <w:b/>
                <w:i/>
                <w:iCs/>
                <w:noProof/>
              </w:rPr>
            </w:pPr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</w:tcPr>
          <w:p w14:paraId="1FED0B3A" w14:textId="77777777" w:rsidR="003E04F6" w:rsidRPr="00385F03" w:rsidRDefault="003E04F6" w:rsidP="00523D5A">
            <w:pPr>
              <w:jc w:val="center"/>
              <w:rPr>
                <w:b/>
                <w:i/>
                <w:iCs/>
                <w:noProof/>
              </w:rPr>
            </w:pPr>
          </w:p>
        </w:tc>
        <w:tc>
          <w:tcPr>
            <w:tcW w:w="1008" w:type="dxa"/>
            <w:tcBorders>
              <w:left w:val="nil"/>
              <w:bottom w:val="nil"/>
            </w:tcBorders>
          </w:tcPr>
          <w:p w14:paraId="63D475C0" w14:textId="77777777" w:rsidR="003E04F6" w:rsidRPr="00385F03" w:rsidRDefault="003E04F6" w:rsidP="00523D5A">
            <w:pPr>
              <w:jc w:val="center"/>
              <w:rPr>
                <w:b/>
                <w:i/>
                <w:iCs/>
                <w:noProof/>
              </w:rPr>
            </w:pPr>
          </w:p>
        </w:tc>
        <w:tc>
          <w:tcPr>
            <w:tcW w:w="1440" w:type="dxa"/>
            <w:tcBorders>
              <w:bottom w:val="nil"/>
              <w:right w:val="nil"/>
            </w:tcBorders>
          </w:tcPr>
          <w:p w14:paraId="68B6441A" w14:textId="77777777" w:rsidR="003E04F6" w:rsidRPr="00385F03" w:rsidRDefault="003E04F6" w:rsidP="00523D5A">
            <w:pPr>
              <w:jc w:val="center"/>
              <w:rPr>
                <w:b/>
                <w:i/>
                <w:iCs/>
                <w:noProof/>
              </w:rPr>
            </w:pPr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</w:tcPr>
          <w:p w14:paraId="335F953A" w14:textId="77777777" w:rsidR="003E04F6" w:rsidRPr="00385F03" w:rsidRDefault="003E04F6" w:rsidP="00523D5A">
            <w:pPr>
              <w:jc w:val="center"/>
              <w:rPr>
                <w:b/>
                <w:i/>
                <w:iCs/>
                <w:noProof/>
              </w:rPr>
            </w:pPr>
          </w:p>
        </w:tc>
        <w:tc>
          <w:tcPr>
            <w:tcW w:w="1008" w:type="dxa"/>
            <w:tcBorders>
              <w:left w:val="nil"/>
              <w:bottom w:val="nil"/>
            </w:tcBorders>
          </w:tcPr>
          <w:p w14:paraId="74ECAE9B" w14:textId="77777777" w:rsidR="003E04F6" w:rsidRPr="00385F03" w:rsidRDefault="003E04F6" w:rsidP="00523D5A">
            <w:pPr>
              <w:jc w:val="center"/>
              <w:rPr>
                <w:b/>
                <w:i/>
                <w:iCs/>
                <w:noProof/>
              </w:rPr>
            </w:pPr>
          </w:p>
        </w:tc>
      </w:tr>
      <w:tr w:rsidR="003E04F6" w:rsidRPr="00385F03" w14:paraId="1F8BB869" w14:textId="77777777" w:rsidTr="00523D5A">
        <w:trPr>
          <w:trHeight w:val="259"/>
        </w:trPr>
        <w:tc>
          <w:tcPr>
            <w:tcW w:w="3744" w:type="dxa"/>
            <w:tcBorders>
              <w:top w:val="nil"/>
              <w:bottom w:val="nil"/>
            </w:tcBorders>
          </w:tcPr>
          <w:p w14:paraId="30507008" w14:textId="77777777" w:rsidR="003E04F6" w:rsidRPr="00385F03" w:rsidRDefault="003E04F6" w:rsidP="00523D5A">
            <w:pPr>
              <w:rPr>
                <w:b/>
                <w:i/>
                <w:iCs/>
                <w:noProof/>
              </w:rPr>
            </w:pPr>
            <w:r w:rsidRPr="00385F03">
              <w:rPr>
                <w:noProof/>
              </w:rPr>
              <w:t xml:space="preserve">    Baseline</w:t>
            </w:r>
          </w:p>
        </w:tc>
        <w:tc>
          <w:tcPr>
            <w:tcW w:w="1440" w:type="dxa"/>
            <w:tcBorders>
              <w:top w:val="nil"/>
              <w:bottom w:val="nil"/>
              <w:right w:val="nil"/>
            </w:tcBorders>
          </w:tcPr>
          <w:p w14:paraId="18E6A632" w14:textId="77777777" w:rsidR="003E04F6" w:rsidRPr="00385F03" w:rsidRDefault="003E04F6" w:rsidP="00523D5A">
            <w:pPr>
              <w:contextualSpacing/>
              <w:jc w:val="center"/>
              <w:rPr>
                <w:b/>
                <w:i/>
                <w:iCs/>
                <w:noProof/>
              </w:rPr>
            </w:pPr>
            <w:r w:rsidRPr="00385F03">
              <w:t>8.4 ± 1.7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638283FC" w14:textId="77777777" w:rsidR="003E04F6" w:rsidRPr="00385F03" w:rsidRDefault="003E04F6" w:rsidP="00523D5A">
            <w:pPr>
              <w:contextualSpacing/>
              <w:jc w:val="center"/>
              <w:rPr>
                <w:b/>
                <w:i/>
                <w:iCs/>
                <w:noProof/>
              </w:rPr>
            </w:pPr>
            <w:r w:rsidRPr="00385F03">
              <w:t>8.1 ± 1.3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</w:tcBorders>
          </w:tcPr>
          <w:p w14:paraId="210E40C0" w14:textId="77777777" w:rsidR="003E04F6" w:rsidRPr="00385F03" w:rsidRDefault="003E04F6" w:rsidP="00523D5A">
            <w:pPr>
              <w:jc w:val="center"/>
              <w:rPr>
                <w:b/>
                <w:i/>
                <w:iCs/>
                <w:noProof/>
              </w:rPr>
            </w:pPr>
          </w:p>
        </w:tc>
        <w:tc>
          <w:tcPr>
            <w:tcW w:w="1440" w:type="dxa"/>
            <w:tcBorders>
              <w:top w:val="nil"/>
              <w:bottom w:val="nil"/>
              <w:right w:val="nil"/>
            </w:tcBorders>
          </w:tcPr>
          <w:p w14:paraId="3AD6D64C" w14:textId="77777777" w:rsidR="003E04F6" w:rsidRPr="00385F03" w:rsidRDefault="003E04F6" w:rsidP="00523D5A">
            <w:pPr>
              <w:contextualSpacing/>
              <w:jc w:val="center"/>
              <w:rPr>
                <w:b/>
                <w:i/>
                <w:iCs/>
                <w:noProof/>
              </w:rPr>
            </w:pPr>
            <w:r w:rsidRPr="00385F03">
              <w:t>8.1 ± 2.1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5EE80590" w14:textId="77777777" w:rsidR="003E04F6" w:rsidRPr="00385F03" w:rsidRDefault="003E04F6" w:rsidP="00523D5A">
            <w:pPr>
              <w:contextualSpacing/>
              <w:jc w:val="center"/>
              <w:rPr>
                <w:b/>
                <w:i/>
                <w:iCs/>
                <w:noProof/>
              </w:rPr>
            </w:pPr>
            <w:r w:rsidRPr="00385F03">
              <w:t>8.4 ± 1.5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</w:tcBorders>
          </w:tcPr>
          <w:p w14:paraId="062A4AFE" w14:textId="77777777" w:rsidR="003E04F6" w:rsidRPr="00385F03" w:rsidRDefault="003E04F6" w:rsidP="00523D5A">
            <w:pPr>
              <w:jc w:val="center"/>
              <w:rPr>
                <w:b/>
                <w:i/>
                <w:iCs/>
                <w:noProof/>
              </w:rPr>
            </w:pPr>
          </w:p>
        </w:tc>
      </w:tr>
      <w:tr w:rsidR="003E04F6" w:rsidRPr="00385F03" w14:paraId="2AD94594" w14:textId="77777777" w:rsidTr="00523D5A">
        <w:trPr>
          <w:trHeight w:val="259"/>
        </w:trPr>
        <w:tc>
          <w:tcPr>
            <w:tcW w:w="3744" w:type="dxa"/>
            <w:tcBorders>
              <w:top w:val="nil"/>
              <w:bottom w:val="nil"/>
            </w:tcBorders>
          </w:tcPr>
          <w:p w14:paraId="4E2E4838" w14:textId="77777777" w:rsidR="003E04F6" w:rsidRPr="00385F03" w:rsidRDefault="003E04F6" w:rsidP="00523D5A">
            <w:pPr>
              <w:rPr>
                <w:b/>
                <w:i/>
                <w:iCs/>
                <w:noProof/>
              </w:rPr>
            </w:pPr>
            <w:r w:rsidRPr="00385F03">
              <w:rPr>
                <w:noProof/>
              </w:rPr>
              <w:t xml:space="preserve">    Over 12 weeks</w:t>
            </w:r>
          </w:p>
        </w:tc>
        <w:tc>
          <w:tcPr>
            <w:tcW w:w="1440" w:type="dxa"/>
            <w:tcBorders>
              <w:top w:val="nil"/>
              <w:bottom w:val="nil"/>
              <w:right w:val="nil"/>
            </w:tcBorders>
          </w:tcPr>
          <w:p w14:paraId="60956F66" w14:textId="77777777" w:rsidR="003E04F6" w:rsidRPr="00385F03" w:rsidRDefault="003E04F6" w:rsidP="00523D5A">
            <w:pPr>
              <w:contextualSpacing/>
              <w:jc w:val="center"/>
              <w:rPr>
                <w:b/>
                <w:i/>
                <w:iCs/>
                <w:noProof/>
              </w:rPr>
            </w:pPr>
            <w:r w:rsidRPr="00385F03">
              <w:rPr>
                <w:noProof/>
              </w:rPr>
              <w:t xml:space="preserve">7.1 </w:t>
            </w:r>
            <w:r w:rsidRPr="00385F03">
              <w:t>± 1.2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5FDF7AD6" w14:textId="77777777" w:rsidR="003E04F6" w:rsidRPr="00385F03" w:rsidRDefault="003E04F6" w:rsidP="00523D5A">
            <w:pPr>
              <w:contextualSpacing/>
              <w:jc w:val="center"/>
              <w:rPr>
                <w:b/>
                <w:i/>
                <w:iCs/>
                <w:noProof/>
              </w:rPr>
            </w:pPr>
            <w:r w:rsidRPr="00385F03">
              <w:t>7.8 ± 1.7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</w:tcBorders>
          </w:tcPr>
          <w:p w14:paraId="1B785B55" w14:textId="77777777" w:rsidR="003E04F6" w:rsidRPr="00385F03" w:rsidRDefault="003E04F6" w:rsidP="00523D5A">
            <w:pPr>
              <w:jc w:val="center"/>
              <w:rPr>
                <w:b/>
                <w:i/>
                <w:iCs/>
                <w:noProof/>
              </w:rPr>
            </w:pPr>
          </w:p>
        </w:tc>
        <w:tc>
          <w:tcPr>
            <w:tcW w:w="1440" w:type="dxa"/>
            <w:tcBorders>
              <w:top w:val="nil"/>
              <w:bottom w:val="nil"/>
              <w:right w:val="nil"/>
            </w:tcBorders>
          </w:tcPr>
          <w:p w14:paraId="73547B75" w14:textId="77777777" w:rsidR="003E04F6" w:rsidRPr="00385F03" w:rsidRDefault="003E04F6" w:rsidP="00523D5A">
            <w:pPr>
              <w:contextualSpacing/>
              <w:jc w:val="center"/>
              <w:rPr>
                <w:b/>
                <w:i/>
                <w:iCs/>
                <w:noProof/>
              </w:rPr>
            </w:pPr>
            <w:r w:rsidRPr="00385F03">
              <w:t>6.6 ± 1.2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0B111E75" w14:textId="77777777" w:rsidR="003E04F6" w:rsidRPr="00385F03" w:rsidRDefault="003E04F6" w:rsidP="00523D5A">
            <w:pPr>
              <w:contextualSpacing/>
              <w:jc w:val="center"/>
              <w:rPr>
                <w:b/>
                <w:i/>
                <w:iCs/>
                <w:noProof/>
              </w:rPr>
            </w:pPr>
            <w:r w:rsidRPr="00385F03">
              <w:t>7.4 ± 1.3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</w:tcBorders>
          </w:tcPr>
          <w:p w14:paraId="2ACA3829" w14:textId="77777777" w:rsidR="003E04F6" w:rsidRPr="00385F03" w:rsidRDefault="003E04F6" w:rsidP="00523D5A">
            <w:pPr>
              <w:jc w:val="center"/>
              <w:rPr>
                <w:b/>
                <w:i/>
                <w:iCs/>
                <w:noProof/>
              </w:rPr>
            </w:pPr>
          </w:p>
        </w:tc>
      </w:tr>
      <w:tr w:rsidR="003E04F6" w:rsidRPr="00385F03" w14:paraId="5071CAD9" w14:textId="77777777" w:rsidTr="00523D5A">
        <w:trPr>
          <w:trHeight w:val="259"/>
        </w:trPr>
        <w:tc>
          <w:tcPr>
            <w:tcW w:w="3744" w:type="dxa"/>
            <w:tcBorders>
              <w:top w:val="nil"/>
              <w:bottom w:val="single" w:sz="4" w:space="0" w:color="auto"/>
            </w:tcBorders>
          </w:tcPr>
          <w:p w14:paraId="6C4EF995" w14:textId="77777777" w:rsidR="003E04F6" w:rsidRPr="00385F03" w:rsidRDefault="003E04F6" w:rsidP="00523D5A">
            <w:pPr>
              <w:rPr>
                <w:b/>
                <w:i/>
                <w:iCs/>
                <w:noProof/>
              </w:rPr>
            </w:pPr>
            <w:r w:rsidRPr="00385F03">
              <w:rPr>
                <w:noProof/>
              </w:rPr>
              <w:t xml:space="preserve">    Change from Baseline</w:t>
            </w:r>
          </w:p>
        </w:tc>
        <w:tc>
          <w:tcPr>
            <w:tcW w:w="1440" w:type="dxa"/>
            <w:tcBorders>
              <w:top w:val="nil"/>
              <w:bottom w:val="single" w:sz="4" w:space="0" w:color="auto"/>
              <w:right w:val="nil"/>
            </w:tcBorders>
          </w:tcPr>
          <w:p w14:paraId="2CC9B986" w14:textId="77777777" w:rsidR="003E04F6" w:rsidRPr="00385F03" w:rsidRDefault="003E04F6" w:rsidP="00523D5A">
            <w:pPr>
              <w:contextualSpacing/>
              <w:jc w:val="center"/>
              <w:rPr>
                <w:b/>
                <w:i/>
                <w:iCs/>
                <w:noProof/>
              </w:rPr>
            </w:pPr>
            <w:r w:rsidRPr="00385F03">
              <w:t>-1.3 ± 1.1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DF0ED6" w14:textId="77777777" w:rsidR="003E04F6" w:rsidRPr="00385F03" w:rsidRDefault="003E04F6" w:rsidP="00523D5A">
            <w:pPr>
              <w:contextualSpacing/>
              <w:jc w:val="center"/>
              <w:rPr>
                <w:b/>
                <w:i/>
                <w:iCs/>
                <w:noProof/>
              </w:rPr>
            </w:pPr>
            <w:r w:rsidRPr="00385F03">
              <w:t>-0.3 ± 1.3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</w:tcBorders>
          </w:tcPr>
          <w:p w14:paraId="75491AAE" w14:textId="77777777" w:rsidR="003E04F6" w:rsidRPr="00385F03" w:rsidRDefault="003E04F6" w:rsidP="00523D5A">
            <w:pPr>
              <w:jc w:val="center"/>
              <w:rPr>
                <w:b/>
                <w:i/>
                <w:iCs/>
                <w:noProof/>
              </w:rPr>
            </w:pPr>
            <w:r w:rsidRPr="00385F03">
              <w:t>0.06</w:t>
            </w:r>
          </w:p>
        </w:tc>
        <w:tc>
          <w:tcPr>
            <w:tcW w:w="1440" w:type="dxa"/>
            <w:tcBorders>
              <w:top w:val="nil"/>
              <w:bottom w:val="single" w:sz="4" w:space="0" w:color="auto"/>
              <w:right w:val="nil"/>
            </w:tcBorders>
          </w:tcPr>
          <w:p w14:paraId="1091777B" w14:textId="77777777" w:rsidR="003E04F6" w:rsidRPr="00385F03" w:rsidRDefault="003E04F6" w:rsidP="00523D5A">
            <w:pPr>
              <w:contextualSpacing/>
              <w:jc w:val="center"/>
              <w:rPr>
                <w:b/>
                <w:i/>
                <w:iCs/>
                <w:noProof/>
              </w:rPr>
            </w:pPr>
            <w:r w:rsidRPr="00385F03">
              <w:t>-1.6 ± 1.1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A15D4F" w14:textId="77777777" w:rsidR="003E04F6" w:rsidRPr="00385F03" w:rsidRDefault="003E04F6" w:rsidP="00523D5A">
            <w:pPr>
              <w:contextualSpacing/>
              <w:jc w:val="center"/>
              <w:rPr>
                <w:b/>
                <w:i/>
                <w:iCs/>
                <w:noProof/>
              </w:rPr>
            </w:pPr>
            <w:r w:rsidRPr="00385F03">
              <w:t>-1.0 ± 1.2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</w:tcBorders>
          </w:tcPr>
          <w:p w14:paraId="44857F4F" w14:textId="77777777" w:rsidR="003E04F6" w:rsidRPr="00385F03" w:rsidRDefault="003E04F6" w:rsidP="00523D5A">
            <w:pPr>
              <w:contextualSpacing/>
              <w:jc w:val="center"/>
              <w:rPr>
                <w:b/>
                <w:i/>
                <w:iCs/>
                <w:noProof/>
              </w:rPr>
            </w:pPr>
            <w:r w:rsidRPr="00385F03">
              <w:rPr>
                <w:noProof/>
              </w:rPr>
              <w:t>0.22</w:t>
            </w:r>
          </w:p>
        </w:tc>
      </w:tr>
      <w:tr w:rsidR="003E04F6" w:rsidRPr="00385F03" w14:paraId="326851CE" w14:textId="77777777" w:rsidTr="00523D5A">
        <w:trPr>
          <w:trHeight w:val="259"/>
        </w:trPr>
        <w:tc>
          <w:tcPr>
            <w:tcW w:w="3744" w:type="dxa"/>
            <w:tcBorders>
              <w:bottom w:val="nil"/>
            </w:tcBorders>
          </w:tcPr>
          <w:p w14:paraId="387FB5CF" w14:textId="77777777" w:rsidR="003E04F6" w:rsidRPr="00385F03" w:rsidRDefault="003E04F6" w:rsidP="00523D5A">
            <w:pPr>
              <w:ind w:left="46"/>
              <w:contextualSpacing/>
              <w:rPr>
                <w:noProof/>
              </w:rPr>
            </w:pPr>
            <w:r w:rsidRPr="00385F03">
              <w:rPr>
                <w:b/>
              </w:rPr>
              <w:t>Time in Range 70-180 mg/dL</w:t>
            </w:r>
            <w:r w:rsidRPr="00385F03">
              <w:rPr>
                <w:noProof/>
              </w:rPr>
              <w:t xml:space="preserve"> (%)</w:t>
            </w:r>
          </w:p>
          <w:p w14:paraId="166E8AE9" w14:textId="77777777" w:rsidR="003E04F6" w:rsidRPr="00385F03" w:rsidRDefault="003E04F6" w:rsidP="00523D5A">
            <w:pPr>
              <w:ind w:left="46"/>
              <w:contextualSpacing/>
              <w:rPr>
                <w:b/>
                <w:i/>
                <w:iCs/>
                <w:noProof/>
              </w:rPr>
            </w:pPr>
            <w:r w:rsidRPr="00385F03">
              <w:rPr>
                <w:i/>
                <w:iCs/>
                <w:noProof/>
              </w:rPr>
              <w:t>mean ± SD</w:t>
            </w:r>
          </w:p>
        </w:tc>
        <w:tc>
          <w:tcPr>
            <w:tcW w:w="1440" w:type="dxa"/>
            <w:tcBorders>
              <w:bottom w:val="nil"/>
              <w:right w:val="nil"/>
            </w:tcBorders>
          </w:tcPr>
          <w:p w14:paraId="29D3D5C7" w14:textId="77777777" w:rsidR="003E04F6" w:rsidRPr="00385F03" w:rsidRDefault="003E04F6" w:rsidP="00523D5A">
            <w:pPr>
              <w:jc w:val="center"/>
              <w:rPr>
                <w:b/>
                <w:i/>
                <w:iCs/>
                <w:noProof/>
              </w:rPr>
            </w:pPr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</w:tcPr>
          <w:p w14:paraId="3EBCF18F" w14:textId="77777777" w:rsidR="003E04F6" w:rsidRPr="00385F03" w:rsidRDefault="003E04F6" w:rsidP="00523D5A">
            <w:pPr>
              <w:jc w:val="center"/>
              <w:rPr>
                <w:b/>
                <w:i/>
                <w:iCs/>
                <w:noProof/>
              </w:rPr>
            </w:pPr>
          </w:p>
        </w:tc>
        <w:tc>
          <w:tcPr>
            <w:tcW w:w="1008" w:type="dxa"/>
            <w:tcBorders>
              <w:left w:val="nil"/>
              <w:bottom w:val="nil"/>
            </w:tcBorders>
          </w:tcPr>
          <w:p w14:paraId="718BD29D" w14:textId="77777777" w:rsidR="003E04F6" w:rsidRPr="00385F03" w:rsidRDefault="003E04F6" w:rsidP="00523D5A">
            <w:pPr>
              <w:jc w:val="center"/>
              <w:rPr>
                <w:b/>
                <w:i/>
                <w:iCs/>
                <w:noProof/>
              </w:rPr>
            </w:pPr>
          </w:p>
        </w:tc>
        <w:tc>
          <w:tcPr>
            <w:tcW w:w="1440" w:type="dxa"/>
            <w:tcBorders>
              <w:bottom w:val="nil"/>
              <w:right w:val="nil"/>
            </w:tcBorders>
          </w:tcPr>
          <w:p w14:paraId="1C1BBECF" w14:textId="77777777" w:rsidR="003E04F6" w:rsidRPr="00385F03" w:rsidRDefault="003E04F6" w:rsidP="00523D5A">
            <w:pPr>
              <w:jc w:val="center"/>
              <w:rPr>
                <w:b/>
                <w:i/>
                <w:iCs/>
                <w:noProof/>
              </w:rPr>
            </w:pPr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</w:tcPr>
          <w:p w14:paraId="6F73C2B8" w14:textId="77777777" w:rsidR="003E04F6" w:rsidRPr="00385F03" w:rsidRDefault="003E04F6" w:rsidP="00523D5A">
            <w:pPr>
              <w:jc w:val="center"/>
              <w:rPr>
                <w:b/>
                <w:i/>
                <w:iCs/>
                <w:noProof/>
              </w:rPr>
            </w:pPr>
          </w:p>
        </w:tc>
        <w:tc>
          <w:tcPr>
            <w:tcW w:w="1008" w:type="dxa"/>
            <w:tcBorders>
              <w:left w:val="nil"/>
              <w:bottom w:val="nil"/>
            </w:tcBorders>
          </w:tcPr>
          <w:p w14:paraId="4701FD89" w14:textId="77777777" w:rsidR="003E04F6" w:rsidRPr="00385F03" w:rsidRDefault="003E04F6" w:rsidP="00523D5A">
            <w:pPr>
              <w:jc w:val="center"/>
              <w:rPr>
                <w:b/>
                <w:i/>
                <w:iCs/>
                <w:noProof/>
              </w:rPr>
            </w:pPr>
          </w:p>
        </w:tc>
      </w:tr>
      <w:tr w:rsidR="003E04F6" w:rsidRPr="00385F03" w14:paraId="743450E7" w14:textId="77777777" w:rsidTr="00523D5A">
        <w:trPr>
          <w:trHeight w:val="259"/>
        </w:trPr>
        <w:tc>
          <w:tcPr>
            <w:tcW w:w="3744" w:type="dxa"/>
            <w:tcBorders>
              <w:top w:val="nil"/>
              <w:bottom w:val="nil"/>
            </w:tcBorders>
          </w:tcPr>
          <w:p w14:paraId="671707ED" w14:textId="77777777" w:rsidR="003E04F6" w:rsidRPr="00385F03" w:rsidRDefault="003E04F6" w:rsidP="00523D5A">
            <w:pPr>
              <w:rPr>
                <w:b/>
                <w:i/>
                <w:iCs/>
                <w:noProof/>
              </w:rPr>
            </w:pPr>
            <w:r w:rsidRPr="00385F03">
              <w:rPr>
                <w:noProof/>
              </w:rPr>
              <w:t xml:space="preserve">    Baseline </w:t>
            </w:r>
            <w:r w:rsidRPr="00385F03">
              <w:rPr>
                <w:vertAlign w:val="superscript"/>
              </w:rPr>
              <w:t>c</w:t>
            </w:r>
          </w:p>
        </w:tc>
        <w:tc>
          <w:tcPr>
            <w:tcW w:w="1440" w:type="dxa"/>
            <w:tcBorders>
              <w:top w:val="nil"/>
              <w:bottom w:val="nil"/>
              <w:right w:val="nil"/>
            </w:tcBorders>
          </w:tcPr>
          <w:p w14:paraId="799802DC" w14:textId="77777777" w:rsidR="003E04F6" w:rsidRPr="00385F03" w:rsidRDefault="003E04F6" w:rsidP="00523D5A">
            <w:pPr>
              <w:contextualSpacing/>
              <w:jc w:val="center"/>
              <w:rPr>
                <w:b/>
                <w:i/>
                <w:iCs/>
                <w:noProof/>
              </w:rPr>
            </w:pPr>
            <w:r w:rsidRPr="00385F03">
              <w:t>48% ± 19%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57B2A41D" w14:textId="77777777" w:rsidR="003E04F6" w:rsidRPr="00385F03" w:rsidRDefault="003E04F6" w:rsidP="00523D5A">
            <w:pPr>
              <w:contextualSpacing/>
              <w:jc w:val="center"/>
              <w:rPr>
                <w:b/>
                <w:i/>
                <w:iCs/>
                <w:noProof/>
              </w:rPr>
            </w:pPr>
            <w:r w:rsidRPr="00385F03">
              <w:t>51% ± 14%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</w:tcBorders>
          </w:tcPr>
          <w:p w14:paraId="7B4EBF7A" w14:textId="77777777" w:rsidR="003E04F6" w:rsidRPr="00385F03" w:rsidRDefault="003E04F6" w:rsidP="00523D5A">
            <w:pPr>
              <w:jc w:val="center"/>
              <w:rPr>
                <w:b/>
                <w:i/>
                <w:iCs/>
                <w:noProof/>
              </w:rPr>
            </w:pPr>
          </w:p>
        </w:tc>
        <w:tc>
          <w:tcPr>
            <w:tcW w:w="1440" w:type="dxa"/>
            <w:tcBorders>
              <w:top w:val="nil"/>
              <w:bottom w:val="nil"/>
              <w:right w:val="nil"/>
            </w:tcBorders>
          </w:tcPr>
          <w:p w14:paraId="1714AE73" w14:textId="77777777" w:rsidR="003E04F6" w:rsidRPr="00385F03" w:rsidRDefault="003E04F6" w:rsidP="00523D5A">
            <w:pPr>
              <w:contextualSpacing/>
              <w:jc w:val="center"/>
              <w:rPr>
                <w:b/>
                <w:i/>
                <w:iCs/>
                <w:noProof/>
              </w:rPr>
            </w:pPr>
            <w:r w:rsidRPr="00385F03">
              <w:t>51% ± 24%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0F752076" w14:textId="77777777" w:rsidR="003E04F6" w:rsidRPr="00385F03" w:rsidRDefault="003E04F6" w:rsidP="00523D5A">
            <w:pPr>
              <w:contextualSpacing/>
              <w:jc w:val="center"/>
              <w:rPr>
                <w:b/>
                <w:i/>
                <w:iCs/>
                <w:noProof/>
              </w:rPr>
            </w:pPr>
            <w:r w:rsidRPr="00385F03">
              <w:t>48% ± 17%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</w:tcBorders>
          </w:tcPr>
          <w:p w14:paraId="1B6B0891" w14:textId="77777777" w:rsidR="003E04F6" w:rsidRPr="00385F03" w:rsidRDefault="003E04F6" w:rsidP="00523D5A">
            <w:pPr>
              <w:jc w:val="center"/>
              <w:rPr>
                <w:b/>
                <w:i/>
                <w:iCs/>
                <w:noProof/>
              </w:rPr>
            </w:pPr>
          </w:p>
        </w:tc>
      </w:tr>
      <w:tr w:rsidR="003E04F6" w:rsidRPr="00385F03" w14:paraId="321A554F" w14:textId="77777777" w:rsidTr="00523D5A">
        <w:trPr>
          <w:trHeight w:val="259"/>
        </w:trPr>
        <w:tc>
          <w:tcPr>
            <w:tcW w:w="3744" w:type="dxa"/>
            <w:tcBorders>
              <w:top w:val="nil"/>
              <w:bottom w:val="nil"/>
            </w:tcBorders>
          </w:tcPr>
          <w:p w14:paraId="1610B0E5" w14:textId="77777777" w:rsidR="003E04F6" w:rsidRPr="00385F03" w:rsidRDefault="003E04F6" w:rsidP="00523D5A">
            <w:pPr>
              <w:rPr>
                <w:b/>
                <w:i/>
                <w:iCs/>
                <w:noProof/>
              </w:rPr>
            </w:pPr>
            <w:r w:rsidRPr="00385F03">
              <w:rPr>
                <w:noProof/>
              </w:rPr>
              <w:t xml:space="preserve">    Over 12 weeks</w:t>
            </w:r>
          </w:p>
        </w:tc>
        <w:tc>
          <w:tcPr>
            <w:tcW w:w="1440" w:type="dxa"/>
            <w:tcBorders>
              <w:top w:val="nil"/>
              <w:bottom w:val="nil"/>
              <w:right w:val="nil"/>
            </w:tcBorders>
          </w:tcPr>
          <w:p w14:paraId="195F0827" w14:textId="77777777" w:rsidR="003E04F6" w:rsidRPr="00385F03" w:rsidRDefault="003E04F6" w:rsidP="00523D5A">
            <w:pPr>
              <w:contextualSpacing/>
              <w:jc w:val="center"/>
              <w:rPr>
                <w:b/>
                <w:i/>
                <w:iCs/>
                <w:noProof/>
              </w:rPr>
            </w:pPr>
            <w:r w:rsidRPr="00385F03">
              <w:t>59% ± 18%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6DC8742A" w14:textId="77777777" w:rsidR="003E04F6" w:rsidRPr="00385F03" w:rsidRDefault="003E04F6" w:rsidP="00523D5A">
            <w:pPr>
              <w:contextualSpacing/>
              <w:jc w:val="center"/>
              <w:rPr>
                <w:b/>
                <w:i/>
                <w:iCs/>
                <w:noProof/>
              </w:rPr>
            </w:pPr>
            <w:r w:rsidRPr="00385F03">
              <w:t>60% ± 27%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</w:tcBorders>
          </w:tcPr>
          <w:p w14:paraId="3E1D71B5" w14:textId="77777777" w:rsidR="003E04F6" w:rsidRPr="00385F03" w:rsidRDefault="003E04F6" w:rsidP="00523D5A">
            <w:pPr>
              <w:jc w:val="center"/>
              <w:rPr>
                <w:b/>
                <w:i/>
                <w:iCs/>
                <w:noProof/>
              </w:rPr>
            </w:pPr>
          </w:p>
        </w:tc>
        <w:tc>
          <w:tcPr>
            <w:tcW w:w="1440" w:type="dxa"/>
            <w:tcBorders>
              <w:top w:val="nil"/>
              <w:bottom w:val="nil"/>
              <w:right w:val="nil"/>
            </w:tcBorders>
          </w:tcPr>
          <w:p w14:paraId="0AA00FBD" w14:textId="77777777" w:rsidR="003E04F6" w:rsidRPr="00385F03" w:rsidRDefault="003E04F6" w:rsidP="00523D5A">
            <w:pPr>
              <w:contextualSpacing/>
              <w:jc w:val="center"/>
              <w:rPr>
                <w:b/>
                <w:i/>
                <w:iCs/>
                <w:noProof/>
              </w:rPr>
            </w:pPr>
            <w:r w:rsidRPr="00385F03">
              <w:t>66% ± 17%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988771D" w14:textId="77777777" w:rsidR="003E04F6" w:rsidRPr="00385F03" w:rsidRDefault="003E04F6" w:rsidP="00523D5A">
            <w:pPr>
              <w:contextualSpacing/>
              <w:jc w:val="center"/>
              <w:rPr>
                <w:b/>
                <w:i/>
                <w:iCs/>
                <w:noProof/>
              </w:rPr>
            </w:pPr>
            <w:r w:rsidRPr="00385F03">
              <w:t>58% ± 21%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</w:tcBorders>
          </w:tcPr>
          <w:p w14:paraId="434E68E1" w14:textId="77777777" w:rsidR="003E04F6" w:rsidRPr="00385F03" w:rsidRDefault="003E04F6" w:rsidP="00523D5A">
            <w:pPr>
              <w:jc w:val="center"/>
              <w:rPr>
                <w:b/>
                <w:i/>
                <w:iCs/>
                <w:noProof/>
              </w:rPr>
            </w:pPr>
          </w:p>
        </w:tc>
      </w:tr>
      <w:tr w:rsidR="003E04F6" w:rsidRPr="00385F03" w14:paraId="5695302C" w14:textId="77777777" w:rsidTr="00523D5A">
        <w:trPr>
          <w:trHeight w:val="259"/>
        </w:trPr>
        <w:tc>
          <w:tcPr>
            <w:tcW w:w="3744" w:type="dxa"/>
            <w:tcBorders>
              <w:top w:val="nil"/>
              <w:bottom w:val="single" w:sz="4" w:space="0" w:color="auto"/>
            </w:tcBorders>
          </w:tcPr>
          <w:p w14:paraId="37477BCF" w14:textId="77777777" w:rsidR="003E04F6" w:rsidRPr="00385F03" w:rsidRDefault="003E04F6" w:rsidP="00523D5A">
            <w:pPr>
              <w:rPr>
                <w:noProof/>
              </w:rPr>
            </w:pPr>
            <w:r w:rsidRPr="00385F03">
              <w:rPr>
                <w:noProof/>
              </w:rPr>
              <w:t xml:space="preserve">    Change from Baseline</w:t>
            </w:r>
          </w:p>
        </w:tc>
        <w:tc>
          <w:tcPr>
            <w:tcW w:w="1440" w:type="dxa"/>
            <w:tcBorders>
              <w:top w:val="nil"/>
              <w:bottom w:val="single" w:sz="4" w:space="0" w:color="auto"/>
              <w:right w:val="nil"/>
            </w:tcBorders>
          </w:tcPr>
          <w:p w14:paraId="4C65924F" w14:textId="77777777" w:rsidR="003E04F6" w:rsidRPr="00385F03" w:rsidRDefault="003E04F6" w:rsidP="00523D5A">
            <w:pPr>
              <w:contextualSpacing/>
              <w:jc w:val="center"/>
              <w:rPr>
                <w:b/>
                <w:i/>
                <w:iCs/>
                <w:noProof/>
              </w:rPr>
            </w:pPr>
            <w:r w:rsidRPr="00385F03">
              <w:t>12% ± 16%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AABFEE" w14:textId="77777777" w:rsidR="003E04F6" w:rsidRPr="00385F03" w:rsidRDefault="003E04F6" w:rsidP="00523D5A">
            <w:pPr>
              <w:contextualSpacing/>
              <w:jc w:val="center"/>
              <w:rPr>
                <w:b/>
                <w:i/>
                <w:iCs/>
                <w:noProof/>
              </w:rPr>
            </w:pPr>
            <w:r w:rsidRPr="00385F03">
              <w:t>9% ± 18%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</w:tcBorders>
          </w:tcPr>
          <w:p w14:paraId="0492087F" w14:textId="77777777" w:rsidR="003E04F6" w:rsidRPr="00385F03" w:rsidRDefault="003E04F6" w:rsidP="00523D5A">
            <w:pPr>
              <w:contextualSpacing/>
              <w:jc w:val="center"/>
              <w:rPr>
                <w:b/>
                <w:i/>
                <w:iCs/>
                <w:noProof/>
              </w:rPr>
            </w:pPr>
            <w:r w:rsidRPr="00385F03">
              <w:t>0.70</w:t>
            </w:r>
          </w:p>
        </w:tc>
        <w:tc>
          <w:tcPr>
            <w:tcW w:w="1440" w:type="dxa"/>
            <w:tcBorders>
              <w:top w:val="nil"/>
              <w:bottom w:val="single" w:sz="4" w:space="0" w:color="auto"/>
              <w:right w:val="nil"/>
            </w:tcBorders>
          </w:tcPr>
          <w:p w14:paraId="715CAD80" w14:textId="77777777" w:rsidR="003E04F6" w:rsidRPr="00385F03" w:rsidRDefault="003E04F6" w:rsidP="00523D5A">
            <w:pPr>
              <w:contextualSpacing/>
              <w:jc w:val="center"/>
              <w:rPr>
                <w:b/>
                <w:i/>
                <w:iCs/>
                <w:noProof/>
              </w:rPr>
            </w:pPr>
            <w:r w:rsidRPr="00385F03">
              <w:t>15% ± 15%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78FEA4" w14:textId="77777777" w:rsidR="003E04F6" w:rsidRPr="00385F03" w:rsidRDefault="003E04F6" w:rsidP="00523D5A">
            <w:pPr>
              <w:contextualSpacing/>
              <w:jc w:val="center"/>
              <w:rPr>
                <w:b/>
                <w:i/>
                <w:iCs/>
                <w:noProof/>
              </w:rPr>
            </w:pPr>
            <w:r w:rsidRPr="00385F03">
              <w:t>10% ± 17%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</w:tcBorders>
          </w:tcPr>
          <w:p w14:paraId="3BCD85DD" w14:textId="77777777" w:rsidR="003E04F6" w:rsidRPr="00385F03" w:rsidRDefault="003E04F6" w:rsidP="00523D5A">
            <w:pPr>
              <w:contextualSpacing/>
              <w:jc w:val="center"/>
              <w:rPr>
                <w:b/>
                <w:i/>
                <w:iCs/>
                <w:noProof/>
              </w:rPr>
            </w:pPr>
            <w:r w:rsidRPr="00385F03">
              <w:t>0.45</w:t>
            </w:r>
          </w:p>
        </w:tc>
      </w:tr>
      <w:tr w:rsidR="003E04F6" w:rsidRPr="00385F03" w14:paraId="613040C3" w14:textId="77777777" w:rsidTr="00523D5A">
        <w:trPr>
          <w:trHeight w:val="259"/>
        </w:trPr>
        <w:tc>
          <w:tcPr>
            <w:tcW w:w="3744" w:type="dxa"/>
            <w:tcBorders>
              <w:bottom w:val="nil"/>
            </w:tcBorders>
          </w:tcPr>
          <w:p w14:paraId="3465ED5D" w14:textId="77777777" w:rsidR="003E04F6" w:rsidRPr="00385F03" w:rsidRDefault="003E04F6" w:rsidP="00523D5A">
            <w:pPr>
              <w:rPr>
                <w:noProof/>
              </w:rPr>
            </w:pPr>
            <w:r w:rsidRPr="00385F03">
              <w:rPr>
                <w:b/>
              </w:rPr>
              <w:t xml:space="preserve">Mean Glucose </w:t>
            </w:r>
            <w:r w:rsidRPr="00385F03">
              <w:rPr>
                <w:vertAlign w:val="superscript"/>
              </w:rPr>
              <w:t>d</w:t>
            </w:r>
            <w:r w:rsidRPr="00385F03">
              <w:t xml:space="preserve"> (mg/dL) </w:t>
            </w:r>
            <w:r w:rsidRPr="00385F03">
              <w:rPr>
                <w:noProof/>
              </w:rPr>
              <w:t>mean ± SD</w:t>
            </w:r>
          </w:p>
        </w:tc>
        <w:tc>
          <w:tcPr>
            <w:tcW w:w="1440" w:type="dxa"/>
            <w:tcBorders>
              <w:bottom w:val="nil"/>
              <w:right w:val="nil"/>
            </w:tcBorders>
          </w:tcPr>
          <w:p w14:paraId="454FD968" w14:textId="77777777" w:rsidR="003E04F6" w:rsidRPr="00385F03" w:rsidRDefault="003E04F6" w:rsidP="00523D5A">
            <w:pPr>
              <w:jc w:val="center"/>
              <w:rPr>
                <w:b/>
                <w:i/>
                <w:iCs/>
                <w:noProof/>
              </w:rPr>
            </w:pPr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</w:tcPr>
          <w:p w14:paraId="235455B5" w14:textId="77777777" w:rsidR="003E04F6" w:rsidRPr="00385F03" w:rsidRDefault="003E04F6" w:rsidP="00523D5A">
            <w:pPr>
              <w:jc w:val="center"/>
              <w:rPr>
                <w:b/>
                <w:i/>
                <w:iCs/>
                <w:noProof/>
              </w:rPr>
            </w:pPr>
          </w:p>
        </w:tc>
        <w:tc>
          <w:tcPr>
            <w:tcW w:w="1008" w:type="dxa"/>
            <w:tcBorders>
              <w:left w:val="nil"/>
              <w:bottom w:val="nil"/>
            </w:tcBorders>
          </w:tcPr>
          <w:p w14:paraId="7568BBF2" w14:textId="77777777" w:rsidR="003E04F6" w:rsidRPr="00385F03" w:rsidRDefault="003E04F6" w:rsidP="00523D5A">
            <w:pPr>
              <w:jc w:val="center"/>
              <w:rPr>
                <w:b/>
                <w:i/>
                <w:iCs/>
                <w:noProof/>
              </w:rPr>
            </w:pPr>
          </w:p>
        </w:tc>
        <w:tc>
          <w:tcPr>
            <w:tcW w:w="1440" w:type="dxa"/>
            <w:tcBorders>
              <w:bottom w:val="nil"/>
              <w:right w:val="nil"/>
            </w:tcBorders>
          </w:tcPr>
          <w:p w14:paraId="4DFF1FC9" w14:textId="77777777" w:rsidR="003E04F6" w:rsidRPr="00385F03" w:rsidRDefault="003E04F6" w:rsidP="00523D5A">
            <w:pPr>
              <w:jc w:val="center"/>
              <w:rPr>
                <w:b/>
                <w:i/>
                <w:iCs/>
                <w:noProof/>
              </w:rPr>
            </w:pPr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</w:tcPr>
          <w:p w14:paraId="4F733903" w14:textId="77777777" w:rsidR="003E04F6" w:rsidRPr="00385F03" w:rsidRDefault="003E04F6" w:rsidP="00523D5A">
            <w:pPr>
              <w:jc w:val="center"/>
              <w:rPr>
                <w:b/>
                <w:i/>
                <w:iCs/>
                <w:noProof/>
              </w:rPr>
            </w:pPr>
          </w:p>
        </w:tc>
        <w:tc>
          <w:tcPr>
            <w:tcW w:w="1008" w:type="dxa"/>
            <w:tcBorders>
              <w:left w:val="nil"/>
              <w:bottom w:val="nil"/>
            </w:tcBorders>
          </w:tcPr>
          <w:p w14:paraId="125EFD83" w14:textId="77777777" w:rsidR="003E04F6" w:rsidRPr="00385F03" w:rsidRDefault="003E04F6" w:rsidP="00523D5A">
            <w:pPr>
              <w:jc w:val="center"/>
              <w:rPr>
                <w:b/>
                <w:i/>
                <w:iCs/>
                <w:noProof/>
              </w:rPr>
            </w:pPr>
          </w:p>
        </w:tc>
      </w:tr>
      <w:tr w:rsidR="003E04F6" w:rsidRPr="00385F03" w14:paraId="51BC55C8" w14:textId="77777777" w:rsidTr="00523D5A">
        <w:trPr>
          <w:trHeight w:val="259"/>
        </w:trPr>
        <w:tc>
          <w:tcPr>
            <w:tcW w:w="3744" w:type="dxa"/>
            <w:tcBorders>
              <w:top w:val="nil"/>
              <w:bottom w:val="nil"/>
            </w:tcBorders>
          </w:tcPr>
          <w:p w14:paraId="13315F32" w14:textId="77777777" w:rsidR="003E04F6" w:rsidRPr="00385F03" w:rsidRDefault="003E04F6" w:rsidP="00523D5A">
            <w:pPr>
              <w:contextualSpacing/>
              <w:rPr>
                <w:b/>
              </w:rPr>
            </w:pPr>
            <w:r w:rsidRPr="00385F03">
              <w:rPr>
                <w:noProof/>
              </w:rPr>
              <w:t xml:space="preserve">    Baseline</w:t>
            </w:r>
            <w:r w:rsidRPr="00385F03">
              <w:rPr>
                <w:vertAlign w:val="superscript"/>
              </w:rPr>
              <w:t>c</w:t>
            </w:r>
          </w:p>
        </w:tc>
        <w:tc>
          <w:tcPr>
            <w:tcW w:w="1440" w:type="dxa"/>
            <w:tcBorders>
              <w:top w:val="nil"/>
              <w:bottom w:val="nil"/>
              <w:right w:val="nil"/>
            </w:tcBorders>
          </w:tcPr>
          <w:p w14:paraId="681DB949" w14:textId="77777777" w:rsidR="003E04F6" w:rsidRPr="00385F03" w:rsidRDefault="003E04F6" w:rsidP="00523D5A">
            <w:pPr>
              <w:contextualSpacing/>
              <w:jc w:val="center"/>
              <w:rPr>
                <w:b/>
                <w:i/>
                <w:iCs/>
                <w:noProof/>
              </w:rPr>
            </w:pPr>
            <w:r w:rsidRPr="00385F03">
              <w:t>197 ± 49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575A013B" w14:textId="77777777" w:rsidR="003E04F6" w:rsidRPr="00385F03" w:rsidRDefault="003E04F6" w:rsidP="00523D5A">
            <w:pPr>
              <w:contextualSpacing/>
              <w:jc w:val="center"/>
              <w:rPr>
                <w:b/>
                <w:i/>
                <w:iCs/>
                <w:noProof/>
              </w:rPr>
            </w:pPr>
            <w:r w:rsidRPr="00385F03">
              <w:t>189 ± 36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</w:tcBorders>
          </w:tcPr>
          <w:p w14:paraId="32EE1ADD" w14:textId="77777777" w:rsidR="003E04F6" w:rsidRPr="00385F03" w:rsidRDefault="003E04F6" w:rsidP="00523D5A">
            <w:pPr>
              <w:jc w:val="center"/>
              <w:rPr>
                <w:b/>
                <w:i/>
                <w:iCs/>
                <w:noProof/>
              </w:rPr>
            </w:pPr>
          </w:p>
        </w:tc>
        <w:tc>
          <w:tcPr>
            <w:tcW w:w="1440" w:type="dxa"/>
            <w:tcBorders>
              <w:top w:val="nil"/>
              <w:bottom w:val="nil"/>
              <w:right w:val="nil"/>
            </w:tcBorders>
          </w:tcPr>
          <w:p w14:paraId="73894F5F" w14:textId="77777777" w:rsidR="003E04F6" w:rsidRPr="00385F03" w:rsidRDefault="003E04F6" w:rsidP="00523D5A">
            <w:pPr>
              <w:contextualSpacing/>
              <w:jc w:val="center"/>
              <w:rPr>
                <w:b/>
                <w:i/>
                <w:iCs/>
                <w:noProof/>
              </w:rPr>
            </w:pPr>
            <w:r w:rsidRPr="00385F03">
              <w:t>190 ± 60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75B6ED77" w14:textId="77777777" w:rsidR="003E04F6" w:rsidRPr="00385F03" w:rsidRDefault="003E04F6" w:rsidP="00523D5A">
            <w:pPr>
              <w:contextualSpacing/>
              <w:jc w:val="center"/>
              <w:rPr>
                <w:b/>
                <w:i/>
                <w:iCs/>
                <w:noProof/>
              </w:rPr>
            </w:pPr>
            <w:r w:rsidRPr="00385F03">
              <w:t>197 ± 43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</w:tcBorders>
          </w:tcPr>
          <w:p w14:paraId="05C0D51C" w14:textId="77777777" w:rsidR="003E04F6" w:rsidRPr="00385F03" w:rsidRDefault="003E04F6" w:rsidP="00523D5A">
            <w:pPr>
              <w:jc w:val="center"/>
              <w:rPr>
                <w:b/>
                <w:i/>
                <w:iCs/>
                <w:noProof/>
              </w:rPr>
            </w:pPr>
          </w:p>
        </w:tc>
      </w:tr>
      <w:tr w:rsidR="003E04F6" w:rsidRPr="00385F03" w14:paraId="215444B9" w14:textId="77777777" w:rsidTr="00523D5A">
        <w:trPr>
          <w:trHeight w:val="259"/>
        </w:trPr>
        <w:tc>
          <w:tcPr>
            <w:tcW w:w="3744" w:type="dxa"/>
            <w:tcBorders>
              <w:top w:val="nil"/>
              <w:bottom w:val="nil"/>
            </w:tcBorders>
          </w:tcPr>
          <w:p w14:paraId="4133C5DA" w14:textId="77777777" w:rsidR="003E04F6" w:rsidRPr="00385F03" w:rsidRDefault="003E04F6" w:rsidP="00523D5A">
            <w:pPr>
              <w:contextualSpacing/>
              <w:rPr>
                <w:noProof/>
              </w:rPr>
            </w:pPr>
            <w:r w:rsidRPr="00385F03">
              <w:rPr>
                <w:noProof/>
              </w:rPr>
              <w:t xml:space="preserve">    Over 12 weeks</w:t>
            </w:r>
          </w:p>
        </w:tc>
        <w:tc>
          <w:tcPr>
            <w:tcW w:w="1440" w:type="dxa"/>
            <w:tcBorders>
              <w:top w:val="nil"/>
              <w:bottom w:val="nil"/>
              <w:right w:val="nil"/>
            </w:tcBorders>
          </w:tcPr>
          <w:p w14:paraId="7A3A211F" w14:textId="77777777" w:rsidR="003E04F6" w:rsidRPr="00385F03" w:rsidRDefault="003E04F6" w:rsidP="00523D5A">
            <w:pPr>
              <w:contextualSpacing/>
              <w:jc w:val="center"/>
              <w:rPr>
                <w:b/>
                <w:i/>
                <w:iCs/>
                <w:noProof/>
              </w:rPr>
            </w:pPr>
            <w:r w:rsidRPr="00385F03">
              <w:t>169 ± 36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31595CE" w14:textId="77777777" w:rsidR="003E04F6" w:rsidRPr="00385F03" w:rsidRDefault="003E04F6" w:rsidP="00523D5A">
            <w:pPr>
              <w:contextualSpacing/>
              <w:jc w:val="center"/>
              <w:rPr>
                <w:b/>
                <w:i/>
                <w:iCs/>
                <w:noProof/>
              </w:rPr>
            </w:pPr>
            <w:r w:rsidRPr="00385F03">
              <w:t>172 ± 40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</w:tcBorders>
          </w:tcPr>
          <w:p w14:paraId="0E20B6E9" w14:textId="77777777" w:rsidR="003E04F6" w:rsidRPr="00385F03" w:rsidRDefault="003E04F6" w:rsidP="00523D5A">
            <w:pPr>
              <w:jc w:val="center"/>
              <w:rPr>
                <w:b/>
                <w:i/>
                <w:iCs/>
                <w:noProof/>
              </w:rPr>
            </w:pPr>
          </w:p>
        </w:tc>
        <w:tc>
          <w:tcPr>
            <w:tcW w:w="1440" w:type="dxa"/>
            <w:tcBorders>
              <w:top w:val="nil"/>
              <w:bottom w:val="nil"/>
              <w:right w:val="nil"/>
            </w:tcBorders>
          </w:tcPr>
          <w:p w14:paraId="1815CF88" w14:textId="77777777" w:rsidR="003E04F6" w:rsidRPr="00385F03" w:rsidRDefault="003E04F6" w:rsidP="00523D5A">
            <w:pPr>
              <w:contextualSpacing/>
              <w:jc w:val="center"/>
              <w:rPr>
                <w:b/>
                <w:i/>
                <w:iCs/>
                <w:noProof/>
              </w:rPr>
            </w:pPr>
            <w:r w:rsidRPr="00385F03">
              <w:t>156 ± 36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17C74171" w14:textId="77777777" w:rsidR="003E04F6" w:rsidRPr="00385F03" w:rsidRDefault="003E04F6" w:rsidP="00523D5A">
            <w:pPr>
              <w:contextualSpacing/>
              <w:jc w:val="center"/>
              <w:rPr>
                <w:b/>
                <w:i/>
                <w:iCs/>
                <w:noProof/>
              </w:rPr>
            </w:pPr>
            <w:r w:rsidRPr="00385F03">
              <w:t>173 ± 36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</w:tcBorders>
          </w:tcPr>
          <w:p w14:paraId="522645E5" w14:textId="77777777" w:rsidR="003E04F6" w:rsidRPr="00385F03" w:rsidRDefault="003E04F6" w:rsidP="00523D5A">
            <w:pPr>
              <w:jc w:val="center"/>
              <w:rPr>
                <w:b/>
                <w:i/>
                <w:iCs/>
                <w:noProof/>
              </w:rPr>
            </w:pPr>
          </w:p>
        </w:tc>
      </w:tr>
      <w:tr w:rsidR="003E04F6" w:rsidRPr="00385F03" w14:paraId="59B34D2C" w14:textId="77777777" w:rsidTr="00523D5A">
        <w:trPr>
          <w:trHeight w:val="259"/>
        </w:trPr>
        <w:tc>
          <w:tcPr>
            <w:tcW w:w="3744" w:type="dxa"/>
            <w:tcBorders>
              <w:top w:val="nil"/>
            </w:tcBorders>
          </w:tcPr>
          <w:p w14:paraId="38DD4194" w14:textId="77777777" w:rsidR="003E04F6" w:rsidRPr="00385F03" w:rsidRDefault="003E04F6" w:rsidP="00523D5A">
            <w:pPr>
              <w:contextualSpacing/>
              <w:rPr>
                <w:noProof/>
              </w:rPr>
            </w:pPr>
            <w:r w:rsidRPr="00385F03">
              <w:rPr>
                <w:noProof/>
              </w:rPr>
              <w:t xml:space="preserve">    Change from Baseline</w:t>
            </w:r>
          </w:p>
        </w:tc>
        <w:tc>
          <w:tcPr>
            <w:tcW w:w="1440" w:type="dxa"/>
            <w:tcBorders>
              <w:top w:val="nil"/>
              <w:right w:val="nil"/>
            </w:tcBorders>
          </w:tcPr>
          <w:p w14:paraId="1B299279" w14:textId="77777777" w:rsidR="003E04F6" w:rsidRPr="00385F03" w:rsidRDefault="003E04F6" w:rsidP="00523D5A">
            <w:pPr>
              <w:jc w:val="center"/>
              <w:rPr>
                <w:b/>
                <w:i/>
                <w:iCs/>
                <w:noProof/>
              </w:rPr>
            </w:pPr>
            <w:r w:rsidRPr="00385F03">
              <w:t>-28 ± 37</w:t>
            </w:r>
          </w:p>
        </w:tc>
        <w:tc>
          <w:tcPr>
            <w:tcW w:w="1440" w:type="dxa"/>
            <w:tcBorders>
              <w:top w:val="nil"/>
              <w:left w:val="nil"/>
              <w:right w:val="nil"/>
            </w:tcBorders>
          </w:tcPr>
          <w:p w14:paraId="24E4FF47" w14:textId="77777777" w:rsidR="003E04F6" w:rsidRPr="00385F03" w:rsidRDefault="003E04F6" w:rsidP="00523D5A">
            <w:pPr>
              <w:jc w:val="center"/>
              <w:rPr>
                <w:b/>
                <w:i/>
                <w:iCs/>
                <w:noProof/>
              </w:rPr>
            </w:pPr>
            <w:r w:rsidRPr="00385F03">
              <w:t>-18 ± 24</w:t>
            </w:r>
          </w:p>
        </w:tc>
        <w:tc>
          <w:tcPr>
            <w:tcW w:w="1008" w:type="dxa"/>
            <w:tcBorders>
              <w:top w:val="nil"/>
              <w:left w:val="nil"/>
            </w:tcBorders>
          </w:tcPr>
          <w:p w14:paraId="00222009" w14:textId="77777777" w:rsidR="003E04F6" w:rsidRPr="00385F03" w:rsidRDefault="003E04F6" w:rsidP="00523D5A">
            <w:pPr>
              <w:jc w:val="center"/>
              <w:rPr>
                <w:b/>
                <w:i/>
                <w:iCs/>
                <w:noProof/>
              </w:rPr>
            </w:pPr>
            <w:r w:rsidRPr="00385F03">
              <w:t>0.48</w:t>
            </w:r>
          </w:p>
        </w:tc>
        <w:tc>
          <w:tcPr>
            <w:tcW w:w="1440" w:type="dxa"/>
            <w:tcBorders>
              <w:top w:val="nil"/>
              <w:right w:val="nil"/>
            </w:tcBorders>
          </w:tcPr>
          <w:p w14:paraId="3833B98F" w14:textId="77777777" w:rsidR="003E04F6" w:rsidRPr="00385F03" w:rsidRDefault="003E04F6" w:rsidP="00523D5A">
            <w:pPr>
              <w:jc w:val="center"/>
              <w:rPr>
                <w:b/>
                <w:i/>
                <w:iCs/>
                <w:noProof/>
              </w:rPr>
            </w:pPr>
            <w:r w:rsidRPr="00385F03">
              <w:t>-34 ± 41</w:t>
            </w:r>
          </w:p>
        </w:tc>
        <w:tc>
          <w:tcPr>
            <w:tcW w:w="1440" w:type="dxa"/>
            <w:tcBorders>
              <w:top w:val="nil"/>
              <w:left w:val="nil"/>
              <w:right w:val="nil"/>
            </w:tcBorders>
          </w:tcPr>
          <w:p w14:paraId="336276F2" w14:textId="77777777" w:rsidR="003E04F6" w:rsidRPr="00385F03" w:rsidRDefault="003E04F6" w:rsidP="00523D5A">
            <w:pPr>
              <w:jc w:val="center"/>
              <w:rPr>
                <w:b/>
                <w:i/>
                <w:iCs/>
                <w:noProof/>
              </w:rPr>
            </w:pPr>
            <w:r w:rsidRPr="00385F03">
              <w:t>-24 ± 33</w:t>
            </w:r>
          </w:p>
        </w:tc>
        <w:tc>
          <w:tcPr>
            <w:tcW w:w="1008" w:type="dxa"/>
            <w:tcBorders>
              <w:top w:val="nil"/>
              <w:left w:val="nil"/>
            </w:tcBorders>
          </w:tcPr>
          <w:p w14:paraId="6379FB87" w14:textId="77777777" w:rsidR="003E04F6" w:rsidRPr="00385F03" w:rsidRDefault="003E04F6" w:rsidP="00523D5A">
            <w:pPr>
              <w:jc w:val="center"/>
              <w:rPr>
                <w:b/>
                <w:i/>
                <w:iCs/>
                <w:noProof/>
              </w:rPr>
            </w:pPr>
            <w:r w:rsidRPr="00385F03">
              <w:t>0.49</w:t>
            </w:r>
          </w:p>
        </w:tc>
      </w:tr>
      <w:tr w:rsidR="003E04F6" w:rsidRPr="00385F03" w14:paraId="5DA0747D" w14:textId="77777777" w:rsidTr="00523D5A">
        <w:trPr>
          <w:trHeight w:val="259"/>
        </w:trPr>
        <w:tc>
          <w:tcPr>
            <w:tcW w:w="3744" w:type="dxa"/>
            <w:tcBorders>
              <w:bottom w:val="single" w:sz="4" w:space="0" w:color="auto"/>
            </w:tcBorders>
          </w:tcPr>
          <w:p w14:paraId="4EA476BD" w14:textId="77777777" w:rsidR="003E04F6" w:rsidRPr="00385F03" w:rsidRDefault="003E04F6" w:rsidP="00523D5A">
            <w:pPr>
              <w:contextualSpacing/>
              <w:rPr>
                <w:noProof/>
              </w:rPr>
            </w:pPr>
            <w:r w:rsidRPr="00385F03">
              <w:rPr>
                <w:b/>
              </w:rPr>
              <w:t xml:space="preserve">Coefficient of Variation over 12 Weeks </w:t>
            </w:r>
            <w:r w:rsidRPr="00385F03">
              <w:rPr>
                <w:i/>
              </w:rPr>
              <w:t>mean ± SD</w:t>
            </w:r>
          </w:p>
        </w:tc>
        <w:tc>
          <w:tcPr>
            <w:tcW w:w="1440" w:type="dxa"/>
            <w:tcBorders>
              <w:bottom w:val="single" w:sz="4" w:space="0" w:color="auto"/>
              <w:right w:val="nil"/>
            </w:tcBorders>
          </w:tcPr>
          <w:p w14:paraId="166BFDC4" w14:textId="77777777" w:rsidR="003E04F6" w:rsidRPr="00385F03" w:rsidRDefault="003E04F6" w:rsidP="00523D5A">
            <w:pPr>
              <w:jc w:val="center"/>
              <w:rPr>
                <w:b/>
                <w:i/>
                <w:iCs/>
                <w:noProof/>
              </w:rPr>
            </w:pPr>
            <w:r w:rsidRPr="00385F03">
              <w:t>36% ± 5%</w:t>
            </w:r>
          </w:p>
        </w:tc>
        <w:tc>
          <w:tcPr>
            <w:tcW w:w="1440" w:type="dxa"/>
            <w:tcBorders>
              <w:left w:val="nil"/>
              <w:bottom w:val="single" w:sz="4" w:space="0" w:color="auto"/>
              <w:right w:val="nil"/>
            </w:tcBorders>
          </w:tcPr>
          <w:p w14:paraId="47F2F828" w14:textId="77777777" w:rsidR="003E04F6" w:rsidRPr="00385F03" w:rsidRDefault="003E04F6" w:rsidP="00523D5A">
            <w:pPr>
              <w:jc w:val="center"/>
              <w:rPr>
                <w:b/>
                <w:i/>
                <w:iCs/>
                <w:noProof/>
              </w:rPr>
            </w:pPr>
            <w:r w:rsidRPr="00385F03">
              <w:t>30% ± 6%</w:t>
            </w:r>
          </w:p>
        </w:tc>
        <w:tc>
          <w:tcPr>
            <w:tcW w:w="1008" w:type="dxa"/>
            <w:tcBorders>
              <w:left w:val="nil"/>
              <w:bottom w:val="single" w:sz="4" w:space="0" w:color="auto"/>
            </w:tcBorders>
          </w:tcPr>
          <w:p w14:paraId="4F26F9F6" w14:textId="77777777" w:rsidR="003E04F6" w:rsidRPr="00385F03" w:rsidRDefault="003E04F6" w:rsidP="00523D5A">
            <w:pPr>
              <w:jc w:val="center"/>
              <w:rPr>
                <w:b/>
                <w:i/>
                <w:iCs/>
                <w:noProof/>
              </w:rPr>
            </w:pPr>
            <w:r w:rsidRPr="00385F03">
              <w:t>0.004</w:t>
            </w:r>
          </w:p>
        </w:tc>
        <w:tc>
          <w:tcPr>
            <w:tcW w:w="1440" w:type="dxa"/>
            <w:tcBorders>
              <w:bottom w:val="single" w:sz="4" w:space="0" w:color="auto"/>
              <w:right w:val="nil"/>
            </w:tcBorders>
          </w:tcPr>
          <w:p w14:paraId="25502DA2" w14:textId="77777777" w:rsidR="003E04F6" w:rsidRPr="00385F03" w:rsidRDefault="003E04F6" w:rsidP="00523D5A">
            <w:pPr>
              <w:jc w:val="center"/>
              <w:rPr>
                <w:b/>
                <w:i/>
                <w:iCs/>
                <w:noProof/>
              </w:rPr>
            </w:pPr>
            <w:r w:rsidRPr="00385F03">
              <w:t>35% ± 4%</w:t>
            </w:r>
          </w:p>
        </w:tc>
        <w:tc>
          <w:tcPr>
            <w:tcW w:w="1440" w:type="dxa"/>
            <w:tcBorders>
              <w:left w:val="nil"/>
              <w:bottom w:val="single" w:sz="4" w:space="0" w:color="auto"/>
              <w:right w:val="nil"/>
            </w:tcBorders>
          </w:tcPr>
          <w:p w14:paraId="0FF35C79" w14:textId="77777777" w:rsidR="003E04F6" w:rsidRPr="00385F03" w:rsidRDefault="003E04F6" w:rsidP="00523D5A">
            <w:pPr>
              <w:jc w:val="center"/>
              <w:rPr>
                <w:b/>
                <w:i/>
                <w:iCs/>
                <w:noProof/>
              </w:rPr>
            </w:pPr>
            <w:r w:rsidRPr="00385F03">
              <w:t>35% ± 6%</w:t>
            </w:r>
          </w:p>
        </w:tc>
        <w:tc>
          <w:tcPr>
            <w:tcW w:w="1008" w:type="dxa"/>
            <w:tcBorders>
              <w:left w:val="nil"/>
              <w:bottom w:val="single" w:sz="4" w:space="0" w:color="auto"/>
            </w:tcBorders>
          </w:tcPr>
          <w:p w14:paraId="062F3F6A" w14:textId="77777777" w:rsidR="003E04F6" w:rsidRPr="00385F03" w:rsidRDefault="003E04F6" w:rsidP="00523D5A">
            <w:pPr>
              <w:jc w:val="center"/>
              <w:rPr>
                <w:b/>
                <w:i/>
                <w:iCs/>
                <w:noProof/>
              </w:rPr>
            </w:pPr>
            <w:r w:rsidRPr="00385F03">
              <w:t>0.91</w:t>
            </w:r>
          </w:p>
        </w:tc>
      </w:tr>
      <w:tr w:rsidR="003E04F6" w:rsidRPr="00385F03" w14:paraId="5C47E1F2" w14:textId="77777777" w:rsidTr="00523D5A">
        <w:trPr>
          <w:trHeight w:val="259"/>
        </w:trPr>
        <w:tc>
          <w:tcPr>
            <w:tcW w:w="3744" w:type="dxa"/>
            <w:tcBorders>
              <w:bottom w:val="nil"/>
            </w:tcBorders>
          </w:tcPr>
          <w:p w14:paraId="6FA1B4FA" w14:textId="77777777" w:rsidR="003E04F6" w:rsidRPr="00385F03" w:rsidRDefault="003E04F6" w:rsidP="00523D5A">
            <w:pPr>
              <w:contextualSpacing/>
              <w:rPr>
                <w:b/>
              </w:rPr>
            </w:pPr>
            <w:r w:rsidRPr="00385F03">
              <w:rPr>
                <w:b/>
              </w:rPr>
              <w:t>Hypoglycemia</w:t>
            </w:r>
            <w:r w:rsidRPr="00385F03">
              <w:rPr>
                <w:bCs/>
              </w:rPr>
              <w:t xml:space="preserve"> (%)</w:t>
            </w:r>
            <w:r w:rsidRPr="00385F03">
              <w:rPr>
                <w:i/>
              </w:rPr>
              <w:t xml:space="preserve"> median (quartiles)</w:t>
            </w:r>
          </w:p>
        </w:tc>
        <w:tc>
          <w:tcPr>
            <w:tcW w:w="1440" w:type="dxa"/>
            <w:tcBorders>
              <w:bottom w:val="nil"/>
              <w:right w:val="nil"/>
            </w:tcBorders>
          </w:tcPr>
          <w:p w14:paraId="29A8C54C" w14:textId="77777777" w:rsidR="003E04F6" w:rsidRPr="00385F03" w:rsidRDefault="003E04F6" w:rsidP="00523D5A">
            <w:pPr>
              <w:contextualSpacing/>
              <w:jc w:val="center"/>
            </w:pPr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</w:tcPr>
          <w:p w14:paraId="4AA5AC6E" w14:textId="77777777" w:rsidR="003E04F6" w:rsidRPr="00385F03" w:rsidRDefault="003E04F6" w:rsidP="00523D5A">
            <w:pPr>
              <w:contextualSpacing/>
              <w:jc w:val="center"/>
            </w:pPr>
          </w:p>
        </w:tc>
        <w:tc>
          <w:tcPr>
            <w:tcW w:w="1008" w:type="dxa"/>
            <w:tcBorders>
              <w:left w:val="nil"/>
              <w:bottom w:val="nil"/>
            </w:tcBorders>
          </w:tcPr>
          <w:p w14:paraId="50D4DE2A" w14:textId="77777777" w:rsidR="003E04F6" w:rsidRPr="00385F03" w:rsidRDefault="003E04F6" w:rsidP="00523D5A">
            <w:pPr>
              <w:contextualSpacing/>
              <w:jc w:val="center"/>
            </w:pPr>
          </w:p>
        </w:tc>
        <w:tc>
          <w:tcPr>
            <w:tcW w:w="1440" w:type="dxa"/>
            <w:tcBorders>
              <w:bottom w:val="nil"/>
              <w:right w:val="nil"/>
            </w:tcBorders>
          </w:tcPr>
          <w:p w14:paraId="115BC1CF" w14:textId="77777777" w:rsidR="003E04F6" w:rsidRPr="00385F03" w:rsidRDefault="003E04F6" w:rsidP="00523D5A">
            <w:pPr>
              <w:contextualSpacing/>
              <w:jc w:val="center"/>
            </w:pPr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</w:tcPr>
          <w:p w14:paraId="0826DFCB" w14:textId="77777777" w:rsidR="003E04F6" w:rsidRPr="00385F03" w:rsidRDefault="003E04F6" w:rsidP="00523D5A">
            <w:pPr>
              <w:contextualSpacing/>
              <w:jc w:val="center"/>
            </w:pPr>
          </w:p>
        </w:tc>
        <w:tc>
          <w:tcPr>
            <w:tcW w:w="1008" w:type="dxa"/>
            <w:tcBorders>
              <w:left w:val="nil"/>
              <w:bottom w:val="nil"/>
            </w:tcBorders>
          </w:tcPr>
          <w:p w14:paraId="56642E0F" w14:textId="77777777" w:rsidR="003E04F6" w:rsidRPr="00385F03" w:rsidRDefault="003E04F6" w:rsidP="00523D5A">
            <w:pPr>
              <w:contextualSpacing/>
              <w:jc w:val="center"/>
            </w:pPr>
          </w:p>
        </w:tc>
      </w:tr>
      <w:tr w:rsidR="003E04F6" w:rsidRPr="00385F03" w14:paraId="18283EDC" w14:textId="77777777" w:rsidTr="00523D5A">
        <w:trPr>
          <w:trHeight w:val="259"/>
        </w:trPr>
        <w:tc>
          <w:tcPr>
            <w:tcW w:w="3744" w:type="dxa"/>
            <w:tcBorders>
              <w:top w:val="nil"/>
              <w:bottom w:val="nil"/>
            </w:tcBorders>
          </w:tcPr>
          <w:p w14:paraId="4CB3DB5A" w14:textId="77777777" w:rsidR="003E04F6" w:rsidRPr="00385F03" w:rsidRDefault="003E04F6" w:rsidP="00523D5A">
            <w:pPr>
              <w:contextualSpacing/>
              <w:rPr>
                <w:b/>
              </w:rPr>
            </w:pPr>
            <w:r w:rsidRPr="00385F03">
              <w:rPr>
                <w:noProof/>
              </w:rPr>
              <w:t xml:space="preserve">    </w:t>
            </w:r>
            <w:r w:rsidRPr="00385F03">
              <w:rPr>
                <w:bCs/>
                <w:noProof/>
              </w:rPr>
              <w:t>% Time &lt;70 mg/dL over 12 Weeks (%)</w:t>
            </w:r>
          </w:p>
        </w:tc>
        <w:tc>
          <w:tcPr>
            <w:tcW w:w="1440" w:type="dxa"/>
            <w:tcBorders>
              <w:top w:val="nil"/>
              <w:bottom w:val="nil"/>
              <w:right w:val="nil"/>
            </w:tcBorders>
          </w:tcPr>
          <w:p w14:paraId="2AF2EEC1" w14:textId="77777777" w:rsidR="003E04F6" w:rsidRPr="00385F03" w:rsidRDefault="003E04F6" w:rsidP="00523D5A">
            <w:pPr>
              <w:contextualSpacing/>
              <w:jc w:val="center"/>
            </w:pPr>
            <w:r w:rsidRPr="00385F03">
              <w:t>1.4%</w:t>
            </w:r>
          </w:p>
          <w:p w14:paraId="44BE1A89" w14:textId="77777777" w:rsidR="003E04F6" w:rsidRPr="00385F03" w:rsidRDefault="003E04F6" w:rsidP="00523D5A">
            <w:pPr>
              <w:contextualSpacing/>
              <w:jc w:val="center"/>
            </w:pPr>
            <w:r w:rsidRPr="00385F03">
              <w:t>(0.9%, 3.4%)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4C0CCAFE" w14:textId="77777777" w:rsidR="003E04F6" w:rsidRPr="00385F03" w:rsidRDefault="003E04F6" w:rsidP="00523D5A">
            <w:pPr>
              <w:contextualSpacing/>
              <w:jc w:val="center"/>
            </w:pPr>
            <w:r w:rsidRPr="00385F03">
              <w:t>0.8%</w:t>
            </w:r>
          </w:p>
          <w:p w14:paraId="21D44838" w14:textId="77777777" w:rsidR="003E04F6" w:rsidRPr="00385F03" w:rsidRDefault="003E04F6" w:rsidP="00523D5A">
            <w:pPr>
              <w:contextualSpacing/>
              <w:jc w:val="center"/>
            </w:pPr>
            <w:r w:rsidRPr="00385F03">
              <w:t>(0.2%, 2.2%)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</w:tcBorders>
          </w:tcPr>
          <w:p w14:paraId="67E34CEE" w14:textId="77777777" w:rsidR="003E04F6" w:rsidRPr="00385F03" w:rsidRDefault="003E04F6" w:rsidP="00523D5A">
            <w:pPr>
              <w:contextualSpacing/>
              <w:jc w:val="center"/>
            </w:pPr>
            <w:r w:rsidRPr="00385F03">
              <w:t>0.08</w:t>
            </w:r>
          </w:p>
        </w:tc>
        <w:tc>
          <w:tcPr>
            <w:tcW w:w="1440" w:type="dxa"/>
            <w:tcBorders>
              <w:top w:val="nil"/>
              <w:bottom w:val="nil"/>
              <w:right w:val="nil"/>
            </w:tcBorders>
          </w:tcPr>
          <w:p w14:paraId="160B3655" w14:textId="77777777" w:rsidR="003E04F6" w:rsidRPr="00385F03" w:rsidRDefault="003E04F6" w:rsidP="00523D5A">
            <w:pPr>
              <w:contextualSpacing/>
              <w:jc w:val="center"/>
            </w:pPr>
            <w:r w:rsidRPr="00385F03">
              <w:t>1.9%</w:t>
            </w:r>
          </w:p>
          <w:p w14:paraId="4730159F" w14:textId="77777777" w:rsidR="003E04F6" w:rsidRPr="00385F03" w:rsidRDefault="003E04F6" w:rsidP="00523D5A">
            <w:pPr>
              <w:contextualSpacing/>
              <w:jc w:val="center"/>
            </w:pPr>
            <w:r w:rsidRPr="00385F03">
              <w:t>(0.9%, 9.1%)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1ABA5E30" w14:textId="77777777" w:rsidR="003E04F6" w:rsidRPr="00385F03" w:rsidRDefault="003E04F6" w:rsidP="00523D5A">
            <w:pPr>
              <w:contextualSpacing/>
              <w:jc w:val="center"/>
            </w:pPr>
            <w:r w:rsidRPr="00385F03">
              <w:t>1.3%</w:t>
            </w:r>
          </w:p>
          <w:p w14:paraId="7ABC20B7" w14:textId="77777777" w:rsidR="003E04F6" w:rsidRPr="00385F03" w:rsidRDefault="003E04F6" w:rsidP="00523D5A">
            <w:pPr>
              <w:contextualSpacing/>
              <w:jc w:val="center"/>
            </w:pPr>
            <w:r w:rsidRPr="00385F03">
              <w:t>(0.6%, 3.1%)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</w:tcBorders>
          </w:tcPr>
          <w:p w14:paraId="1E3FFF0C" w14:textId="77777777" w:rsidR="003E04F6" w:rsidRPr="00385F03" w:rsidRDefault="003E04F6" w:rsidP="00523D5A">
            <w:pPr>
              <w:contextualSpacing/>
              <w:jc w:val="center"/>
            </w:pPr>
            <w:r w:rsidRPr="00385F03">
              <w:t>0.44</w:t>
            </w:r>
          </w:p>
        </w:tc>
      </w:tr>
      <w:tr w:rsidR="003E04F6" w:rsidRPr="00385F03" w14:paraId="47C6E212" w14:textId="77777777" w:rsidTr="00523D5A">
        <w:trPr>
          <w:trHeight w:val="259"/>
        </w:trPr>
        <w:tc>
          <w:tcPr>
            <w:tcW w:w="3744" w:type="dxa"/>
            <w:tcBorders>
              <w:top w:val="nil"/>
              <w:bottom w:val="single" w:sz="4" w:space="0" w:color="auto"/>
            </w:tcBorders>
          </w:tcPr>
          <w:p w14:paraId="5B004D0B" w14:textId="77777777" w:rsidR="003E04F6" w:rsidRPr="00385F03" w:rsidRDefault="003E04F6" w:rsidP="00523D5A">
            <w:pPr>
              <w:contextualSpacing/>
              <w:rPr>
                <w:b/>
              </w:rPr>
            </w:pPr>
            <w:r w:rsidRPr="00385F03">
              <w:rPr>
                <w:bCs/>
                <w:noProof/>
              </w:rPr>
              <w:t xml:space="preserve">    % Time &lt;54 mg/dL over 12 Weeks (%)</w:t>
            </w:r>
          </w:p>
        </w:tc>
        <w:tc>
          <w:tcPr>
            <w:tcW w:w="1440" w:type="dxa"/>
            <w:tcBorders>
              <w:top w:val="nil"/>
              <w:bottom w:val="single" w:sz="4" w:space="0" w:color="auto"/>
              <w:right w:val="nil"/>
            </w:tcBorders>
          </w:tcPr>
          <w:p w14:paraId="35989802" w14:textId="77777777" w:rsidR="003E04F6" w:rsidRPr="00385F03" w:rsidRDefault="003E04F6" w:rsidP="00523D5A">
            <w:pPr>
              <w:contextualSpacing/>
              <w:jc w:val="center"/>
            </w:pPr>
            <w:r w:rsidRPr="00385F03">
              <w:t>0.3%</w:t>
            </w:r>
          </w:p>
          <w:p w14:paraId="3A0C459D" w14:textId="77777777" w:rsidR="003E04F6" w:rsidRPr="00385F03" w:rsidRDefault="003E04F6" w:rsidP="00523D5A">
            <w:pPr>
              <w:contextualSpacing/>
              <w:jc w:val="center"/>
            </w:pPr>
            <w:r w:rsidRPr="00385F03">
              <w:t>(0.1%, 0.7%)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D77D6B" w14:textId="77777777" w:rsidR="003E04F6" w:rsidRPr="00385F03" w:rsidRDefault="003E04F6" w:rsidP="00523D5A">
            <w:pPr>
              <w:contextualSpacing/>
              <w:jc w:val="center"/>
            </w:pPr>
            <w:r w:rsidRPr="00385F03">
              <w:t>0.1%</w:t>
            </w:r>
          </w:p>
          <w:p w14:paraId="7CF31C21" w14:textId="77777777" w:rsidR="003E04F6" w:rsidRPr="00385F03" w:rsidRDefault="003E04F6" w:rsidP="00523D5A">
            <w:pPr>
              <w:contextualSpacing/>
              <w:jc w:val="center"/>
            </w:pPr>
            <w:r w:rsidRPr="00385F03">
              <w:t>(0.0%, 0.5%)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</w:tcBorders>
          </w:tcPr>
          <w:p w14:paraId="158B08EA" w14:textId="77777777" w:rsidR="003E04F6" w:rsidRPr="00385F03" w:rsidRDefault="003E04F6" w:rsidP="00523D5A">
            <w:pPr>
              <w:contextualSpacing/>
              <w:jc w:val="center"/>
            </w:pPr>
            <w:r w:rsidRPr="00385F03">
              <w:t>0.27</w:t>
            </w:r>
          </w:p>
        </w:tc>
        <w:tc>
          <w:tcPr>
            <w:tcW w:w="1440" w:type="dxa"/>
            <w:tcBorders>
              <w:top w:val="nil"/>
              <w:bottom w:val="single" w:sz="4" w:space="0" w:color="auto"/>
              <w:right w:val="nil"/>
            </w:tcBorders>
          </w:tcPr>
          <w:p w14:paraId="11E1B447" w14:textId="77777777" w:rsidR="003E04F6" w:rsidRPr="00385F03" w:rsidRDefault="003E04F6" w:rsidP="00523D5A">
            <w:pPr>
              <w:contextualSpacing/>
              <w:jc w:val="center"/>
            </w:pPr>
            <w:r w:rsidRPr="00385F03">
              <w:t>0.5%</w:t>
            </w:r>
          </w:p>
          <w:p w14:paraId="1ACDD545" w14:textId="77777777" w:rsidR="003E04F6" w:rsidRPr="00385F03" w:rsidRDefault="003E04F6" w:rsidP="00523D5A">
            <w:pPr>
              <w:contextualSpacing/>
              <w:jc w:val="center"/>
            </w:pPr>
            <w:r w:rsidRPr="00385F03">
              <w:t>(0.1%, 1.6%)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7B8ADC" w14:textId="77777777" w:rsidR="003E04F6" w:rsidRPr="00385F03" w:rsidRDefault="003E04F6" w:rsidP="00523D5A">
            <w:pPr>
              <w:contextualSpacing/>
              <w:jc w:val="center"/>
            </w:pPr>
            <w:r w:rsidRPr="00385F03">
              <w:t>0.2%</w:t>
            </w:r>
          </w:p>
          <w:p w14:paraId="4F8B0F1C" w14:textId="77777777" w:rsidR="003E04F6" w:rsidRPr="00385F03" w:rsidRDefault="003E04F6" w:rsidP="00523D5A">
            <w:pPr>
              <w:contextualSpacing/>
              <w:jc w:val="center"/>
            </w:pPr>
            <w:r w:rsidRPr="00385F03">
              <w:t>(0.1%, 0.6%)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</w:tcBorders>
          </w:tcPr>
          <w:p w14:paraId="24CF824F" w14:textId="77777777" w:rsidR="003E04F6" w:rsidRPr="00385F03" w:rsidRDefault="003E04F6" w:rsidP="00523D5A">
            <w:pPr>
              <w:contextualSpacing/>
              <w:jc w:val="center"/>
            </w:pPr>
            <w:r w:rsidRPr="00385F03">
              <w:t>0.22</w:t>
            </w:r>
          </w:p>
        </w:tc>
      </w:tr>
      <w:tr w:rsidR="003E04F6" w:rsidRPr="00385F03" w14:paraId="6D99E676" w14:textId="77777777" w:rsidTr="00523D5A">
        <w:trPr>
          <w:trHeight w:val="259"/>
        </w:trPr>
        <w:tc>
          <w:tcPr>
            <w:tcW w:w="3744" w:type="dxa"/>
            <w:tcBorders>
              <w:bottom w:val="nil"/>
            </w:tcBorders>
          </w:tcPr>
          <w:p w14:paraId="33DBB06B" w14:textId="77777777" w:rsidR="003E04F6" w:rsidRPr="00385F03" w:rsidRDefault="003E04F6" w:rsidP="00523D5A">
            <w:pPr>
              <w:contextualSpacing/>
              <w:rPr>
                <w:b/>
              </w:rPr>
            </w:pPr>
            <w:r w:rsidRPr="00385F03">
              <w:rPr>
                <w:b/>
              </w:rPr>
              <w:t xml:space="preserve">Hyperglycemia </w:t>
            </w:r>
            <w:r w:rsidRPr="00385F03">
              <w:rPr>
                <w:bCs/>
              </w:rPr>
              <w:t>(%)</w:t>
            </w:r>
            <w:r w:rsidRPr="00385F03">
              <w:rPr>
                <w:i/>
              </w:rPr>
              <w:t xml:space="preserve"> median (quartiles)</w:t>
            </w:r>
          </w:p>
        </w:tc>
        <w:tc>
          <w:tcPr>
            <w:tcW w:w="1440" w:type="dxa"/>
            <w:tcBorders>
              <w:bottom w:val="nil"/>
              <w:right w:val="nil"/>
            </w:tcBorders>
          </w:tcPr>
          <w:p w14:paraId="0E0BD795" w14:textId="77777777" w:rsidR="003E04F6" w:rsidRPr="00385F03" w:rsidRDefault="003E04F6" w:rsidP="00523D5A">
            <w:pPr>
              <w:contextualSpacing/>
              <w:jc w:val="center"/>
            </w:pPr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</w:tcPr>
          <w:p w14:paraId="775A3961" w14:textId="77777777" w:rsidR="003E04F6" w:rsidRPr="00385F03" w:rsidRDefault="003E04F6" w:rsidP="00523D5A">
            <w:pPr>
              <w:contextualSpacing/>
              <w:jc w:val="center"/>
            </w:pPr>
          </w:p>
        </w:tc>
        <w:tc>
          <w:tcPr>
            <w:tcW w:w="1008" w:type="dxa"/>
            <w:tcBorders>
              <w:left w:val="nil"/>
              <w:bottom w:val="nil"/>
            </w:tcBorders>
          </w:tcPr>
          <w:p w14:paraId="5B583EAA" w14:textId="77777777" w:rsidR="003E04F6" w:rsidRPr="00385F03" w:rsidRDefault="003E04F6" w:rsidP="00523D5A">
            <w:pPr>
              <w:contextualSpacing/>
              <w:jc w:val="center"/>
            </w:pPr>
          </w:p>
        </w:tc>
        <w:tc>
          <w:tcPr>
            <w:tcW w:w="1440" w:type="dxa"/>
            <w:tcBorders>
              <w:bottom w:val="nil"/>
              <w:right w:val="nil"/>
            </w:tcBorders>
          </w:tcPr>
          <w:p w14:paraId="6368E67C" w14:textId="77777777" w:rsidR="003E04F6" w:rsidRPr="00385F03" w:rsidRDefault="003E04F6" w:rsidP="00523D5A">
            <w:pPr>
              <w:contextualSpacing/>
              <w:jc w:val="center"/>
            </w:pPr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</w:tcPr>
          <w:p w14:paraId="4A5EFE02" w14:textId="77777777" w:rsidR="003E04F6" w:rsidRPr="00385F03" w:rsidRDefault="003E04F6" w:rsidP="00523D5A">
            <w:pPr>
              <w:contextualSpacing/>
              <w:jc w:val="center"/>
            </w:pPr>
          </w:p>
        </w:tc>
        <w:tc>
          <w:tcPr>
            <w:tcW w:w="1008" w:type="dxa"/>
            <w:tcBorders>
              <w:left w:val="nil"/>
              <w:bottom w:val="nil"/>
            </w:tcBorders>
          </w:tcPr>
          <w:p w14:paraId="39438033" w14:textId="77777777" w:rsidR="003E04F6" w:rsidRPr="00385F03" w:rsidRDefault="003E04F6" w:rsidP="00523D5A">
            <w:pPr>
              <w:contextualSpacing/>
              <w:jc w:val="center"/>
            </w:pPr>
          </w:p>
        </w:tc>
      </w:tr>
      <w:tr w:rsidR="003E04F6" w:rsidRPr="00385F03" w14:paraId="68520F8E" w14:textId="77777777" w:rsidTr="00523D5A">
        <w:trPr>
          <w:trHeight w:val="259"/>
        </w:trPr>
        <w:tc>
          <w:tcPr>
            <w:tcW w:w="3744" w:type="dxa"/>
            <w:tcBorders>
              <w:top w:val="nil"/>
              <w:bottom w:val="nil"/>
            </w:tcBorders>
          </w:tcPr>
          <w:p w14:paraId="442B3713" w14:textId="77777777" w:rsidR="003E04F6" w:rsidRPr="00385F03" w:rsidRDefault="003E04F6" w:rsidP="00523D5A">
            <w:pPr>
              <w:contextualSpacing/>
              <w:rPr>
                <w:b/>
              </w:rPr>
            </w:pPr>
            <w:r w:rsidRPr="00385F03">
              <w:t xml:space="preserve">    % Time &gt;180 mg/dL over 12 Weeks (%)</w:t>
            </w:r>
          </w:p>
        </w:tc>
        <w:tc>
          <w:tcPr>
            <w:tcW w:w="1440" w:type="dxa"/>
            <w:tcBorders>
              <w:top w:val="nil"/>
              <w:bottom w:val="nil"/>
              <w:right w:val="nil"/>
            </w:tcBorders>
          </w:tcPr>
          <w:p w14:paraId="48ECB7A2" w14:textId="77777777" w:rsidR="003E04F6" w:rsidRPr="00385F03" w:rsidRDefault="003E04F6" w:rsidP="00523D5A">
            <w:pPr>
              <w:contextualSpacing/>
              <w:jc w:val="center"/>
            </w:pPr>
            <w:r w:rsidRPr="00385F03">
              <w:t>44%</w:t>
            </w:r>
          </w:p>
          <w:p w14:paraId="3C4D92A0" w14:textId="77777777" w:rsidR="003E04F6" w:rsidRPr="00385F03" w:rsidRDefault="003E04F6" w:rsidP="00523D5A">
            <w:pPr>
              <w:contextualSpacing/>
              <w:jc w:val="center"/>
            </w:pPr>
            <w:r w:rsidRPr="00385F03">
              <w:t>(22%, 55%)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06FED6A0" w14:textId="77777777" w:rsidR="003E04F6" w:rsidRPr="00385F03" w:rsidRDefault="003E04F6" w:rsidP="00523D5A">
            <w:pPr>
              <w:contextualSpacing/>
              <w:jc w:val="center"/>
            </w:pPr>
            <w:r w:rsidRPr="00385F03">
              <w:t>39%</w:t>
            </w:r>
          </w:p>
          <w:p w14:paraId="797C6B13" w14:textId="77777777" w:rsidR="003E04F6" w:rsidRPr="00385F03" w:rsidRDefault="003E04F6" w:rsidP="00523D5A">
            <w:pPr>
              <w:contextualSpacing/>
              <w:jc w:val="center"/>
            </w:pPr>
            <w:r w:rsidRPr="00385F03">
              <w:t>(15%, 50%)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</w:tcBorders>
          </w:tcPr>
          <w:p w14:paraId="3524A586" w14:textId="77777777" w:rsidR="003E04F6" w:rsidRPr="00385F03" w:rsidRDefault="003E04F6" w:rsidP="00523D5A">
            <w:pPr>
              <w:contextualSpacing/>
              <w:jc w:val="center"/>
            </w:pPr>
            <w:r w:rsidRPr="00385F03">
              <w:t>0.86</w:t>
            </w:r>
          </w:p>
        </w:tc>
        <w:tc>
          <w:tcPr>
            <w:tcW w:w="1440" w:type="dxa"/>
            <w:tcBorders>
              <w:top w:val="nil"/>
              <w:bottom w:val="nil"/>
              <w:right w:val="nil"/>
            </w:tcBorders>
          </w:tcPr>
          <w:p w14:paraId="59EED5A0" w14:textId="77777777" w:rsidR="003E04F6" w:rsidRPr="00385F03" w:rsidRDefault="003E04F6" w:rsidP="00523D5A">
            <w:pPr>
              <w:contextualSpacing/>
              <w:jc w:val="center"/>
            </w:pPr>
            <w:r w:rsidRPr="00385F03">
              <w:t>32%</w:t>
            </w:r>
          </w:p>
          <w:p w14:paraId="3A86540F" w14:textId="77777777" w:rsidR="003E04F6" w:rsidRPr="00385F03" w:rsidRDefault="003E04F6" w:rsidP="00523D5A">
            <w:pPr>
              <w:contextualSpacing/>
              <w:jc w:val="center"/>
            </w:pPr>
            <w:r w:rsidRPr="00385F03">
              <w:t>(7%, 45%)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4E53A3BB" w14:textId="77777777" w:rsidR="003E04F6" w:rsidRPr="00385F03" w:rsidRDefault="003E04F6" w:rsidP="00523D5A">
            <w:pPr>
              <w:contextualSpacing/>
              <w:jc w:val="center"/>
            </w:pPr>
            <w:r w:rsidRPr="00385F03">
              <w:t>46%</w:t>
            </w:r>
          </w:p>
          <w:p w14:paraId="79BD266E" w14:textId="77777777" w:rsidR="003E04F6" w:rsidRPr="00385F03" w:rsidRDefault="003E04F6" w:rsidP="00523D5A">
            <w:pPr>
              <w:contextualSpacing/>
              <w:jc w:val="center"/>
            </w:pPr>
            <w:r w:rsidRPr="00385F03">
              <w:t>(20%, 55%)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</w:tcBorders>
          </w:tcPr>
          <w:p w14:paraId="68784092" w14:textId="77777777" w:rsidR="003E04F6" w:rsidRPr="00385F03" w:rsidRDefault="003E04F6" w:rsidP="00523D5A">
            <w:pPr>
              <w:contextualSpacing/>
              <w:jc w:val="center"/>
            </w:pPr>
            <w:r w:rsidRPr="00385F03">
              <w:t>0.27</w:t>
            </w:r>
          </w:p>
        </w:tc>
      </w:tr>
      <w:tr w:rsidR="003E04F6" w:rsidRPr="00385F03" w14:paraId="2D849E31" w14:textId="77777777" w:rsidTr="00523D5A">
        <w:trPr>
          <w:trHeight w:val="259"/>
        </w:trPr>
        <w:tc>
          <w:tcPr>
            <w:tcW w:w="3744" w:type="dxa"/>
            <w:tcBorders>
              <w:top w:val="nil"/>
            </w:tcBorders>
          </w:tcPr>
          <w:p w14:paraId="2F2BB7B8" w14:textId="77777777" w:rsidR="003E04F6" w:rsidRPr="00385F03" w:rsidRDefault="003E04F6" w:rsidP="00523D5A">
            <w:pPr>
              <w:contextualSpacing/>
              <w:rPr>
                <w:b/>
              </w:rPr>
            </w:pPr>
            <w:r w:rsidRPr="00385F03">
              <w:t xml:space="preserve">    % Time &gt;250 mg/dL over 12 Weeks (%)</w:t>
            </w:r>
          </w:p>
        </w:tc>
        <w:tc>
          <w:tcPr>
            <w:tcW w:w="1440" w:type="dxa"/>
            <w:tcBorders>
              <w:top w:val="nil"/>
              <w:right w:val="nil"/>
            </w:tcBorders>
          </w:tcPr>
          <w:p w14:paraId="3B33CE5C" w14:textId="77777777" w:rsidR="003E04F6" w:rsidRPr="00385F03" w:rsidRDefault="003E04F6" w:rsidP="00523D5A">
            <w:pPr>
              <w:contextualSpacing/>
              <w:jc w:val="center"/>
            </w:pPr>
            <w:r w:rsidRPr="00385F03">
              <w:t>12%</w:t>
            </w:r>
          </w:p>
          <w:p w14:paraId="4D8061F5" w14:textId="77777777" w:rsidR="003E04F6" w:rsidRPr="00385F03" w:rsidRDefault="003E04F6" w:rsidP="00523D5A">
            <w:pPr>
              <w:contextualSpacing/>
              <w:jc w:val="center"/>
            </w:pPr>
            <w:r w:rsidRPr="00385F03">
              <w:t>(4%, 19%)</w:t>
            </w:r>
          </w:p>
        </w:tc>
        <w:tc>
          <w:tcPr>
            <w:tcW w:w="1440" w:type="dxa"/>
            <w:tcBorders>
              <w:top w:val="nil"/>
              <w:left w:val="nil"/>
              <w:right w:val="nil"/>
            </w:tcBorders>
          </w:tcPr>
          <w:p w14:paraId="513AD93B" w14:textId="77777777" w:rsidR="003E04F6" w:rsidRPr="00385F03" w:rsidRDefault="003E04F6" w:rsidP="00523D5A">
            <w:pPr>
              <w:contextualSpacing/>
              <w:jc w:val="center"/>
            </w:pPr>
            <w:r w:rsidRPr="00385F03">
              <w:t>10%</w:t>
            </w:r>
          </w:p>
          <w:p w14:paraId="59AC957B" w14:textId="77777777" w:rsidR="003E04F6" w:rsidRPr="00385F03" w:rsidRDefault="003E04F6" w:rsidP="00523D5A">
            <w:pPr>
              <w:contextualSpacing/>
              <w:jc w:val="center"/>
            </w:pPr>
            <w:r w:rsidRPr="00385F03">
              <w:t>(1%, 15%)</w:t>
            </w:r>
          </w:p>
        </w:tc>
        <w:tc>
          <w:tcPr>
            <w:tcW w:w="1008" w:type="dxa"/>
            <w:tcBorders>
              <w:top w:val="nil"/>
              <w:left w:val="nil"/>
            </w:tcBorders>
          </w:tcPr>
          <w:p w14:paraId="4CEF82D9" w14:textId="77777777" w:rsidR="003E04F6" w:rsidRPr="00385F03" w:rsidRDefault="003E04F6" w:rsidP="00523D5A">
            <w:pPr>
              <w:contextualSpacing/>
              <w:jc w:val="center"/>
            </w:pPr>
            <w:r w:rsidRPr="00385F03">
              <w:t>0.42</w:t>
            </w:r>
          </w:p>
        </w:tc>
        <w:tc>
          <w:tcPr>
            <w:tcW w:w="1440" w:type="dxa"/>
            <w:tcBorders>
              <w:top w:val="nil"/>
              <w:right w:val="nil"/>
            </w:tcBorders>
          </w:tcPr>
          <w:p w14:paraId="1B7B9FA4" w14:textId="77777777" w:rsidR="003E04F6" w:rsidRPr="00385F03" w:rsidRDefault="003E04F6" w:rsidP="00523D5A">
            <w:pPr>
              <w:contextualSpacing/>
              <w:jc w:val="center"/>
            </w:pPr>
            <w:r w:rsidRPr="00385F03">
              <w:t>6%</w:t>
            </w:r>
          </w:p>
          <w:p w14:paraId="70A82420" w14:textId="77777777" w:rsidR="003E04F6" w:rsidRPr="00385F03" w:rsidRDefault="003E04F6" w:rsidP="00523D5A">
            <w:pPr>
              <w:contextualSpacing/>
              <w:jc w:val="center"/>
            </w:pPr>
            <w:r w:rsidRPr="00385F03">
              <w:t>(2%, 16%)</w:t>
            </w:r>
          </w:p>
        </w:tc>
        <w:tc>
          <w:tcPr>
            <w:tcW w:w="1440" w:type="dxa"/>
            <w:tcBorders>
              <w:top w:val="nil"/>
              <w:left w:val="nil"/>
              <w:right w:val="nil"/>
            </w:tcBorders>
          </w:tcPr>
          <w:p w14:paraId="7D7EDFC0" w14:textId="77777777" w:rsidR="003E04F6" w:rsidRPr="00385F03" w:rsidRDefault="003E04F6" w:rsidP="00523D5A">
            <w:pPr>
              <w:contextualSpacing/>
              <w:jc w:val="center"/>
            </w:pPr>
            <w:r w:rsidRPr="00385F03">
              <w:t>12%</w:t>
            </w:r>
          </w:p>
          <w:p w14:paraId="075AB9F8" w14:textId="77777777" w:rsidR="003E04F6" w:rsidRPr="00385F03" w:rsidRDefault="003E04F6" w:rsidP="00523D5A">
            <w:pPr>
              <w:contextualSpacing/>
              <w:jc w:val="center"/>
            </w:pPr>
            <w:r w:rsidRPr="00385F03">
              <w:t>(3%, 19%)</w:t>
            </w:r>
          </w:p>
        </w:tc>
        <w:tc>
          <w:tcPr>
            <w:tcW w:w="1008" w:type="dxa"/>
            <w:tcBorders>
              <w:top w:val="nil"/>
              <w:left w:val="nil"/>
            </w:tcBorders>
          </w:tcPr>
          <w:p w14:paraId="3E9D2441" w14:textId="77777777" w:rsidR="003E04F6" w:rsidRPr="00385F03" w:rsidRDefault="003E04F6" w:rsidP="00523D5A">
            <w:pPr>
              <w:contextualSpacing/>
              <w:jc w:val="center"/>
            </w:pPr>
            <w:r w:rsidRPr="00385F03">
              <w:t>0.47</w:t>
            </w:r>
          </w:p>
        </w:tc>
      </w:tr>
    </w:tbl>
    <w:p w14:paraId="53B589B4" w14:textId="77777777" w:rsidR="003E04F6" w:rsidRPr="00385F03" w:rsidRDefault="003E04F6" w:rsidP="003E04F6">
      <w:pPr>
        <w:rPr>
          <w:sz w:val="18"/>
          <w:szCs w:val="18"/>
        </w:rPr>
      </w:pPr>
      <w:proofErr w:type="spellStart"/>
      <w:r w:rsidRPr="00385F03">
        <w:rPr>
          <w:sz w:val="18"/>
          <w:szCs w:val="18"/>
          <w:vertAlign w:val="superscript"/>
        </w:rPr>
        <w:t>a</w:t>
      </w:r>
      <w:proofErr w:type="spellEnd"/>
      <w:r w:rsidRPr="00385F03">
        <w:rPr>
          <w:sz w:val="18"/>
          <w:szCs w:val="18"/>
          <w:vertAlign w:val="superscript"/>
        </w:rPr>
        <w:t xml:space="preserve"> </w:t>
      </w:r>
      <w:r w:rsidRPr="00385F03">
        <w:rPr>
          <w:sz w:val="18"/>
          <w:szCs w:val="18"/>
        </w:rPr>
        <w:t>Excludes one participant with type 1 diabetes, using injections, who did not have an available measurement at both baseline and 12 weeks.</w:t>
      </w:r>
    </w:p>
    <w:p w14:paraId="7670984D" w14:textId="77777777" w:rsidR="003E04F6" w:rsidRPr="00385F03" w:rsidRDefault="003E04F6" w:rsidP="003E04F6">
      <w:pPr>
        <w:rPr>
          <w:sz w:val="18"/>
          <w:szCs w:val="18"/>
        </w:rPr>
      </w:pPr>
      <w:r w:rsidRPr="00385F03">
        <w:rPr>
          <w:sz w:val="18"/>
          <w:szCs w:val="18"/>
          <w:vertAlign w:val="superscript"/>
        </w:rPr>
        <w:t xml:space="preserve">b </w:t>
      </w:r>
      <w:r w:rsidRPr="00385F03">
        <w:rPr>
          <w:sz w:val="18"/>
          <w:szCs w:val="18"/>
        </w:rPr>
        <w:t>SI Conversions: to convert HbA1c to the SI units of mmol/mol, multiply the HbA1c percentage value × 10.93 and subtract 23.5 from the product.</w:t>
      </w:r>
    </w:p>
    <w:p w14:paraId="588FC0FA" w14:textId="77777777" w:rsidR="003E04F6" w:rsidRPr="00385F03" w:rsidRDefault="003E04F6" w:rsidP="003E04F6">
      <w:pPr>
        <w:rPr>
          <w:sz w:val="18"/>
          <w:szCs w:val="18"/>
        </w:rPr>
      </w:pPr>
      <w:r w:rsidRPr="00385F03">
        <w:rPr>
          <w:sz w:val="18"/>
          <w:szCs w:val="18"/>
          <w:vertAlign w:val="superscript"/>
        </w:rPr>
        <w:t xml:space="preserve">c </w:t>
      </w:r>
      <w:r w:rsidRPr="00385F03">
        <w:rPr>
          <w:sz w:val="18"/>
          <w:szCs w:val="18"/>
        </w:rPr>
        <w:t xml:space="preserve">Estimated from Beck et al </w:t>
      </w:r>
      <w:r w:rsidRPr="00421E09">
        <w:rPr>
          <w:sz w:val="18"/>
          <w:szCs w:val="18"/>
          <w:vertAlign w:val="superscript"/>
        </w:rPr>
        <w:t>(</w:t>
      </w:r>
      <w:r w:rsidRPr="00421E09">
        <w:rPr>
          <w:sz w:val="18"/>
          <w:szCs w:val="18"/>
          <w:vertAlign w:val="superscript"/>
        </w:rPr>
        <w:fldChar w:fldCharType="begin"/>
      </w:r>
      <w:r w:rsidRPr="00421E09">
        <w:rPr>
          <w:sz w:val="18"/>
          <w:szCs w:val="18"/>
          <w:vertAlign w:val="superscript"/>
        </w:rPr>
        <w:instrText xml:space="preserve"> ADDIN EN.CITE &lt;EndNote&gt;&lt;Cite&gt;&lt;Author&gt;Beck&lt;/Author&gt;&lt;Year&gt;2019&lt;/Year&gt;&lt;RecNum&gt;32&lt;/RecNum&gt;&lt;DisplayText&gt;&lt;style face="superscript"&gt;26&lt;/style&gt;&lt;/DisplayText&gt;&lt;record&gt;&lt;rec-number&gt;32&lt;/rec-number&gt;&lt;foreign-keys&gt;&lt;key app="EN" db-id="25z0std24frzxgewr5xvzaaqfrzx5a05wezd" timestamp="1572460686"&gt;32&lt;/key&gt;&lt;/foreign-keys&gt;&lt;ref-type name="Journal Article"&gt;17&lt;/ref-type&gt;&lt;contributors&gt;&lt;authors&gt;&lt;author&gt;Beck, RW.&lt;/author&gt;&lt;author&gt;Bergenstal, R.&lt;/author&gt;&lt;author&gt;Cheng, P.&lt;/author&gt;&lt;author&gt;Kollman, C.&lt;/author&gt;&lt;author&gt;Carlson, AL.&lt;/author&gt;&lt;author&gt;Johnson, ML.&lt;/author&gt;&lt;author&gt;Rodbard, D.&lt;/author&gt;&lt;/authors&gt;&lt;/contributors&gt;&lt;titles&gt;&lt;title&gt;The relationships between time in range, hyperglycemia metrics, and HbA1c&lt;/title&gt;&lt;secondary-title&gt;Journal of Diabetes Science and Technology&lt;/secondary-title&gt;&lt;/titles&gt;&lt;periodical&gt;&lt;full-title&gt;Journal of diabetes science and technology&lt;/full-title&gt;&lt;abbr-1&gt;J Diabetes Sci Technol&lt;/abbr-1&gt;&lt;/periodical&gt;&lt;pages&gt;614-626&lt;/pages&gt;&lt;volume&gt;13&lt;/volume&gt;&lt;number&gt;4&lt;/number&gt;&lt;keywords&gt;&lt;keyword&gt;type 1 diabetes,continuous glucose monitoring,glucose time in range&lt;/keyword&gt;&lt;/keywords&gt;&lt;dates&gt;&lt;year&gt;2019&lt;/year&gt;&lt;/dates&gt;&lt;accession-num&gt;30636519&lt;/accession-num&gt;&lt;urls&gt;&lt;related-urls&gt;&lt;url&gt;https://journals.sagepub.com/doi/abs/10.1177/1932296818822496&lt;/url&gt;&lt;/related-urls&gt;&lt;/urls&gt;&lt;electronic-resource-num&gt;10.1177/1932296818822496&lt;/electronic-resource-num&gt;&lt;/record&gt;&lt;/Cite&gt;&lt;/EndNote&gt;</w:instrText>
      </w:r>
      <w:r w:rsidRPr="00421E09">
        <w:rPr>
          <w:sz w:val="18"/>
          <w:szCs w:val="18"/>
          <w:vertAlign w:val="superscript"/>
        </w:rPr>
        <w:fldChar w:fldCharType="separate"/>
      </w:r>
      <w:r w:rsidRPr="00421E09">
        <w:rPr>
          <w:noProof/>
          <w:sz w:val="18"/>
          <w:szCs w:val="18"/>
          <w:vertAlign w:val="superscript"/>
        </w:rPr>
        <w:t>26</w:t>
      </w:r>
      <w:r w:rsidRPr="00421E09">
        <w:rPr>
          <w:sz w:val="18"/>
          <w:szCs w:val="18"/>
          <w:vertAlign w:val="superscript"/>
        </w:rPr>
        <w:fldChar w:fldCharType="end"/>
      </w:r>
      <w:r w:rsidRPr="00421E09">
        <w:rPr>
          <w:sz w:val="18"/>
          <w:szCs w:val="18"/>
          <w:vertAlign w:val="superscript"/>
        </w:rPr>
        <w:t>)</w:t>
      </w:r>
      <w:r w:rsidRPr="00385F03">
        <w:rPr>
          <w:sz w:val="18"/>
          <w:szCs w:val="18"/>
        </w:rPr>
        <w:t xml:space="preserve">. </w:t>
      </w:r>
    </w:p>
    <w:p w14:paraId="0CCD9D62" w14:textId="33099761" w:rsidR="000F5636" w:rsidRPr="003E04F6" w:rsidRDefault="003E04F6">
      <w:pPr>
        <w:rPr>
          <w:sz w:val="18"/>
          <w:szCs w:val="18"/>
        </w:rPr>
      </w:pPr>
      <w:r w:rsidRPr="00385F03">
        <w:rPr>
          <w:sz w:val="18"/>
          <w:szCs w:val="18"/>
          <w:vertAlign w:val="superscript"/>
        </w:rPr>
        <w:t xml:space="preserve">d </w:t>
      </w:r>
      <w:r w:rsidRPr="00385F03">
        <w:rPr>
          <w:sz w:val="18"/>
          <w:szCs w:val="18"/>
        </w:rPr>
        <w:t>SI Conversion: to convert glucose to mmol/L, multiply the values × 0.0555.</w:t>
      </w:r>
      <w:bookmarkStart w:id="0" w:name="_GoBack"/>
      <w:bookmarkEnd w:id="0"/>
    </w:p>
    <w:sectPr w:rsidR="000F5636" w:rsidRPr="003E04F6" w:rsidSect="00317AB2">
      <w:pgSz w:w="15840" w:h="12240" w:orient="landscape"/>
      <w:pgMar w:top="1440" w:right="1440" w:bottom="1440" w:left="1440" w:header="0" w:footer="720" w:gutter="0"/>
      <w:lnNumType w:countBy="1" w:restart="continuous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4F6"/>
    <w:rsid w:val="00322928"/>
    <w:rsid w:val="003E04F6"/>
    <w:rsid w:val="004A2119"/>
    <w:rsid w:val="00D56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4CFD8"/>
  <w15:chartTrackingRefBased/>
  <w15:docId w15:val="{BD6D14FC-5A7A-4000-A308-DF5ABA144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E04F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E04F6"/>
    <w:pPr>
      <w:keepNext/>
      <w:spacing w:line="480" w:lineRule="auto"/>
      <w:outlineLvl w:val="0"/>
    </w:pPr>
    <w:rPr>
      <w:rFonts w:eastAsiaTheme="majorEastAsia" w:cstheme="majorBidi"/>
      <w:b/>
      <w:i/>
      <w:kern w:val="3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04F6"/>
    <w:rPr>
      <w:rFonts w:ascii="Times New Roman" w:eastAsiaTheme="majorEastAsia" w:hAnsi="Times New Roman" w:cstheme="majorBidi"/>
      <w:b/>
      <w:i/>
      <w:kern w:val="32"/>
      <w:sz w:val="24"/>
      <w:szCs w:val="24"/>
    </w:rPr>
  </w:style>
  <w:style w:type="table" w:styleId="TableGrid">
    <w:name w:val="Table Grid"/>
    <w:basedOn w:val="TableNormal"/>
    <w:uiPriority w:val="59"/>
    <w:rsid w:val="003E04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3E04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Oduah-Joseph</dc:creator>
  <cp:keywords/>
  <dc:description/>
  <cp:lastModifiedBy>Vanessa Oduah-Joseph</cp:lastModifiedBy>
  <cp:revision>1</cp:revision>
  <dcterms:created xsi:type="dcterms:W3CDTF">2020-05-20T16:45:00Z</dcterms:created>
  <dcterms:modified xsi:type="dcterms:W3CDTF">2020-05-20T16:47:00Z</dcterms:modified>
</cp:coreProperties>
</file>