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宋体" w:hAnsi="宋体" w:eastAsia="宋体"/>
          <w:b/>
          <w:color w:val="1F4E79"/>
          <w:sz w:val="44"/>
        </w:rPr>
        <w:t>硕士论文第二研究点初稿</w:t>
      </w:r>
    </w:p>
    <w:p>
      <w:pPr>
        <w:jc w:val="center"/>
      </w:pPr>
      <w:r>
        <w:rPr>
          <w:rFonts w:ascii="宋体" w:hAnsi="宋体" w:eastAsia="宋体"/>
          <w:b/>
          <w:sz w:val="36"/>
        </w:rPr>
        <w:t>雷达生命体征检测中的跨域泛化方法研究</w:t>
      </w:r>
    </w:p>
    <w:p>
      <w:pPr>
        <w:jc w:val="center"/>
      </w:pPr>
      <w:r>
        <w:rPr>
          <w:color w:val="5A5A5A"/>
          <w:sz w:val="22"/>
        </w:rPr>
        <w:t>版本：方法完整初稿；实验结果待补充</w:t>
      </w:r>
    </w:p>
    <w:p/>
    <w:tbl>
      <w:tblPr>
        <w:tblW w:type="auto" w:w="0"/>
        <w:jc w:val="center"/>
        <w:tblLook w:firstColumn="1" w:firstRow="1" w:lastColumn="0" w:lastRow="0" w:noHBand="0" w:noVBand="1" w:val="04A0"/>
      </w:tblPr>
      <w:tblGrid>
        <w:gridCol w:w="9405"/>
      </w:tblGrid>
      <w:tr>
        <w:tc>
          <w:tcPr>
            <w:tcW w:type="dxa" w:w="9405"/>
            <w:shd w:fill="F2F6FA"/>
          </w:tcPr>
          <w:p>
            <w:pPr>
              <w:spacing w:after="60"/>
            </w:pPr>
            <w:r>
              <w:rPr>
                <w:b/>
                <w:color w:val="1F4E79"/>
                <w:sz w:val="20"/>
              </w:rPr>
              <w:t>写作状态说明</w:t>
            </w:r>
          </w:p>
          <w:p>
            <w:pPr>
              <w:spacing w:line="276" w:lineRule="auto"/>
            </w:pPr>
            <w:r>
              <w:rPr>
                <w:sz w:val="19"/>
              </w:rPr>
              <w:t>本文档依据当前项目代码与研究规划撰写。方法、数据处理流程、模型设计和跨域实验方案按现阶段可执行路线完整展开；实验结果、统计显著性、最终消融结论和论文级图表尚未完成，均在相应章节以“待补充/待验证”标记。</w:t>
            </w:r>
          </w:p>
        </w:tc>
      </w:tr>
    </w:tbl>
    <w:p/>
    <w:p>
      <w:r>
        <w:br w:type="page"/>
      </w:r>
    </w:p>
    <w:p>
      <w:pPr>
        <w:pStyle w:val="Heading1"/>
      </w:pPr>
      <w:r>
        <w:rPr>
          <w:rFonts w:ascii="宋体" w:hAnsi="宋体" w:eastAsia="宋体"/>
          <w:color w:val="1F4E79"/>
        </w:rPr>
        <w:t>摘要</w:t>
      </w:r>
    </w:p>
    <w:p>
      <w:pPr>
        <w:spacing w:line="324" w:lineRule="auto" w:after="80"/>
        <w:ind w:firstLine="420"/>
      </w:pPr>
      <w:r>
        <w:rPr>
          <w:rFonts w:ascii="宋体" w:hAnsi="宋体" w:eastAsia="宋体"/>
          <w:sz w:val="21"/>
        </w:rPr>
        <w:t>毫米波雷达具有非接触、隐私友好、弱光环境可用等优势，在心率与呼吸率等生命体征监测任务中具有重要应用价值。然而，雷达生命体征检测模型通常对设备平台、采集距离、场景布置、受试者状态和参考标签生成流程较为敏感。在单一数据集上训练得到的模型迁移到另一雷达平台或应用场景时，往往面临显著的域偏移，表现为特征分布不一致、目标散射中心变化、信噪比差异、标签时间轴不完全对齐以及长时监测下的漂移问题。针对上述问题，本文围绕雷达生命体征检测中的跨域泛化展开研究，构建覆盖4TU.ResearchD、BGT60TR13C和PhysDrive三个数据集的统一处理流程，并提出一种融合RDA空间特征、目标相位增强、VMD时频分解和跨域适配策略的生命体征估计框架。</w:t>
      </w:r>
    </w:p>
    <w:p>
      <w:pPr>
        <w:spacing w:line="324" w:lineRule="auto" w:after="80"/>
        <w:ind w:firstLine="420"/>
      </w:pPr>
      <w:r/>
      <w:r>
        <w:rPr>
          <w:rFonts w:ascii="宋体" w:hAnsi="宋体" w:eastAsia="宋体"/>
          <w:sz w:val="21"/>
        </w:rPr>
        <w:t>在数据层面，本文将不同雷达平台的数据统一映射到Range-Doppler-Angle空间，并在此基础上构建生命体征感知的RDA稳定目标选择策略。该策略不再仅按空间能量选择目标bin，而是综合空间能量、EDACM相位稳定性、心率频带谱峰响应和窗口内RDA空间一致性，自动定位更可能承载胸腹微动的稳定区域。在Source-Free目标域适配阶段，RDA目标稳定性进一步作为伪标签可靠性的物理证据，用于筛选和加权目标域心率伪标签。在特征层面，本文从稳定目标bin中提取复数相位序列，基于扩展差分相位累积方法提取目标微动相位，并通过变分模态分解获得与生理节律相关的多尺度时序分量。在模型层面，本文以HeartTimeMixer、TCN和Transformer作为可比较的深度回归骨干，输入由VMD时域模态与频域谱特征构成，并围绕源域监督训练、直接迁移、经典无监督域适应以及源数据不可访问的Source-Free跨域适配设计实验。</w:t>
      </w:r>
    </w:p>
    <w:p>
      <w:pPr>
        <w:spacing w:line="324" w:lineRule="auto" w:after="80"/>
        <w:ind w:firstLine="420"/>
      </w:pPr>
      <w:r/>
      <w:r>
        <w:rPr>
          <w:rFonts w:ascii="宋体" w:hAnsi="宋体" w:eastAsia="宋体"/>
          <w:b w:val="0"/>
          <w:sz w:val="21"/>
        </w:rPr>
        <w:t>本文初稿阶段的核心贡献包括：第一，构建面向跨平台雷达生命体征检测的统一RDA空间表示与训练样本生成流程；第二，设计以目标相位、VMD模态和频域响应为核心的可迁移前端特征；第三，围绕模型部署到新雷达平台后可能出现的目标域性能下降问题，提出面向心率回归任务的Source-Free目标域自适应路线。需要强调的是，普通模型推理阶段本来不需要访问源域训练数据；本文引入Source-Free的重点在于部署后的目标域适配阶段，即在不重新调用源域原始数据的条件下，仅利用已训练源模型和目标域无标签雷达数据完成自适应。在此基础上，本文将加权伪标签、时序连续性修正和物理先验置信度结合起来，解决传统分类式Source-Free方法难以直接用于生命体征回归的问题。实验结果章节将在完成数据导出、模型训练、跨域测试和消融实验后补充。</w:t>
      </w:r>
    </w:p>
    <w:p>
      <w:pPr>
        <w:spacing w:line="324" w:lineRule="auto" w:after="80"/>
        <w:ind w:firstLine="420"/>
      </w:pPr>
      <w:r>
        <w:rPr>
          <w:rFonts w:ascii="宋体" w:hAnsi="宋体" w:eastAsia="宋体"/>
          <w:sz w:val="21"/>
        </w:rPr>
        <w:t>关键词：毫米波雷达；生命体征检测；心率估计；跨域泛化；Range-Doppler-Angle；变分模态分解；Source-Free域适应</w:t>
      </w:r>
    </w:p>
    <w:p>
      <w:pPr>
        <w:pStyle w:val="Heading1"/>
      </w:pPr>
      <w:r>
        <w:rPr>
          <w:rFonts w:ascii="宋体" w:hAnsi="宋体" w:eastAsia="宋体"/>
          <w:color w:val="1F4E79"/>
        </w:rPr>
        <w:t>第1章 绪论</w:t>
      </w:r>
    </w:p>
    <w:p>
      <w:pPr>
        <w:pStyle w:val="Heading2"/>
      </w:pPr>
      <w:r>
        <w:rPr>
          <w:rFonts w:ascii="宋体" w:hAnsi="宋体" w:eastAsia="宋体"/>
          <w:color w:val="1F4E79"/>
        </w:rPr>
        <w:t>1.1 研究背景</w:t>
      </w:r>
    </w:p>
    <w:p>
      <w:pPr>
        <w:spacing w:line="324" w:lineRule="auto" w:after="80"/>
        <w:ind w:firstLine="420"/>
      </w:pPr>
      <w:r>
        <w:rPr>
          <w:rFonts w:ascii="宋体" w:hAnsi="宋体" w:eastAsia="宋体"/>
          <w:sz w:val="21"/>
        </w:rPr>
        <w:t>心率和呼吸率是人体生理状态评估的重要指标。传统接触式监测设备通常需要电极、腕带或胸带等传感器与人体直接接触，虽然测量精度较高，但在长期监测、睡眠监测、车载驾驶员状态监测、感染风险控制和隐私敏感场景中存在佩戴依从性、舒适性和使用边界问题。毫米波雷达通过发射调频连续波并接收人体胸腹部微小位移引起的回波相位变化，可以实现非接触式生命体征监测。与摄像头相比，雷达不依赖可见光成像，能够在弱光、遮挡和隐私保护场景中工作；与普通射频传感器相比，毫米波雷达具有较高距离分辨率和角度分辨能力，有利于从复杂环境中定位人体目标并提取微动信息。</w:t>
      </w:r>
    </w:p>
    <w:p>
      <w:pPr>
        <w:spacing w:line="324" w:lineRule="auto" w:after="80"/>
        <w:ind w:firstLine="420"/>
      </w:pPr>
      <w:r>
        <w:rPr>
          <w:rFonts w:ascii="宋体" w:hAnsi="宋体" w:eastAsia="宋体"/>
          <w:sz w:val="21"/>
        </w:rPr>
        <w:t>然而，雷达生命体征检测从实验室走向真实应用仍面临明显的泛化瓶颈。不同雷达设备的发射频段、天线阵列、chirp配置、采样率和数据格式不同；不同采集场景中的距离、角度、人体姿态、座椅结构、衣物遮挡和环境杂波也会改变回波分布。即使同一任务均为心率估计，模型在源域中学习到的幅值、相位、频谱或空间分布规律，也可能在目标域中发生偏移。因此，仅依赖单一数据集监督训练的模型难以直接部署到新的雷达平台和场景。</w:t>
      </w:r>
    </w:p>
    <w:p>
      <w:pPr>
        <w:pStyle w:val="Heading2"/>
      </w:pPr>
      <w:r>
        <w:rPr>
          <w:rFonts w:ascii="宋体" w:hAnsi="宋体" w:eastAsia="宋体"/>
          <w:color w:val="1F4E79"/>
        </w:rPr>
        <w:t>1.2 问题定义</w:t>
      </w:r>
    </w:p>
    <w:p>
      <w:pPr>
        <w:spacing w:line="324" w:lineRule="auto" w:after="80"/>
        <w:ind w:firstLine="420"/>
      </w:pPr>
      <w:r>
        <w:rPr>
          <w:rFonts w:ascii="宋体" w:hAnsi="宋体" w:eastAsia="宋体"/>
          <w:sz w:val="21"/>
        </w:rPr>
        <w:t>本文关注的问题可表述为：给定一个或多个源域雷达生命体征数据集，其中包含雷达输入和心率参考标签，训练得到能够在目标域中保持稳定性能的心率估计模型。目标域可能来自不同雷达平台、不同场景或不同采集协议，且在实际部署中可能只有少量无标签数据，甚至无法访问源域原始数据。本文重点讨论心率回归任务，呼吸率估计作为后续扩展任务保留。</w:t>
      </w:r>
    </w:p>
    <w:p>
      <w:pPr>
        <w:spacing w:line="324" w:lineRule="auto" w:after="80"/>
        <w:ind w:firstLine="420"/>
      </w:pPr>
      <w:r/>
      <w:r>
        <w:rPr>
          <w:rFonts w:ascii="宋体" w:hAnsi="宋体" w:eastAsia="宋体"/>
          <w:b w:val="0"/>
          <w:sz w:val="21"/>
        </w:rPr>
        <w:t>设源域数据为Ds={(xi, yi)}，目标域数据为Dt={xj}或Dt={(xj, yj)}。其中x为雷达窗口特征，y为窗口级心率标签。跨域泛化要求模型f在源域上具有较低监督误差，同时在目标域上保持较小的MAE和RMSE。本文进一步考虑部署后目标域适配阶段的Source-Free约束：源模型训练完成并部署到新雷达平台后，若目标域性能下降，适配阶段不再重新访问源域原始数据，而只使用训练好的源模型、目标域无标签雷达窗口以及由雷达物理和生理节律导出的置信度信息。因此，Source-Free在本文中解决的不是普通推理是否需要源数据的问题，而是目标域自适应是否需要重新调用源域训练数据的问题。</w:t>
      </w:r>
    </w:p>
    <w:p>
      <w:pPr>
        <w:pStyle w:val="Heading2"/>
      </w:pPr>
      <w:r>
        <w:rPr>
          <w:rFonts w:ascii="宋体" w:hAnsi="宋体" w:eastAsia="宋体"/>
          <w:color w:val="1F4E79"/>
        </w:rPr>
        <w:t>1.3 当前项目基础</w:t>
      </w:r>
    </w:p>
    <w:p>
      <w:pPr>
        <w:spacing w:line="324" w:lineRule="auto" w:after="80"/>
        <w:ind w:firstLine="420"/>
      </w:pPr>
      <w:r>
        <w:rPr>
          <w:rFonts w:ascii="宋体" w:hAnsi="宋体" w:eastAsia="宋体"/>
          <w:sz w:val="21"/>
        </w:rPr>
        <w:t>本研究当前代码已经实现三个层面的基础工作。第一，完成4TU.ResearchD、BGT60TR13C和PhysDrive三个数据集的加载器，并在统一导出脚本中将数据保存为包含radar、time、heart_rate和respiration_rate字段的npz格式。第二，完成训练样本构建脚本，能够从统一导出的复数RDA张量中切分固定长度窗口，并生成默认的target_edacm_vmd表示。第三，完成HeartTimeMixer、TCN和Transformer三个PyTorch回归模型及训练、评估入口，支持源域训练、同域测试和跨数据集测试。</w:t>
      </w:r>
    </w:p>
    <w:tbl>
      <w:tblPr>
        <w:tblStyle w:val="TableGrid"/>
        <w:tblW w:type="auto" w:w="0"/>
        <w:jc w:val="center"/>
        <w:tblLook w:firstColumn="1" w:firstRow="1" w:lastColumn="0" w:lastRow="0" w:noHBand="0" w:noVBand="1" w:val="04A0"/>
      </w:tblPr>
      <w:tblGrid>
        <w:gridCol w:w="3135"/>
        <w:gridCol w:w="3135"/>
        <w:gridCol w:w="3135"/>
      </w:tblGrid>
      <w:tr>
        <w:tc>
          <w:tcPr>
            <w:tcW w:type="dxa" w:w="1701"/>
            <w:vAlign w:val="center"/>
            <w:shd w:fill="1F4E79"/>
          </w:tcPr>
          <w:p>
            <w:pPr>
              <w:jc w:val="center"/>
            </w:pPr>
            <w:r/>
            <w:r>
              <w:rPr>
                <w:b/>
                <w:color w:val="FFFFFF"/>
                <w:sz w:val="18"/>
              </w:rPr>
              <w:t>模块</w:t>
            </w:r>
          </w:p>
        </w:tc>
        <w:tc>
          <w:tcPr>
            <w:tcW w:type="dxa" w:w="3402"/>
            <w:vAlign w:val="center"/>
            <w:shd w:fill="1F4E79"/>
          </w:tcPr>
          <w:p>
            <w:pPr>
              <w:jc w:val="center"/>
            </w:pPr>
            <w:r/>
            <w:r>
              <w:rPr>
                <w:b/>
                <w:color w:val="FFFFFF"/>
                <w:sz w:val="18"/>
              </w:rPr>
              <w:t>当前实现</w:t>
            </w:r>
          </w:p>
        </w:tc>
        <w:tc>
          <w:tcPr>
            <w:tcW w:type="dxa" w:w="3402"/>
            <w:vAlign w:val="center"/>
            <w:shd w:fill="1F4E79"/>
          </w:tcPr>
          <w:p>
            <w:pPr>
              <w:jc w:val="center"/>
            </w:pPr>
            <w:r/>
            <w:r>
              <w:rPr>
                <w:b/>
                <w:color w:val="FFFFFF"/>
                <w:sz w:val="18"/>
              </w:rPr>
              <w:t>论文写作定位</w:t>
            </w:r>
          </w:p>
        </w:tc>
      </w:tr>
      <w:tr>
        <w:tc>
          <w:tcPr>
            <w:tcW w:type="dxa" w:w="1701"/>
            <w:vAlign w:val="center"/>
            <w:shd w:fill="D9EAF7"/>
          </w:tcPr>
          <w:p>
            <w:pPr>
              <w:jc w:val="center"/>
            </w:pPr>
            <w:r/>
            <w:r>
              <w:rPr>
                <w:b w:val="0"/>
                <w:sz w:val="18"/>
              </w:rPr>
              <w:t>数据加载</w:t>
            </w:r>
          </w:p>
        </w:tc>
        <w:tc>
          <w:tcPr>
            <w:tcW w:type="dxa" w:w="3402"/>
            <w:vAlign w:val="center"/>
          </w:tcPr>
          <w:p>
            <w:pPr>
              <w:jc w:val="left"/>
            </w:pPr>
            <w:r/>
            <w:r>
              <w:rPr>
                <w:b w:val="0"/>
                <w:sz w:val="18"/>
              </w:rPr>
              <w:t>FTU、BGT60TR13C、PhysDrive加载器</w:t>
            </w:r>
          </w:p>
        </w:tc>
        <w:tc>
          <w:tcPr>
            <w:tcW w:type="dxa" w:w="3402"/>
            <w:vAlign w:val="center"/>
          </w:tcPr>
          <w:p>
            <w:pPr>
              <w:jc w:val="center"/>
            </w:pPr>
            <w:r/>
            <w:r>
              <w:rPr>
                <w:b w:val="0"/>
                <w:sz w:val="18"/>
              </w:rPr>
              <w:t>支撑跨平台/跨场景实验</w:t>
            </w:r>
          </w:p>
        </w:tc>
      </w:tr>
      <w:tr>
        <w:tc>
          <w:tcPr>
            <w:tcW w:type="dxa" w:w="1701"/>
            <w:vAlign w:val="center"/>
            <w:shd w:fill="D9EAF7"/>
          </w:tcPr>
          <w:p>
            <w:pPr>
              <w:jc w:val="center"/>
            </w:pPr>
            <w:r/>
            <w:r>
              <w:rPr>
                <w:b w:val="0"/>
                <w:sz w:val="18"/>
              </w:rPr>
              <w:t>统一导出</w:t>
            </w:r>
          </w:p>
        </w:tc>
        <w:tc>
          <w:tcPr>
            <w:tcW w:type="dxa" w:w="3402"/>
            <w:vAlign w:val="center"/>
          </w:tcPr>
          <w:p>
            <w:pPr>
              <w:jc w:val="left"/>
            </w:pPr>
            <w:r/>
            <w:r>
              <w:rPr>
                <w:b w:val="0"/>
                <w:sz w:val="18"/>
              </w:rPr>
              <w:t>统一字段和RDA尺寸，默认8x16x8</w:t>
            </w:r>
          </w:p>
        </w:tc>
        <w:tc>
          <w:tcPr>
            <w:tcW w:type="dxa" w:w="3402"/>
            <w:vAlign w:val="center"/>
          </w:tcPr>
          <w:p>
            <w:pPr>
              <w:jc w:val="center"/>
            </w:pPr>
            <w:r/>
            <w:r>
              <w:rPr>
                <w:b w:val="0"/>
                <w:sz w:val="18"/>
              </w:rPr>
              <w:t>方法前端与数据标准化基础</w:t>
            </w:r>
          </w:p>
        </w:tc>
      </w:tr>
      <w:tr>
        <w:tc>
          <w:tcPr>
            <w:tcW w:type="dxa" w:w="1701"/>
            <w:vAlign w:val="center"/>
            <w:shd w:fill="D9EAF7"/>
          </w:tcPr>
          <w:p>
            <w:pPr>
              <w:jc w:val="center"/>
            </w:pPr>
            <w:r/>
            <w:r>
              <w:rPr>
                <w:b w:val="0"/>
                <w:sz w:val="18"/>
              </w:rPr>
              <w:t>特征构建</w:t>
            </w:r>
          </w:p>
        </w:tc>
        <w:tc>
          <w:tcPr>
            <w:tcW w:type="dxa" w:w="3402"/>
            <w:vAlign w:val="center"/>
          </w:tcPr>
          <w:p>
            <w:pPr>
              <w:jc w:val="left"/>
            </w:pPr>
            <w:r/>
            <w:r>
              <w:rPr>
                <w:b w:val="0"/>
                <w:sz w:val="18"/>
              </w:rPr>
              <w:t>目标bin选择、EDACM、VMD、频域谱</w:t>
            </w:r>
          </w:p>
        </w:tc>
        <w:tc>
          <w:tcPr>
            <w:tcW w:type="dxa" w:w="3402"/>
            <w:vAlign w:val="center"/>
          </w:tcPr>
          <w:p>
            <w:pPr>
              <w:jc w:val="center"/>
            </w:pPr>
            <w:r/>
            <w:r>
              <w:rPr>
                <w:b w:val="0"/>
                <w:sz w:val="18"/>
              </w:rPr>
              <w:t>本文方法核心组成</w:t>
            </w:r>
          </w:p>
        </w:tc>
      </w:tr>
      <w:tr>
        <w:tc>
          <w:tcPr>
            <w:tcW w:type="dxa" w:w="1701"/>
            <w:vAlign w:val="center"/>
            <w:shd w:fill="D9EAF7"/>
          </w:tcPr>
          <w:p>
            <w:pPr>
              <w:jc w:val="center"/>
            </w:pPr>
            <w:r/>
            <w:r>
              <w:rPr>
                <w:b w:val="0"/>
                <w:sz w:val="18"/>
              </w:rPr>
              <w:t>模型训练</w:t>
            </w:r>
          </w:p>
        </w:tc>
        <w:tc>
          <w:tcPr>
            <w:tcW w:type="dxa" w:w="3402"/>
            <w:vAlign w:val="center"/>
          </w:tcPr>
          <w:p>
            <w:pPr>
              <w:jc w:val="left"/>
            </w:pPr>
            <w:r/>
            <w:r>
              <w:rPr>
                <w:b w:val="0"/>
                <w:sz w:val="18"/>
              </w:rPr>
              <w:t>HeartTimeMixer、TCN、Transformer</w:t>
            </w:r>
          </w:p>
        </w:tc>
        <w:tc>
          <w:tcPr>
            <w:tcW w:type="dxa" w:w="3402"/>
            <w:vAlign w:val="center"/>
          </w:tcPr>
          <w:p>
            <w:pPr>
              <w:jc w:val="center"/>
            </w:pPr>
            <w:r/>
            <w:r>
              <w:rPr>
                <w:b w:val="0"/>
                <w:sz w:val="18"/>
              </w:rPr>
              <w:t>深度回归骨干和基线</w:t>
            </w:r>
          </w:p>
        </w:tc>
      </w:tr>
      <w:tr>
        <w:tc>
          <w:tcPr>
            <w:tcW w:type="dxa" w:w="1701"/>
            <w:vAlign w:val="center"/>
            <w:shd w:fill="D9EAF7"/>
          </w:tcPr>
          <w:p>
            <w:pPr>
              <w:jc w:val="center"/>
            </w:pPr>
            <w:r/>
            <w:r>
              <w:rPr>
                <w:b w:val="0"/>
                <w:sz w:val="18"/>
              </w:rPr>
              <w:t>评估</w:t>
            </w:r>
          </w:p>
        </w:tc>
        <w:tc>
          <w:tcPr>
            <w:tcW w:type="dxa" w:w="3402"/>
            <w:vAlign w:val="center"/>
          </w:tcPr>
          <w:p>
            <w:pPr>
              <w:jc w:val="left"/>
            </w:pPr>
            <w:r/>
            <w:r>
              <w:rPr>
                <w:b w:val="0"/>
                <w:sz w:val="18"/>
              </w:rPr>
              <w:t>overall、by_dataset、by_participant、by_group</w:t>
            </w:r>
          </w:p>
        </w:tc>
        <w:tc>
          <w:tcPr>
            <w:tcW w:type="dxa" w:w="3402"/>
            <w:vAlign w:val="center"/>
          </w:tcPr>
          <w:p>
            <w:pPr>
              <w:jc w:val="center"/>
            </w:pPr>
            <w:r/>
            <w:r>
              <w:rPr>
                <w:b w:val="0"/>
                <w:sz w:val="18"/>
              </w:rPr>
              <w:t>跨域性能分析框架</w:t>
            </w:r>
          </w:p>
        </w:tc>
      </w:tr>
    </w:tbl>
    <w:p/>
    <w:p>
      <w:pPr>
        <w:pStyle w:val="Heading2"/>
      </w:pPr>
      <w:r>
        <w:rPr>
          <w:rFonts w:ascii="宋体" w:hAnsi="宋体" w:eastAsia="宋体"/>
          <w:color w:val="1F4E79"/>
        </w:rPr>
        <w:t>1.4 本章小结</w:t>
      </w:r>
    </w:p>
    <w:p>
      <w:pPr>
        <w:spacing w:line="324" w:lineRule="auto" w:after="80"/>
        <w:ind w:firstLine="420"/>
      </w:pPr>
      <w:r>
        <w:rPr>
          <w:rFonts w:ascii="宋体" w:hAnsi="宋体" w:eastAsia="宋体"/>
          <w:sz w:val="21"/>
        </w:rPr>
        <w:t>本章说明了毫米波雷达生命体征检测的应用价值与跨域泛化难点，并界定本文研究对象为跨平台、跨场景条件下的雷达心率回归任务。后续章节将围绕统一RDA空间表示、目标相位特征、VMD增强和跨域适配方法展开。</w:t>
      </w:r>
    </w:p>
    <w:p>
      <w:pPr>
        <w:pStyle w:val="Heading1"/>
      </w:pPr>
      <w:r>
        <w:rPr>
          <w:rFonts w:ascii="宋体" w:hAnsi="宋体" w:eastAsia="宋体"/>
          <w:color w:val="1F4E79"/>
        </w:rPr>
        <w:t>第2章 相关工作</w:t>
      </w:r>
    </w:p>
    <w:p>
      <w:pPr>
        <w:pStyle w:val="Heading2"/>
      </w:pPr>
      <w:r>
        <w:rPr>
          <w:rFonts w:ascii="宋体" w:hAnsi="宋体" w:eastAsia="宋体"/>
          <w:color w:val="1F4E79"/>
        </w:rPr>
        <w:t>2.1 雷达生命体征检测方法</w:t>
      </w:r>
    </w:p>
    <w:p>
      <w:pPr>
        <w:spacing w:line="324" w:lineRule="auto" w:after="80"/>
        <w:ind w:firstLine="420"/>
      </w:pPr>
      <w:r>
        <w:rPr>
          <w:rFonts w:ascii="宋体" w:hAnsi="宋体" w:eastAsia="宋体"/>
          <w:sz w:val="21"/>
        </w:rPr>
        <w:t>雷达生命体征检测的传统方法通常基于胸腹微动引起的相位调制。典型流程包括距离单元选择、静态杂波抑制、相位解缠、相位差分、带通滤波和频谱峰值搜索。该类方法物理可解释性强，但对目标距离选择、运动干扰和多径反射较为敏感。深度学习方法则将雷达时序、距离-多普勒图或复数特征输入CNN、RNN、Transformer等网络，通过监督训练直接回归心率或呼吸率。深度方法能够学习复杂非线性映射，但跨数据集泛化能力依赖训练数据覆盖范围。</w:t>
      </w:r>
    </w:p>
    <w:p>
      <w:pPr>
        <w:pStyle w:val="Heading2"/>
      </w:pPr>
      <w:r>
        <w:rPr>
          <w:rFonts w:ascii="宋体" w:hAnsi="宋体" w:eastAsia="宋体"/>
          <w:color w:val="1F4E79"/>
        </w:rPr>
        <w:t>2.2 RDA空间表示</w:t>
      </w:r>
    </w:p>
    <w:p>
      <w:pPr>
        <w:spacing w:line="324" w:lineRule="auto" w:after="80"/>
        <w:ind w:firstLine="420"/>
      </w:pPr>
      <w:r>
        <w:rPr>
          <w:rFonts w:ascii="宋体" w:hAnsi="宋体" w:eastAsia="宋体"/>
          <w:sz w:val="21"/>
        </w:rPr>
        <w:t>Range-Doppler-Angle空间通过距离FFT、多普勒FFT和角度FFT将雷达回波组织为包含距离、速度和角度信息的三维空间表示。对于生命体征任务，目标人体的胸腹微动在空间上对应某些稳定的range-angle位置，在时间上表现为低频相位或幅值波动。与单一range bin或纯时域ADC信号相比，RDA表示能够保留目标空间位置和局部运动信息，因此更适合在不同数据集之间建立统一输入结构。</w:t>
      </w:r>
    </w:p>
    <w:tbl>
      <w:tblPr>
        <w:tblW w:type="auto" w:w="0"/>
        <w:jc w:val="center"/>
        <w:tblLook w:firstColumn="1" w:firstRow="1" w:lastColumn="0" w:lastRow="0" w:noHBand="0" w:noVBand="1" w:val="04A0"/>
      </w:tblPr>
      <w:tblGrid>
        <w:gridCol w:w="9405"/>
      </w:tblGrid>
      <w:tr>
        <w:tc>
          <w:tcPr>
            <w:tcW w:type="dxa" w:w="9405"/>
            <w:shd w:fill="FFF2CC"/>
          </w:tcPr>
          <w:p>
            <w:pPr>
              <w:spacing w:after="60"/>
            </w:pPr>
            <w:r>
              <w:rPr>
                <w:b/>
                <w:color w:val="1F4E79"/>
                <w:sz w:val="20"/>
              </w:rPr>
              <w:t>创新点判断：RDA空间特征是否合理</w:t>
            </w:r>
          </w:p>
          <w:p>
            <w:pPr>
              <w:spacing w:line="276" w:lineRule="auto"/>
            </w:pPr>
            <w:r>
              <w:rPr>
                <w:sz w:val="19"/>
              </w:rPr>
              <w:t>RDA本身不是新概念，因此不能把“使用RDA”单独表述为强创新点。更合理的表述是：面向跨平台雷达生命体征检测，构建统一RDA空间对齐流程，并提出全样本能量中心的连续range窗口选择与目标bin相位增强策略，使不同雷达原始格式在同一空间语义下进行训练和跨域评估。也就是说，创新性应落在“跨设备统一表示 + 稳定目标空间选择 + 与后续相位/VMD/跨域学习的耦合设计”，而不是落在RDA变换本身。</w:t>
            </w:r>
          </w:p>
        </w:tc>
      </w:tr>
    </w:tbl>
    <w:p/>
    <w:p>
      <w:pPr>
        <w:pStyle w:val="Heading2"/>
      </w:pPr>
      <w:r>
        <w:rPr>
          <w:rFonts w:ascii="宋体" w:hAnsi="宋体" w:eastAsia="宋体"/>
          <w:color w:val="1F4E79"/>
        </w:rPr>
        <w:t>2.3 变分模态分解与生命体征信号</w:t>
      </w:r>
    </w:p>
    <w:p>
      <w:pPr>
        <w:spacing w:line="324" w:lineRule="auto" w:after="80"/>
        <w:ind w:firstLine="420"/>
      </w:pPr>
      <w:r>
        <w:rPr>
          <w:rFonts w:ascii="宋体" w:hAnsi="宋体" w:eastAsia="宋体"/>
          <w:sz w:val="21"/>
        </w:rPr>
        <w:t>变分模态分解是一种自适应信号分解方法，可将非平稳信号分解为若干带限本征模态函数。雷达相位信号中往往同时包含呼吸、心跳、运动扰动、环境噪声和低频漂移。VMD能够将不同频带成分分离，为心率估计提供更清晰的多尺度时序表达。与经验模态分解相比，VMD具有更明确的变分优化形式和较好的抗模态混叠能力，但其分解模态数K、惩罚参数alpha和模态筛选策略会显著影响结果。</w:t>
      </w:r>
    </w:p>
    <w:p>
      <w:pPr>
        <w:pStyle w:val="Heading2"/>
      </w:pPr>
      <w:r>
        <w:rPr>
          <w:rFonts w:ascii="宋体" w:hAnsi="宋体" w:eastAsia="宋体"/>
          <w:color w:val="1F4E79"/>
        </w:rPr>
        <w:t>2.4 跨域学习与源数据不可访问适配</w:t>
      </w:r>
    </w:p>
    <w:p>
      <w:pPr>
        <w:spacing w:line="324" w:lineRule="auto" w:after="80"/>
        <w:ind w:firstLine="420"/>
      </w:pPr>
      <w:r>
        <w:rPr>
          <w:rFonts w:ascii="宋体" w:hAnsi="宋体" w:eastAsia="宋体"/>
          <w:sz w:val="21"/>
        </w:rPr>
        <w:t>跨域学习方法可分为域泛化、无监督域适应、Source-Free域适应和测试时自适应等路线。经典无监督域适应方法包括DANN、MMD和CORAL等，它们通常需要同时访问源域和目标域数据，通过对抗训练或分布距离约束学习域不变表示。Source-Free域适应进一步假设适配阶段不能访问源域原始数据，只能使用训练好的源模型和目标域无标签数据，因而更符合隐私保护和工程部署要求。测试时自适应则在推理阶段对目标数据进行轻量更新，常用于处理连续场景漂移。</w:t>
      </w:r>
    </w:p>
    <w:p>
      <w:pPr>
        <w:spacing w:line="324" w:lineRule="auto" w:after="80"/>
        <w:ind w:firstLine="420"/>
      </w:pPr>
      <w:r>
        <w:rPr>
          <w:rFonts w:ascii="宋体" w:hAnsi="宋体" w:eastAsia="宋体"/>
          <w:sz w:val="21"/>
        </w:rPr>
        <w:t>雷达任务中的跨域问题具有其特殊性：目标域偏移不仅来自普通视觉任务中的外观风格变化，还来自设备参数、人体散射中心、空间bin语义和参考标签生成流程。因此，适合本任务的跨域方法不宜完全依赖黑盒分布对齐，而应结合雷达物理先验、时间连续性和心率生理范围约束。</w:t>
      </w:r>
    </w:p>
    <w:p>
      <w:pPr>
        <w:pStyle w:val="Heading1"/>
      </w:pPr>
      <w:r>
        <w:rPr>
          <w:rFonts w:ascii="宋体" w:hAnsi="宋体" w:eastAsia="宋体"/>
          <w:color w:val="1F4E79"/>
        </w:rPr>
        <w:t>第3章 数据集与统一表示</w:t>
      </w:r>
    </w:p>
    <w:p>
      <w:pPr>
        <w:pStyle w:val="Heading2"/>
      </w:pPr>
      <w:r>
        <w:rPr>
          <w:rFonts w:ascii="宋体" w:hAnsi="宋体" w:eastAsia="宋体"/>
          <w:color w:val="1F4E79"/>
        </w:rPr>
        <w:t>3.1 数据集概述</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vAlign w:val="center"/>
            <w:shd w:fill="1F4E79"/>
          </w:tcPr>
          <w:p>
            <w:pPr>
              <w:jc w:val="center"/>
            </w:pPr>
            <w:r/>
            <w:r>
              <w:rPr>
                <w:b/>
                <w:color w:val="FFFFFF"/>
                <w:sz w:val="18"/>
              </w:rPr>
              <w:t>数据集</w:t>
            </w:r>
          </w:p>
        </w:tc>
        <w:tc>
          <w:tcPr>
            <w:tcW w:type="dxa" w:w="2551"/>
            <w:vAlign w:val="center"/>
            <w:shd w:fill="1F4E79"/>
          </w:tcPr>
          <w:p>
            <w:pPr>
              <w:jc w:val="center"/>
            </w:pPr>
            <w:r/>
            <w:r>
              <w:rPr>
                <w:b/>
                <w:color w:val="FFFFFF"/>
                <w:sz w:val="18"/>
              </w:rPr>
              <w:t>场景</w:t>
            </w:r>
          </w:p>
        </w:tc>
        <w:tc>
          <w:tcPr>
            <w:tcW w:type="dxa" w:w="2835"/>
            <w:vAlign w:val="center"/>
            <w:shd w:fill="1F4E79"/>
          </w:tcPr>
          <w:p>
            <w:pPr>
              <w:jc w:val="center"/>
            </w:pPr>
            <w:r/>
            <w:r>
              <w:rPr>
                <w:b/>
                <w:color w:val="FFFFFF"/>
                <w:sz w:val="18"/>
              </w:rPr>
              <w:t>原始格式</w:t>
            </w:r>
          </w:p>
        </w:tc>
        <w:tc>
          <w:tcPr>
            <w:tcW w:type="dxa" w:w="2835"/>
            <w:vAlign w:val="center"/>
            <w:shd w:fill="1F4E79"/>
          </w:tcPr>
          <w:p>
            <w:pPr>
              <w:jc w:val="center"/>
            </w:pPr>
            <w:r/>
            <w:r>
              <w:rPr>
                <w:b/>
                <w:color w:val="FFFFFF"/>
                <w:sz w:val="18"/>
              </w:rPr>
              <w:t>当前统一处理</w:t>
            </w:r>
          </w:p>
        </w:tc>
      </w:tr>
      <w:tr>
        <w:tc>
          <w:tcPr>
            <w:tcW w:type="dxa" w:w="1984"/>
            <w:vAlign w:val="center"/>
            <w:shd w:fill="D9EAF7"/>
          </w:tcPr>
          <w:p>
            <w:pPr>
              <w:jc w:val="center"/>
            </w:pPr>
            <w:r/>
            <w:r>
              <w:rPr>
                <w:b w:val="0"/>
                <w:sz w:val="18"/>
              </w:rPr>
              <w:t>4TU.ResearchD</w:t>
            </w:r>
          </w:p>
        </w:tc>
        <w:tc>
          <w:tcPr>
            <w:tcW w:type="dxa" w:w="2551"/>
            <w:vAlign w:val="center"/>
          </w:tcPr>
          <w:p>
            <w:pPr>
              <w:jc w:val="center"/>
            </w:pPr>
            <w:r/>
            <w:r>
              <w:rPr>
                <w:b w:val="0"/>
                <w:sz w:val="18"/>
              </w:rPr>
              <w:t>实验室极端/姿态/距离场景</w:t>
            </w:r>
          </w:p>
        </w:tc>
        <w:tc>
          <w:tcPr>
            <w:tcW w:type="dxa" w:w="2835"/>
            <w:vAlign w:val="center"/>
          </w:tcPr>
          <w:p>
            <w:pPr>
              <w:jc w:val="left"/>
            </w:pPr>
            <w:r/>
            <w:r>
              <w:rPr>
                <w:b w:val="0"/>
                <w:sz w:val="18"/>
              </w:rPr>
              <w:t>.bin雷达原始IQ + HR参考CSV</w:t>
            </w:r>
          </w:p>
        </w:tc>
        <w:tc>
          <w:tcPr>
            <w:tcW w:type="dxa" w:w="2835"/>
            <w:vAlign w:val="center"/>
          </w:tcPr>
          <w:p>
            <w:pPr>
              <w:jc w:val="center"/>
            </w:pPr>
            <w:r/>
            <w:r>
              <w:rPr>
                <w:b w:val="0"/>
                <w:sz w:val="18"/>
              </w:rPr>
              <w:t>转为复数RDA，补齐RR为NaN</w:t>
            </w:r>
          </w:p>
        </w:tc>
      </w:tr>
      <w:tr>
        <w:tc>
          <w:tcPr>
            <w:tcW w:type="dxa" w:w="1984"/>
            <w:vAlign w:val="center"/>
            <w:shd w:fill="D9EAF7"/>
          </w:tcPr>
          <w:p>
            <w:pPr>
              <w:jc w:val="center"/>
            </w:pPr>
            <w:r/>
            <w:r>
              <w:rPr>
                <w:b w:val="0"/>
                <w:sz w:val="18"/>
              </w:rPr>
              <w:t>BGT60TR13C</w:t>
            </w:r>
          </w:p>
        </w:tc>
        <w:tc>
          <w:tcPr>
            <w:tcW w:type="dxa" w:w="2551"/>
            <w:vAlign w:val="center"/>
          </w:tcPr>
          <w:p>
            <w:pPr>
              <w:jc w:val="center"/>
            </w:pPr>
            <w:r/>
            <w:r>
              <w:rPr>
                <w:b w:val="0"/>
                <w:sz w:val="18"/>
              </w:rPr>
              <w:t>室内短时与长时监测</w:t>
            </w:r>
          </w:p>
        </w:tc>
        <w:tc>
          <w:tcPr>
            <w:tcW w:type="dxa" w:w="2835"/>
            <w:vAlign w:val="center"/>
          </w:tcPr>
          <w:p>
            <w:pPr>
              <w:jc w:val="left"/>
            </w:pPr>
            <w:r/>
            <w:r>
              <w:rPr>
                <w:b w:val="0"/>
                <w:sz w:val="18"/>
              </w:rPr>
              <w:t>.npy实采样ADC + HR/RR CSV</w:t>
            </w:r>
          </w:p>
        </w:tc>
        <w:tc>
          <w:tcPr>
            <w:tcW w:type="dxa" w:w="2835"/>
            <w:vAlign w:val="center"/>
          </w:tcPr>
          <w:p>
            <w:pPr>
              <w:jc w:val="left"/>
            </w:pPr>
            <w:r/>
            <w:r>
              <w:rPr>
                <w:b w:val="0"/>
                <w:sz w:val="18"/>
              </w:rPr>
              <w:t>转为复数RDA，long样本默认用于测试</w:t>
            </w:r>
          </w:p>
        </w:tc>
      </w:tr>
      <w:tr>
        <w:tc>
          <w:tcPr>
            <w:tcW w:type="dxa" w:w="1984"/>
            <w:vAlign w:val="center"/>
            <w:shd w:fill="D9EAF7"/>
          </w:tcPr>
          <w:p>
            <w:pPr>
              <w:jc w:val="center"/>
            </w:pPr>
            <w:r/>
            <w:r>
              <w:rPr>
                <w:b w:val="0"/>
                <w:sz w:val="18"/>
              </w:rPr>
              <w:t>PhysDrive</w:t>
            </w:r>
          </w:p>
        </w:tc>
        <w:tc>
          <w:tcPr>
            <w:tcW w:type="dxa" w:w="2551"/>
            <w:vAlign w:val="center"/>
          </w:tcPr>
          <w:p>
            <w:pPr>
              <w:jc w:val="center"/>
            </w:pPr>
            <w:r/>
            <w:r>
              <w:rPr>
                <w:b w:val="0"/>
                <w:sz w:val="18"/>
              </w:rPr>
              <w:t>车载驾驶员监测</w:t>
            </w:r>
          </w:p>
        </w:tc>
        <w:tc>
          <w:tcPr>
            <w:tcW w:type="dxa" w:w="2835"/>
            <w:vAlign w:val="center"/>
          </w:tcPr>
          <w:p>
            <w:pPr>
              <w:jc w:val="left"/>
            </w:pPr>
            <w:r/>
            <w:r>
              <w:rPr>
                <w:b w:val="0"/>
                <w:sz w:val="18"/>
              </w:rPr>
              <w:t>processed mmWave .mat + ECG/Resp .mat</w:t>
            </w:r>
          </w:p>
        </w:tc>
        <w:tc>
          <w:tcPr>
            <w:tcW w:type="dxa" w:w="2835"/>
            <w:vAlign w:val="center"/>
          </w:tcPr>
          <w:p>
            <w:pPr>
              <w:jc w:val="left"/>
            </w:pPr>
            <w:r/>
            <w:r>
              <w:rPr>
                <w:b w:val="0"/>
                <w:sz w:val="18"/>
              </w:rPr>
              <w:t>对齐到RDA，并从ECG/Resp派生HR/RR</w:t>
            </w:r>
          </w:p>
        </w:tc>
      </w:tr>
    </w:tbl>
    <w:p/>
    <w:p>
      <w:pPr>
        <w:pStyle w:val="Heading2"/>
      </w:pPr>
      <w:r>
        <w:rPr>
          <w:rFonts w:ascii="宋体" w:hAnsi="宋体" w:eastAsia="宋体"/>
          <w:color w:val="1F4E79"/>
        </w:rPr>
        <w:t>3.2 统一导出格式</w:t>
      </w:r>
    </w:p>
    <w:p>
      <w:pPr>
        <w:spacing w:line="324" w:lineRule="auto" w:after="80"/>
        <w:ind w:firstLine="420"/>
      </w:pPr>
      <w:r>
        <w:rPr>
          <w:rFonts w:ascii="宋体" w:hAnsi="宋体" w:eastAsia="宋体"/>
          <w:sz w:val="21"/>
        </w:rPr>
        <w:t>为了减少数据集之间的格式差异，本文将不同来源数据统一导出为npz样本，每个样本包含radar、time、heart_rate和respiration_rate四个字段。radar字段在默认设置下为复数RDA张量，其形状为(frames, doppler, angle, range)，其中doppler、angle和range默认对齐为8、16和8。time用于描述参考标签时间轴，heart_rate和respiration_rate为参考生命体征标签。对于当前研究重点，训练数据构建阶段主要使用heart_rate。</w:t>
      </w:r>
    </w:p>
    <w:p>
      <w:pPr>
        <w:pStyle w:val="Heading2"/>
      </w:pPr>
      <w:r>
        <w:rPr>
          <w:rFonts w:ascii="宋体" w:hAnsi="宋体" w:eastAsia="宋体"/>
          <w:color w:val="1F4E79"/>
        </w:rPr>
        <w:t>3.3 RDA空间对齐</w:t>
      </w:r>
    </w:p>
    <w:p>
      <w:pPr>
        <w:spacing w:line="324" w:lineRule="auto" w:after="80"/>
        <w:ind w:firstLine="420"/>
      </w:pPr>
      <w:r>
        <w:rPr>
          <w:rFonts w:ascii="宋体" w:hAnsi="宋体" w:eastAsia="宋体"/>
          <w:sz w:val="21"/>
        </w:rPr>
        <w:t>FTU和BGT60TR13C更接近原始或近原始ADC数据，本文通过慢时间杂波抑制、range FFT、doppler FFT和angle FFT将其转换到RDA空间。PhysDrive公开包已提供processed mmWave数据，本文主要对其尺寸和轴语义进行对齐。由于不同平台的采样点数和天线配置不同，直接保留全部range bins会导致输入维度和语义不一致。当前实现采用全样本能量中心估计目标range中心，并围绕该中心选择连续range窗口。该策略相比逐帧top-k选择更稳定，能够避免目标range语义在时间上频繁跳变。</w:t>
      </w:r>
    </w:p>
    <w:p>
      <w:pPr>
        <w:pStyle w:val="Heading2"/>
      </w:pPr>
      <w:r>
        <w:rPr>
          <w:rFonts w:ascii="宋体" w:hAnsi="宋体" w:eastAsia="宋体"/>
          <w:color w:val="1F4E79"/>
        </w:rPr>
        <w:t>3.4 标签对齐与窗口化</w:t>
      </w:r>
    </w:p>
    <w:tbl>
      <w:tblPr>
        <w:tblStyle w:val="TableGrid"/>
        <w:tblW w:type="auto" w:w="0"/>
        <w:jc w:val="center"/>
        <w:tblLook w:firstColumn="1" w:firstRow="1" w:lastColumn="0" w:lastRow="0" w:noHBand="0" w:noVBand="1" w:val="04A0"/>
      </w:tblPr>
      <w:tblGrid>
        <w:gridCol w:w="3264"/>
        <w:gridCol w:w="3264"/>
        <w:gridCol w:w="3264"/>
      </w:tblGrid>
      <w:tr>
        <w:tc>
          <w:tcPr>
            <w:tcW w:type="dxa" w:w="1701"/>
            <w:vAlign w:val="center"/>
            <w:shd w:fill="1F4E79"/>
          </w:tcPr>
          <w:p>
            <w:pPr>
              <w:spacing w:line="264" w:lineRule="auto"/>
              <w:jc w:val="center"/>
            </w:pPr>
            <w:r/>
            <w:r>
              <w:rPr>
                <w:rFonts w:ascii="宋体" w:hAnsi="宋体" w:eastAsia="宋体"/>
                <w:b/>
                <w:color w:val="FFFFFF"/>
                <w:sz w:val="17"/>
              </w:rPr>
              <w:t>项目</w:t>
            </w:r>
          </w:p>
        </w:tc>
        <w:tc>
          <w:tcPr>
            <w:tcW w:type="dxa" w:w="2948"/>
            <w:vAlign w:val="center"/>
            <w:shd w:fill="1F4E79"/>
          </w:tcPr>
          <w:p>
            <w:pPr>
              <w:spacing w:line="264" w:lineRule="auto"/>
              <w:jc w:val="center"/>
            </w:pPr>
            <w:r/>
            <w:r>
              <w:rPr>
                <w:rFonts w:ascii="宋体" w:hAnsi="宋体" w:eastAsia="宋体"/>
                <w:b/>
                <w:color w:val="FFFFFF"/>
                <w:sz w:val="17"/>
              </w:rPr>
              <w:t>已确定设置</w:t>
            </w:r>
          </w:p>
        </w:tc>
        <w:tc>
          <w:tcPr>
            <w:tcW w:type="dxa" w:w="4535"/>
            <w:vAlign w:val="center"/>
            <w:shd w:fill="1F4E79"/>
          </w:tcPr>
          <w:p>
            <w:pPr>
              <w:spacing w:line="264" w:lineRule="auto"/>
              <w:jc w:val="center"/>
            </w:pPr>
            <w:r/>
            <w:r>
              <w:rPr>
                <w:rFonts w:ascii="宋体" w:hAnsi="宋体" w:eastAsia="宋体"/>
                <w:b/>
                <w:color w:val="FFFFFF"/>
                <w:sz w:val="17"/>
              </w:rPr>
              <w:t>代码依据/说明</w:t>
            </w:r>
          </w:p>
        </w:tc>
      </w:tr>
      <w:tr>
        <w:tc>
          <w:tcPr>
            <w:tcW w:type="dxa" w:w="1701"/>
            <w:vAlign w:val="center"/>
            <w:shd w:fill="D9EAF7"/>
          </w:tcPr>
          <w:p>
            <w:pPr>
              <w:spacing w:line="264" w:lineRule="auto"/>
              <w:jc w:val="center"/>
            </w:pPr>
            <w:r/>
            <w:r>
              <w:rPr>
                <w:rFonts w:ascii="宋体" w:hAnsi="宋体" w:eastAsia="宋体"/>
                <w:b w:val="0"/>
                <w:sz w:val="17"/>
              </w:rPr>
              <w:t>训练目标</w:t>
            </w:r>
          </w:p>
        </w:tc>
        <w:tc>
          <w:tcPr>
            <w:tcW w:type="dxa" w:w="2948"/>
            <w:vAlign w:val="center"/>
          </w:tcPr>
          <w:p>
            <w:pPr>
              <w:spacing w:line="264" w:lineRule="auto"/>
              <w:jc w:val="center"/>
            </w:pPr>
            <w:r/>
            <w:r>
              <w:rPr>
                <w:rFonts w:ascii="宋体" w:hAnsi="宋体" w:eastAsia="宋体"/>
                <w:b w:val="0"/>
                <w:sz w:val="17"/>
              </w:rPr>
              <w:t>heart_rate</w:t>
            </w:r>
          </w:p>
        </w:tc>
        <w:tc>
          <w:tcPr>
            <w:tcW w:type="dxa" w:w="4535"/>
            <w:vAlign w:val="center"/>
          </w:tcPr>
          <w:p>
            <w:pPr>
              <w:spacing w:line="264" w:lineRule="auto"/>
              <w:jc w:val="center"/>
            </w:pPr>
            <w:r/>
            <w:r>
              <w:rPr>
                <w:rFonts w:ascii="宋体" w:hAnsi="宋体" w:eastAsia="宋体"/>
                <w:b w:val="0"/>
                <w:sz w:val="17"/>
              </w:rPr>
              <w:t>builder当前仅支持心率回归</w:t>
            </w:r>
          </w:p>
        </w:tc>
      </w:tr>
      <w:tr>
        <w:tc>
          <w:tcPr>
            <w:tcW w:type="dxa" w:w="1701"/>
            <w:vAlign w:val="center"/>
            <w:shd w:fill="D9EAF7"/>
          </w:tcPr>
          <w:p>
            <w:pPr>
              <w:spacing w:line="264" w:lineRule="auto"/>
              <w:jc w:val="center"/>
            </w:pPr>
            <w:r/>
            <w:r>
              <w:rPr>
                <w:rFonts w:ascii="宋体" w:hAnsi="宋体" w:eastAsia="宋体"/>
                <w:b w:val="0"/>
                <w:sz w:val="17"/>
              </w:rPr>
              <w:t>窗口长度</w:t>
            </w:r>
          </w:p>
        </w:tc>
        <w:tc>
          <w:tcPr>
            <w:tcW w:type="dxa" w:w="2948"/>
            <w:vAlign w:val="center"/>
          </w:tcPr>
          <w:p>
            <w:pPr>
              <w:spacing w:line="264" w:lineRule="auto"/>
              <w:jc w:val="center"/>
            </w:pPr>
            <w:r/>
            <w:r>
              <w:rPr>
                <w:rFonts w:ascii="宋体" w:hAnsi="宋体" w:eastAsia="宋体"/>
                <w:b w:val="0"/>
                <w:sz w:val="17"/>
              </w:rPr>
              <w:t>256帧</w:t>
            </w:r>
          </w:p>
        </w:tc>
        <w:tc>
          <w:tcPr>
            <w:tcW w:type="dxa" w:w="4535"/>
            <w:vAlign w:val="center"/>
          </w:tcPr>
          <w:p>
            <w:pPr>
              <w:spacing w:line="264" w:lineRule="auto"/>
              <w:jc w:val="left"/>
            </w:pPr>
            <w:r/>
            <w:r>
              <w:rPr>
                <w:rFonts w:ascii="宋体" w:hAnsi="宋体" w:eastAsia="宋体"/>
                <w:b w:val="0"/>
                <w:sz w:val="17"/>
              </w:rPr>
              <w:t>DEFAULT_WINDOW_SIZE=256</w:t>
            </w:r>
          </w:p>
        </w:tc>
      </w:tr>
      <w:tr>
        <w:tc>
          <w:tcPr>
            <w:tcW w:type="dxa" w:w="1701"/>
            <w:vAlign w:val="center"/>
            <w:shd w:fill="D9EAF7"/>
          </w:tcPr>
          <w:p>
            <w:pPr>
              <w:spacing w:line="264" w:lineRule="auto"/>
              <w:jc w:val="center"/>
            </w:pPr>
            <w:r/>
            <w:r>
              <w:rPr>
                <w:rFonts w:ascii="宋体" w:hAnsi="宋体" w:eastAsia="宋体"/>
                <w:b w:val="0"/>
                <w:sz w:val="17"/>
              </w:rPr>
              <w:t>滑动步长</w:t>
            </w:r>
          </w:p>
        </w:tc>
        <w:tc>
          <w:tcPr>
            <w:tcW w:type="dxa" w:w="2948"/>
            <w:vAlign w:val="center"/>
          </w:tcPr>
          <w:p>
            <w:pPr>
              <w:spacing w:line="264" w:lineRule="auto"/>
              <w:jc w:val="center"/>
            </w:pPr>
            <w:r/>
            <w:r>
              <w:rPr>
                <w:rFonts w:ascii="宋体" w:hAnsi="宋体" w:eastAsia="宋体"/>
                <w:b w:val="0"/>
                <w:sz w:val="17"/>
              </w:rPr>
              <w:t>128帧</w:t>
            </w:r>
          </w:p>
        </w:tc>
        <w:tc>
          <w:tcPr>
            <w:tcW w:type="dxa" w:w="4535"/>
            <w:vAlign w:val="center"/>
          </w:tcPr>
          <w:p>
            <w:pPr>
              <w:spacing w:line="264" w:lineRule="auto"/>
              <w:jc w:val="center"/>
            </w:pPr>
            <w:r/>
            <w:r>
              <w:rPr>
                <w:rFonts w:ascii="宋体" w:hAnsi="宋体" w:eastAsia="宋体"/>
                <w:b w:val="0"/>
                <w:sz w:val="17"/>
              </w:rPr>
              <w:t>DEFAULT_STRIDE=128</w:t>
            </w:r>
          </w:p>
        </w:tc>
      </w:tr>
      <w:tr>
        <w:tc>
          <w:tcPr>
            <w:tcW w:type="dxa" w:w="1701"/>
            <w:vAlign w:val="center"/>
            <w:shd w:fill="D9EAF7"/>
          </w:tcPr>
          <w:p>
            <w:pPr>
              <w:spacing w:line="264" w:lineRule="auto"/>
              <w:jc w:val="center"/>
            </w:pPr>
            <w:r/>
            <w:r>
              <w:rPr>
                <w:rFonts w:ascii="宋体" w:hAnsi="宋体" w:eastAsia="宋体"/>
                <w:b w:val="0"/>
                <w:sz w:val="17"/>
              </w:rPr>
              <w:t>标签覆盖率</w:t>
            </w:r>
          </w:p>
        </w:tc>
        <w:tc>
          <w:tcPr>
            <w:tcW w:type="dxa" w:w="2948"/>
            <w:vAlign w:val="center"/>
          </w:tcPr>
          <w:p>
            <w:pPr>
              <w:spacing w:line="264" w:lineRule="auto"/>
              <w:jc w:val="center"/>
            </w:pPr>
            <w:r/>
            <w:r>
              <w:rPr>
                <w:rFonts w:ascii="宋体" w:hAnsi="宋体" w:eastAsia="宋体"/>
                <w:b w:val="0"/>
                <w:sz w:val="17"/>
              </w:rPr>
              <w:t>&gt;=0.8</w:t>
            </w:r>
          </w:p>
        </w:tc>
        <w:tc>
          <w:tcPr>
            <w:tcW w:type="dxa" w:w="4535"/>
            <w:vAlign w:val="center"/>
          </w:tcPr>
          <w:p>
            <w:pPr>
              <w:spacing w:line="264" w:lineRule="auto"/>
              <w:jc w:val="left"/>
            </w:pPr>
            <w:r/>
            <w:r>
              <w:rPr>
                <w:rFonts w:ascii="宋体" w:hAnsi="宋体" w:eastAsia="宋体"/>
                <w:b w:val="0"/>
                <w:sz w:val="17"/>
              </w:rPr>
              <w:t>DEFAULT_MIN_LABEL_COVERAGE=0.8</w:t>
            </w:r>
          </w:p>
        </w:tc>
      </w:tr>
      <w:tr>
        <w:tc>
          <w:tcPr>
            <w:tcW w:type="dxa" w:w="1701"/>
            <w:vAlign w:val="center"/>
            <w:shd w:fill="D9EAF7"/>
          </w:tcPr>
          <w:p>
            <w:pPr>
              <w:spacing w:line="264" w:lineRule="auto"/>
              <w:jc w:val="center"/>
            </w:pPr>
            <w:r/>
            <w:r>
              <w:rPr>
                <w:rFonts w:ascii="宋体" w:hAnsi="宋体" w:eastAsia="宋体"/>
                <w:b w:val="0"/>
                <w:sz w:val="17"/>
              </w:rPr>
              <w:t>标签聚合</w:t>
            </w:r>
          </w:p>
        </w:tc>
        <w:tc>
          <w:tcPr>
            <w:tcW w:type="dxa" w:w="2948"/>
            <w:vAlign w:val="center"/>
          </w:tcPr>
          <w:p>
            <w:pPr>
              <w:spacing w:line="264" w:lineRule="auto"/>
              <w:jc w:val="center"/>
            </w:pPr>
            <w:r/>
            <w:r>
              <w:rPr>
                <w:rFonts w:ascii="宋体" w:hAnsi="宋体" w:eastAsia="宋体"/>
                <w:b w:val="0"/>
                <w:sz w:val="17"/>
              </w:rPr>
              <w:t>窗口均值</w:t>
            </w:r>
          </w:p>
        </w:tc>
        <w:tc>
          <w:tcPr>
            <w:tcW w:type="dxa" w:w="4535"/>
            <w:vAlign w:val="center"/>
          </w:tcPr>
          <w:p>
            <w:pPr>
              <w:spacing w:line="264" w:lineRule="auto"/>
              <w:jc w:val="left"/>
            </w:pPr>
            <w:r/>
            <w:r>
              <w:rPr>
                <w:rFonts w:ascii="宋体" w:hAnsi="宋体" w:eastAsia="宋体"/>
                <w:b w:val="0"/>
                <w:sz w:val="17"/>
              </w:rPr>
              <w:t>label_reduction默认mean</w:t>
            </w:r>
          </w:p>
        </w:tc>
      </w:tr>
      <w:tr>
        <w:tc>
          <w:tcPr>
            <w:tcW w:type="dxa" w:w="1701"/>
            <w:vAlign w:val="center"/>
            <w:shd w:fill="D9EAF7"/>
          </w:tcPr>
          <w:p>
            <w:pPr>
              <w:spacing w:line="264" w:lineRule="auto"/>
              <w:jc w:val="center"/>
            </w:pPr>
            <w:r/>
            <w:r>
              <w:rPr>
                <w:rFonts w:ascii="宋体" w:hAnsi="宋体" w:eastAsia="宋体"/>
                <w:b w:val="0"/>
                <w:sz w:val="17"/>
              </w:rPr>
              <w:t>默认特征</w:t>
            </w:r>
          </w:p>
        </w:tc>
        <w:tc>
          <w:tcPr>
            <w:tcW w:type="dxa" w:w="2948"/>
            <w:vAlign w:val="center"/>
          </w:tcPr>
          <w:p>
            <w:pPr>
              <w:spacing w:line="264" w:lineRule="auto"/>
              <w:jc w:val="center"/>
            </w:pPr>
            <w:r/>
            <w:r>
              <w:rPr>
                <w:rFonts w:ascii="宋体" w:hAnsi="宋体" w:eastAsia="宋体"/>
                <w:b w:val="0"/>
                <w:sz w:val="17"/>
              </w:rPr>
              <w:t>target_edacm_vmd</w:t>
            </w:r>
          </w:p>
        </w:tc>
        <w:tc>
          <w:tcPr>
            <w:tcW w:type="dxa" w:w="4535"/>
            <w:vAlign w:val="center"/>
          </w:tcPr>
          <w:p>
            <w:pPr>
              <w:spacing w:line="264" w:lineRule="auto"/>
              <w:jc w:val="left"/>
            </w:pPr>
            <w:r/>
            <w:r>
              <w:rPr>
                <w:rFonts w:ascii="宋体" w:hAnsi="宋体" w:eastAsia="宋体"/>
                <w:b w:val="0"/>
                <w:sz w:val="17"/>
              </w:rPr>
              <w:t>EDACM相位 + VMD K=7 + 频域谱</w:t>
            </w:r>
          </w:p>
        </w:tc>
      </w:tr>
      <w:tr>
        <w:tc>
          <w:tcPr>
            <w:tcW w:type="dxa" w:w="1701"/>
            <w:vAlign w:val="center"/>
            <w:shd w:fill="D9EAF7"/>
          </w:tcPr>
          <w:p>
            <w:pPr>
              <w:spacing w:line="264" w:lineRule="auto"/>
              <w:jc w:val="center"/>
            </w:pPr>
            <w:r/>
            <w:r>
              <w:rPr>
                <w:rFonts w:ascii="宋体" w:hAnsi="宋体" w:eastAsia="宋体"/>
                <w:b w:val="0"/>
                <w:sz w:val="17"/>
              </w:rPr>
              <w:t>目标bin数</w:t>
            </w:r>
          </w:p>
        </w:tc>
        <w:tc>
          <w:tcPr>
            <w:tcW w:type="dxa" w:w="2948"/>
            <w:vAlign w:val="center"/>
          </w:tcPr>
          <w:p>
            <w:pPr>
              <w:spacing w:line="264" w:lineRule="auto"/>
              <w:jc w:val="center"/>
            </w:pPr>
            <w:r/>
            <w:r>
              <w:rPr>
                <w:rFonts w:ascii="宋体" w:hAnsi="宋体" w:eastAsia="宋体"/>
                <w:b w:val="0"/>
                <w:sz w:val="17"/>
              </w:rPr>
              <w:t>3个</w:t>
            </w:r>
          </w:p>
        </w:tc>
        <w:tc>
          <w:tcPr>
            <w:tcW w:type="dxa" w:w="4535"/>
            <w:vAlign w:val="center"/>
          </w:tcPr>
          <w:p>
            <w:pPr>
              <w:spacing w:line="264" w:lineRule="auto"/>
              <w:jc w:val="left"/>
            </w:pPr>
            <w:r/>
            <w:r>
              <w:rPr>
                <w:rFonts w:ascii="宋体" w:hAnsi="宋体" w:eastAsia="宋体"/>
                <w:b w:val="0"/>
                <w:sz w:val="17"/>
              </w:rPr>
              <w:t>DEFAULT_EDACM_TOP_BINS=3</w:t>
            </w:r>
          </w:p>
        </w:tc>
      </w:tr>
      <w:tr>
        <w:tc>
          <w:tcPr>
            <w:tcW w:type="dxa" w:w="1701"/>
            <w:vAlign w:val="center"/>
            <w:shd w:fill="D9EAF7"/>
          </w:tcPr>
          <w:p>
            <w:pPr>
              <w:spacing w:line="264" w:lineRule="auto"/>
              <w:jc w:val="center"/>
            </w:pPr>
            <w:r/>
            <w:r>
              <w:rPr>
                <w:rFonts w:ascii="宋体" w:hAnsi="宋体" w:eastAsia="宋体"/>
                <w:b w:val="0"/>
                <w:sz w:val="17"/>
              </w:rPr>
              <w:t>采样率假设</w:t>
            </w:r>
          </w:p>
        </w:tc>
        <w:tc>
          <w:tcPr>
            <w:tcW w:type="dxa" w:w="2948"/>
            <w:vAlign w:val="center"/>
          </w:tcPr>
          <w:p>
            <w:pPr>
              <w:spacing w:line="264" w:lineRule="auto"/>
              <w:jc w:val="center"/>
            </w:pPr>
            <w:r/>
            <w:r>
              <w:rPr>
                <w:rFonts w:ascii="宋体" w:hAnsi="宋体" w:eastAsia="宋体"/>
                <w:b w:val="0"/>
                <w:sz w:val="17"/>
              </w:rPr>
              <w:t>20 Hz</w:t>
            </w:r>
          </w:p>
        </w:tc>
        <w:tc>
          <w:tcPr>
            <w:tcW w:type="dxa" w:w="4535"/>
            <w:vAlign w:val="center"/>
          </w:tcPr>
          <w:p>
            <w:pPr>
              <w:spacing w:line="264" w:lineRule="auto"/>
              <w:jc w:val="center"/>
            </w:pPr>
            <w:r/>
            <w:r>
              <w:rPr>
                <w:rFonts w:ascii="宋体" w:hAnsi="宋体" w:eastAsia="宋体"/>
                <w:b w:val="0"/>
                <w:sz w:val="17"/>
              </w:rPr>
              <w:t>用于PhysDrive和频率特征构建</w:t>
            </w:r>
          </w:p>
        </w:tc>
      </w:tr>
    </w:tbl>
    <w:p>
      <w:pPr>
        <w:spacing w:line="324" w:lineRule="auto" w:after="80"/>
        <w:ind w:firstLine="420"/>
      </w:pPr>
      <w:r/>
      <w:r>
        <w:rPr>
          <w:rFonts w:ascii="宋体" w:hAnsi="宋体" w:eastAsia="宋体"/>
          <w:b w:val="0"/>
          <w:sz w:val="21"/>
        </w:rPr>
        <w:t>不同数据集的参考标签采样率和时间轴长度不同。本文将参考心率插值到雷达帧时间轴，并按固定窗口进行切片。当前代码中已确定的默认设置为：窗口长度256帧，步长128帧，标签聚合方式为窗口均值，最低有效心率标签覆盖率为0.8。训练目标当前限定为heart_rate；FTU数据集呼吸率标签缺失，因此呼吸率或双任务学习暂不作为本阶段实验目标。窗口特征默认使用target_edacm_vmd表示，包含7个VMD时域模态、对应频域谱特征以及保留用于分析的RDA幅值特征。</w:t>
      </w:r>
    </w:p>
    <w:p>
      <w:pPr>
        <w:pStyle w:val="Heading1"/>
      </w:pPr>
      <w:r>
        <w:rPr>
          <w:rFonts w:ascii="宋体" w:hAnsi="宋体" w:eastAsia="宋体"/>
          <w:color w:val="1F4E79"/>
        </w:rPr>
        <w:t>第4章 跨域泛化方法设计</w:t>
      </w:r>
    </w:p>
    <w:p>
      <w:pPr>
        <w:pStyle w:val="Heading2"/>
      </w:pPr>
      <w:r>
        <w:rPr>
          <w:rFonts w:ascii="宋体" w:hAnsi="宋体" w:eastAsia="宋体"/>
          <w:color w:val="1F4E79"/>
        </w:rPr>
        <w:t>4.1 总体框架</w:t>
      </w:r>
    </w:p>
    <w:p>
      <w:pPr>
        <w:spacing w:line="324" w:lineRule="auto" w:after="80"/>
        <w:ind w:firstLine="420"/>
      </w:pPr>
      <w:r>
        <w:rPr>
          <w:rFonts w:ascii="宋体" w:hAnsi="宋体" w:eastAsia="宋体"/>
          <w:sz w:val="21"/>
        </w:rPr>
        <w:t>本文方法由四个部分组成：统一RDA空间前端、目标相位增强、VMD时频特征构建和跨域适配训练。统一RDA空间前端解决不同雷达数据格式不一致的问题；目标相位增强从空间目标bin中提取与胸腹微动相关的相位信号；VMD时频特征构建将非平稳相位序列分解为多个模态，并构造时间域和频率域双分支输入；跨域适配训练则通过源域监督、无监督对齐、伪标签和时序一致性约束降低域偏移。</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701"/>
            <w:vAlign w:val="center"/>
            <w:shd w:fill="1F4E79"/>
          </w:tcPr>
          <w:p>
            <w:pPr>
              <w:jc w:val="center"/>
            </w:pPr>
            <w:r/>
            <w:r>
              <w:rPr>
                <w:b/>
                <w:color w:val="FFFFFF"/>
                <w:sz w:val="18"/>
              </w:rPr>
              <w:t>阶段</w:t>
            </w:r>
          </w:p>
        </w:tc>
        <w:tc>
          <w:tcPr>
            <w:tcW w:type="dxa" w:w="2551"/>
            <w:vAlign w:val="center"/>
            <w:shd w:fill="1F4E79"/>
          </w:tcPr>
          <w:p>
            <w:pPr>
              <w:jc w:val="center"/>
            </w:pPr>
            <w:r/>
            <w:r>
              <w:rPr>
                <w:b/>
                <w:color w:val="FFFFFF"/>
                <w:sz w:val="18"/>
              </w:rPr>
              <w:t>输入</w:t>
            </w:r>
          </w:p>
        </w:tc>
        <w:tc>
          <w:tcPr>
            <w:tcW w:type="dxa" w:w="3402"/>
            <w:vAlign w:val="center"/>
            <w:shd w:fill="1F4E79"/>
          </w:tcPr>
          <w:p>
            <w:pPr>
              <w:jc w:val="center"/>
            </w:pPr>
            <w:r/>
            <w:r>
              <w:rPr>
                <w:b/>
                <w:color w:val="FFFFFF"/>
                <w:sz w:val="18"/>
              </w:rPr>
              <w:t>处理</w:t>
            </w:r>
          </w:p>
        </w:tc>
        <w:tc>
          <w:tcPr>
            <w:tcW w:type="dxa" w:w="2551"/>
            <w:vAlign w:val="center"/>
            <w:shd w:fill="1F4E79"/>
          </w:tcPr>
          <w:p>
            <w:pPr>
              <w:jc w:val="center"/>
            </w:pPr>
            <w:r/>
            <w:r>
              <w:rPr>
                <w:b/>
                <w:color w:val="FFFFFF"/>
                <w:sz w:val="18"/>
              </w:rPr>
              <w:t>输出</w:t>
            </w:r>
          </w:p>
        </w:tc>
      </w:tr>
      <w:tr>
        <w:tc>
          <w:tcPr>
            <w:tcW w:type="dxa" w:w="1701"/>
            <w:vAlign w:val="center"/>
            <w:shd w:fill="D9EAF7"/>
          </w:tcPr>
          <w:p>
            <w:pPr>
              <w:jc w:val="center"/>
            </w:pPr>
            <w:r/>
            <w:r>
              <w:rPr>
                <w:b w:val="0"/>
                <w:sz w:val="18"/>
              </w:rPr>
              <w:t>空间统一</w:t>
            </w:r>
          </w:p>
        </w:tc>
        <w:tc>
          <w:tcPr>
            <w:tcW w:type="dxa" w:w="2551"/>
            <w:vAlign w:val="center"/>
          </w:tcPr>
          <w:p>
            <w:pPr>
              <w:jc w:val="left"/>
            </w:pPr>
            <w:r/>
            <w:r>
              <w:rPr>
                <w:b w:val="0"/>
                <w:sz w:val="18"/>
              </w:rPr>
              <w:t>原始ADC或processed mmWave</w:t>
            </w:r>
          </w:p>
        </w:tc>
        <w:tc>
          <w:tcPr>
            <w:tcW w:type="dxa" w:w="3402"/>
            <w:vAlign w:val="center"/>
          </w:tcPr>
          <w:p>
            <w:pPr>
              <w:jc w:val="center"/>
            </w:pPr>
            <w:r/>
            <w:r>
              <w:rPr>
                <w:b w:val="0"/>
                <w:sz w:val="18"/>
              </w:rPr>
              <w:t>FFT与尺寸对齐，统一到RDA</w:t>
            </w:r>
          </w:p>
        </w:tc>
        <w:tc>
          <w:tcPr>
            <w:tcW w:type="dxa" w:w="2551"/>
            <w:vAlign w:val="center"/>
          </w:tcPr>
          <w:p>
            <w:pPr>
              <w:jc w:val="center"/>
            </w:pPr>
            <w:r/>
            <w:r>
              <w:rPr>
                <w:b w:val="0"/>
                <w:sz w:val="18"/>
              </w:rPr>
              <w:t>复数RDA张量</w:t>
            </w:r>
          </w:p>
        </w:tc>
      </w:tr>
      <w:tr>
        <w:tc>
          <w:tcPr>
            <w:tcW w:type="dxa" w:w="1701"/>
            <w:vAlign w:val="center"/>
            <w:shd w:fill="D9EAF7"/>
          </w:tcPr>
          <w:p>
            <w:pPr>
              <w:jc w:val="center"/>
            </w:pPr>
            <w:r/>
            <w:r>
              <w:rPr>
                <w:b w:val="0"/>
                <w:sz w:val="18"/>
              </w:rPr>
              <w:t>目标选择</w:t>
            </w:r>
          </w:p>
        </w:tc>
        <w:tc>
          <w:tcPr>
            <w:tcW w:type="dxa" w:w="2551"/>
            <w:vAlign w:val="center"/>
          </w:tcPr>
          <w:p>
            <w:pPr>
              <w:jc w:val="center"/>
            </w:pPr>
            <w:r/>
            <w:r>
              <w:rPr>
                <w:b w:val="0"/>
                <w:sz w:val="18"/>
              </w:rPr>
              <w:t>RDA窗口</w:t>
            </w:r>
          </w:p>
        </w:tc>
        <w:tc>
          <w:tcPr>
            <w:tcW w:type="dxa" w:w="3402"/>
            <w:vAlign w:val="center"/>
          </w:tcPr>
          <w:p>
            <w:pPr>
              <w:jc w:val="center"/>
            </w:pPr>
            <w:r/>
            <w:r>
              <w:rPr>
                <w:b w:val="0"/>
                <w:sz w:val="18"/>
              </w:rPr>
              <w:t>能量统计选择top目标bin</w:t>
            </w:r>
          </w:p>
        </w:tc>
        <w:tc>
          <w:tcPr>
            <w:tcW w:type="dxa" w:w="2551"/>
            <w:vAlign w:val="center"/>
          </w:tcPr>
          <w:p>
            <w:pPr>
              <w:jc w:val="center"/>
            </w:pPr>
            <w:r/>
            <w:r>
              <w:rPr>
                <w:b w:val="0"/>
                <w:sz w:val="18"/>
              </w:rPr>
              <w:t>目标复数时间序列</w:t>
            </w:r>
          </w:p>
        </w:tc>
      </w:tr>
      <w:tr>
        <w:tc>
          <w:tcPr>
            <w:tcW w:type="dxa" w:w="1701"/>
            <w:vAlign w:val="center"/>
            <w:shd w:fill="D9EAF7"/>
          </w:tcPr>
          <w:p>
            <w:pPr>
              <w:jc w:val="center"/>
            </w:pPr>
            <w:r/>
            <w:r>
              <w:rPr>
                <w:b w:val="0"/>
                <w:sz w:val="18"/>
              </w:rPr>
              <w:t>相位增强</w:t>
            </w:r>
          </w:p>
        </w:tc>
        <w:tc>
          <w:tcPr>
            <w:tcW w:type="dxa" w:w="2551"/>
            <w:vAlign w:val="center"/>
          </w:tcPr>
          <w:p>
            <w:pPr>
              <w:jc w:val="center"/>
            </w:pPr>
            <w:r/>
            <w:r>
              <w:rPr>
                <w:b w:val="0"/>
                <w:sz w:val="18"/>
              </w:rPr>
              <w:t>目标复数序列</w:t>
            </w:r>
          </w:p>
        </w:tc>
        <w:tc>
          <w:tcPr>
            <w:tcW w:type="dxa" w:w="3402"/>
            <w:vAlign w:val="center"/>
          </w:tcPr>
          <w:p>
            <w:pPr>
              <w:jc w:val="left"/>
            </w:pPr>
            <w:r/>
            <w:r>
              <w:rPr>
                <w:b w:val="0"/>
                <w:sz w:val="18"/>
              </w:rPr>
              <w:t>EDACM、去趋势、z-score、能量加权融合</w:t>
            </w:r>
          </w:p>
        </w:tc>
        <w:tc>
          <w:tcPr>
            <w:tcW w:type="dxa" w:w="2551"/>
            <w:vAlign w:val="center"/>
          </w:tcPr>
          <w:p>
            <w:pPr>
              <w:jc w:val="center"/>
            </w:pPr>
            <w:r/>
            <w:r>
              <w:rPr>
                <w:b w:val="0"/>
                <w:sz w:val="18"/>
              </w:rPr>
              <w:t>目标相位序列</w:t>
            </w:r>
          </w:p>
        </w:tc>
      </w:tr>
      <w:tr>
        <w:tc>
          <w:tcPr>
            <w:tcW w:type="dxa" w:w="1701"/>
            <w:vAlign w:val="center"/>
            <w:shd w:fill="D9EAF7"/>
          </w:tcPr>
          <w:p>
            <w:pPr>
              <w:jc w:val="center"/>
            </w:pPr>
            <w:r/>
            <w:r>
              <w:rPr>
                <w:b w:val="0"/>
                <w:sz w:val="18"/>
              </w:rPr>
              <w:t>VMD分解</w:t>
            </w:r>
          </w:p>
        </w:tc>
        <w:tc>
          <w:tcPr>
            <w:tcW w:type="dxa" w:w="2551"/>
            <w:vAlign w:val="center"/>
          </w:tcPr>
          <w:p>
            <w:pPr>
              <w:jc w:val="center"/>
            </w:pPr>
            <w:r/>
            <w:r>
              <w:rPr>
                <w:b w:val="0"/>
                <w:sz w:val="18"/>
              </w:rPr>
              <w:t>目标相位序列</w:t>
            </w:r>
          </w:p>
        </w:tc>
        <w:tc>
          <w:tcPr>
            <w:tcW w:type="dxa" w:w="3402"/>
            <w:vAlign w:val="center"/>
          </w:tcPr>
          <w:p>
            <w:pPr>
              <w:jc w:val="center"/>
            </w:pPr>
            <w:r/>
            <w:r>
              <w:rPr>
                <w:b w:val="0"/>
                <w:sz w:val="18"/>
              </w:rPr>
              <w:t>K模态分解与频谱构造</w:t>
            </w:r>
          </w:p>
        </w:tc>
        <w:tc>
          <w:tcPr>
            <w:tcW w:type="dxa" w:w="2551"/>
            <w:vAlign w:val="center"/>
          </w:tcPr>
          <w:p>
            <w:pPr>
              <w:jc w:val="center"/>
            </w:pPr>
            <w:r/>
            <w:r>
              <w:rPr>
                <w:b w:val="0"/>
                <w:sz w:val="18"/>
              </w:rPr>
              <w:t>x_time和x_freq</w:t>
            </w:r>
          </w:p>
        </w:tc>
      </w:tr>
      <w:tr>
        <w:tc>
          <w:tcPr>
            <w:tcW w:type="dxa" w:w="1701"/>
            <w:vAlign w:val="center"/>
            <w:shd w:fill="D9EAF7"/>
          </w:tcPr>
          <w:p>
            <w:pPr>
              <w:jc w:val="center"/>
            </w:pPr>
            <w:r/>
            <w:r>
              <w:rPr>
                <w:b w:val="0"/>
                <w:sz w:val="18"/>
              </w:rPr>
              <w:t>跨域学习</w:t>
            </w:r>
          </w:p>
        </w:tc>
        <w:tc>
          <w:tcPr>
            <w:tcW w:type="dxa" w:w="2551"/>
            <w:vAlign w:val="center"/>
          </w:tcPr>
          <w:p>
            <w:pPr>
              <w:jc w:val="center"/>
            </w:pPr>
            <w:r/>
            <w:r>
              <w:rPr>
                <w:b w:val="0"/>
                <w:sz w:val="18"/>
              </w:rPr>
              <w:t>源/目标窗口特征</w:t>
            </w:r>
          </w:p>
        </w:tc>
        <w:tc>
          <w:tcPr>
            <w:tcW w:type="dxa" w:w="3402"/>
            <w:vAlign w:val="center"/>
          </w:tcPr>
          <w:p>
            <w:pPr>
              <w:jc w:val="left"/>
            </w:pPr>
            <w:r/>
            <w:r>
              <w:rPr>
                <w:b w:val="0"/>
                <w:sz w:val="18"/>
              </w:rPr>
              <w:t>监督回归、对齐、伪标签、时序一致性</w:t>
            </w:r>
          </w:p>
        </w:tc>
        <w:tc>
          <w:tcPr>
            <w:tcW w:type="dxa" w:w="2551"/>
            <w:vAlign w:val="center"/>
          </w:tcPr>
          <w:p>
            <w:pPr>
              <w:jc w:val="center"/>
            </w:pPr>
            <w:r/>
            <w:r>
              <w:rPr>
                <w:b w:val="0"/>
                <w:sz w:val="18"/>
              </w:rPr>
              <w:t>泛化HR模型</w:t>
            </w:r>
          </w:p>
        </w:tc>
      </w:tr>
    </w:tbl>
    <w:p/>
    <w:p>
      <w:pPr>
        <w:pStyle w:val="Heading2"/>
      </w:pPr>
      <w:r>
        <w:rPr>
          <w:rFonts w:ascii="宋体" w:hAnsi="宋体" w:eastAsia="宋体"/>
          <w:color w:val="1F4E79"/>
        </w:rPr>
        <w:t>4.2 RDA空间特征与目标bin选择</w:t>
      </w:r>
    </w:p>
    <w:p>
      <w:pPr>
        <w:spacing w:line="324" w:lineRule="auto" w:after="80"/>
        <w:ind w:firstLine="420"/>
      </w:pPr>
      <w:r>
        <w:rPr>
          <w:rFonts w:ascii="宋体" w:hAnsi="宋体" w:eastAsia="宋体"/>
          <w:sz w:val="21"/>
        </w:rPr>
        <w:t>设统一后的雷达窗口为X∈C^(T×D×A×R)，其中T为窗口长度，D、A和R分别表示doppler、angle和range维度。对于每个空间bin，计算其在时间维和复数幅值上的能量统计，并选择能量最高的若干个(doppler, angle, range)目标bin。该选择假设人体目标散射点在RDA空间中具有相对更高能量，而生命体征微动信息主要体现在这些目标bin的复数相位随时间变化中。当前实现默认选择3个目标bin，并按能量权重融合其相位序列。</w:t>
      </w:r>
    </w:p>
    <w:p>
      <w:pPr>
        <w:spacing w:line="324" w:lineRule="auto" w:after="80"/>
        <w:ind w:firstLine="420"/>
      </w:pPr>
      <w:r/>
      <w:r>
        <w:rPr>
          <w:rFonts w:ascii="宋体" w:hAnsi="宋体" w:eastAsia="宋体"/>
          <w:sz w:val="21"/>
        </w:rPr>
        <w:t>该设计的关键不是简单地使用幅值最大的点，而是将RDA空间结构转化为生命体征稳定目标区域建模。当前实现先从高能量bin中构建候选集合，再计算四类分数：空间能量用于刻画目标反射强度，EDACM相位稳定性用于排除相位粗糙或噪声主导的bin，心率频带谱峰响应用于判断该bin是否包含合理心率节律，窗口内空间一致性用于抑制目标区域在短时间内频繁跳变。综合评分最高的若干bin被用于相位融合，并将rda_spatial_confidence保存到窗口meta中。相比直接对完整RDA幅值张量训练深度网络，该方法显著降低输入维度并强化生理相关成分；相比单一range bin传统方法，多bin稳定选择提高了目标散射中心变化时的鲁棒性。</w:t>
      </w:r>
    </w:p>
    <w:p>
      <w:pPr>
        <w:pStyle w:val="Heading2"/>
      </w:pPr>
      <w:r>
        <w:rPr>
          <w:rFonts w:ascii="宋体" w:hAnsi="宋体" w:eastAsia="宋体"/>
          <w:color w:val="1F4E79"/>
        </w:rPr>
        <w:t>4.3 EDACM相位提取</w:t>
      </w:r>
    </w:p>
    <w:p>
      <w:pPr>
        <w:spacing w:line="324" w:lineRule="auto" w:after="80"/>
        <w:ind w:firstLine="420"/>
      </w:pPr>
      <w:r/>
      <w:r>
        <w:rPr>
          <w:rFonts w:ascii="宋体" w:hAnsi="宋体" w:eastAsia="宋体"/>
          <w:sz w:val="21"/>
        </w:rPr>
        <w:t>雷达生命体征信息通常体现在复数回波相位中，但原始相位容易受到2π跳变、低频漂移和幅值噪声影响。本文使用扩展差分相位累积思想，从目标复数时间序列中估计连续相位变化。对每个目标bin得到相位序列后，先进行线性去趋势，再做z-score标准化，最后按目标bin生命体征稳定性综合评分加权融合。该过程在保留心跳微动信息的同时，抑制不同数据集间由绝对幅值和静态路径差异造成的分布偏移。</w:t>
      </w:r>
    </w:p>
    <w:p>
      <w:pPr>
        <w:pStyle w:val="Heading2"/>
      </w:pPr>
      <w:r>
        <w:rPr>
          <w:rFonts w:ascii="宋体" w:hAnsi="宋体" w:eastAsia="宋体"/>
          <w:color w:val="1F4E79"/>
        </w:rPr>
        <w:t>4.4 VMD时频特征构建</w:t>
      </w:r>
    </w:p>
    <w:p>
      <w:pPr>
        <w:spacing w:line="324" w:lineRule="auto" w:after="80"/>
        <w:ind w:firstLine="420"/>
      </w:pPr>
      <w:r>
        <w:rPr>
          <w:rFonts w:ascii="宋体" w:hAnsi="宋体" w:eastAsia="宋体"/>
          <w:sz w:val="21"/>
        </w:rPr>
        <w:t>融合后的目标相位序列仍可能包含呼吸、心跳、运动扰动和噪声等多种成分。本文使用VMD将其分解为K个模态，当前默认K=7。每个模态对应一个相对窄带的时序分量，构成x_time∈R^(K×T)。同时，对每个模态施加Hann窗并进行实数快速傅里叶变换，取log幅值并标准化，得到x_freq∈R^(K×F)。模型训练时可使用时间域与频率域双分支输入，也可通过time-only设置进行消融。</w:t>
      </w:r>
    </w:p>
    <w:tbl>
      <w:tblPr>
        <w:tblW w:type="auto" w:w="0"/>
        <w:jc w:val="center"/>
        <w:tblLook w:firstColumn="1" w:firstRow="1" w:lastColumn="0" w:lastRow="0" w:noHBand="0" w:noVBand="1" w:val="04A0"/>
      </w:tblPr>
      <w:tblGrid>
        <w:gridCol w:w="9405"/>
      </w:tblGrid>
      <w:tr>
        <w:tc>
          <w:tcPr>
            <w:tcW w:type="dxa" w:w="9405"/>
            <w:shd w:fill="E2F0D9"/>
          </w:tcPr>
          <w:p>
            <w:pPr>
              <w:spacing w:after="60"/>
            </w:pPr>
            <w:r>
              <w:rPr>
                <w:b/>
                <w:color w:val="1F4E79"/>
                <w:sz w:val="20"/>
              </w:rPr>
              <w:t>VMD环节可形成的创新改进</w:t>
            </w:r>
          </w:p>
          <w:p>
            <w:pPr>
              <w:spacing w:line="276" w:lineRule="auto"/>
            </w:pPr>
            <w:r>
              <w:rPr>
                <w:sz w:val="19"/>
              </w:rPr>
              <w:t>建议将VMD创新定位为“生理先验约束的自适应VMD特征层”。可写为：根据雷达帧率和生理频带约束，对VMD模态进行心率候选评分；引入模态可靠性权重，将能量、频带位置、谱峰尖锐度和跨窗口连续性共同作为权重；在训练中加入模态dropout或模态一致性正则，提高模型对错误分解和目标域噪声的鲁棒性。若后续有时间，可进一步探索可微VMD或轻量可学习滤波器组，用端到端方式替代固定VMD参数。</w:t>
            </w:r>
          </w:p>
        </w:tc>
      </w:tr>
    </w:tbl>
    <w:p/>
    <w:p>
      <w:pPr>
        <w:pStyle w:val="Heading2"/>
      </w:pPr>
      <w:r>
        <w:rPr>
          <w:rFonts w:ascii="宋体" w:hAnsi="宋体" w:eastAsia="宋体"/>
          <w:color w:val="1F4E79"/>
        </w:rPr>
        <w:t>4.5 回归骨干网络</w:t>
      </w:r>
    </w:p>
    <w:p>
      <w:pPr>
        <w:spacing w:line="324" w:lineRule="auto" w:after="80"/>
        <w:ind w:firstLine="420"/>
      </w:pPr>
      <w:r>
        <w:rPr>
          <w:rFonts w:ascii="宋体" w:hAnsi="宋体" w:eastAsia="宋体"/>
          <w:sz w:val="21"/>
        </w:rPr>
        <w:t>当前代码实现三个回归骨干网络。HeartTimeMixer借鉴TimeMixer的多尺度分解和混合思想，分别处理时间域和频率域模态特征，并通过门控融合得到心率预测。TCN使用膨胀因果卷积构建时间感受野，适合作为轻量时序基线。Transformer使用位置编码和自注意力建模模态序列中的长程依赖。三种模型均输出归一化心率标量，训练阶段采用SmoothL1损失，评估阶段反归一化到BPM计算MAE、RMSE和容差命中率。</w:t>
      </w:r>
    </w:p>
    <w:p>
      <w:pPr>
        <w:pStyle w:val="Heading2"/>
      </w:pPr>
      <w:r>
        <w:rPr>
          <w:rFonts w:ascii="宋体" w:hAnsi="宋体" w:eastAsia="宋体"/>
          <w:color w:val="1F4E79"/>
        </w:rPr>
        <w:t>4.6 拟采用的跨域方法</w:t>
      </w:r>
    </w:p>
    <w:p>
      <w:pPr>
        <w:spacing w:line="324" w:lineRule="auto" w:after="80"/>
        <w:ind w:firstLine="420"/>
      </w:pPr>
      <w:r/>
      <w:r>
        <w:rPr>
          <w:rFonts w:ascii="宋体" w:hAnsi="宋体" w:eastAsia="宋体"/>
          <w:b w:val="0"/>
          <w:sz w:val="21"/>
        </w:rPr>
        <w:t>考虑本文任务具有跨设备、跨场景、目标域无标签等特点，跨域方法不宜直接以传统UDA作为唯一主线。DANN、MMD和CORAL等经典方法需要在适配训练阶段同时访问源域数据和目标域数据，适合作为可复现对照；但在模型已经交付到新雷达设备或新场景后，若仍要求每次目标域适配都重新调取源域原始数据，方法假设会提高部署成本，也可能受到数据归属、隐私和存储条件限制。需要明确的是，普通监督模型在推理时本来就不访问源域数据；本文选择Source-Free的真正出发点，是在目标域性能下降、需要进一步自适应时，仅依赖源模型和目标域无标签流数据完成适配。该路线能够利用目标域时间序列、RDA空间目标稳定性和VMD生理模态置信度完成自训练与修正。</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361"/>
            <w:vAlign w:val="center"/>
            <w:shd w:fill="1F4E79"/>
          </w:tcPr>
          <w:p>
            <w:pPr>
              <w:jc w:val="center"/>
            </w:pPr>
            <w:r/>
            <w:r>
              <w:rPr>
                <w:b/>
                <w:color w:val="FFFFFF"/>
                <w:sz w:val="18"/>
              </w:rPr>
              <w:t>类别</w:t>
            </w:r>
          </w:p>
        </w:tc>
        <w:tc>
          <w:tcPr>
            <w:tcW w:type="dxa" w:w="2381"/>
            <w:vAlign w:val="center"/>
            <w:shd w:fill="1F4E79"/>
          </w:tcPr>
          <w:p>
            <w:pPr>
              <w:jc w:val="center"/>
            </w:pPr>
            <w:r/>
            <w:r>
              <w:rPr>
                <w:b/>
                <w:color w:val="FFFFFF"/>
                <w:sz w:val="18"/>
              </w:rPr>
              <w:t>方法名称</w:t>
            </w:r>
          </w:p>
        </w:tc>
        <w:tc>
          <w:tcPr>
            <w:tcW w:type="dxa" w:w="2835"/>
            <w:vAlign w:val="center"/>
            <w:shd w:fill="1F4E79"/>
          </w:tcPr>
          <w:p>
            <w:pPr>
              <w:jc w:val="center"/>
            </w:pPr>
            <w:r/>
            <w:r>
              <w:rPr>
                <w:b/>
                <w:color w:val="FFFFFF"/>
                <w:sz w:val="18"/>
              </w:rPr>
              <w:t>适配方式</w:t>
            </w:r>
          </w:p>
        </w:tc>
        <w:tc>
          <w:tcPr>
            <w:tcW w:type="dxa" w:w="2835"/>
            <w:vAlign w:val="center"/>
            <w:shd w:fill="1F4E79"/>
          </w:tcPr>
          <w:p>
            <w:pPr>
              <w:jc w:val="center"/>
            </w:pPr>
            <w:r/>
            <w:r>
              <w:rPr>
                <w:b/>
                <w:color w:val="FFFFFF"/>
                <w:sz w:val="18"/>
              </w:rPr>
              <w:t>预期优势</w:t>
            </w:r>
          </w:p>
        </w:tc>
        <w:tc>
          <w:tcPr>
            <w:tcW w:type="dxa" w:w="1474"/>
            <w:vAlign w:val="center"/>
            <w:shd w:fill="1F4E79"/>
          </w:tcPr>
          <w:p>
            <w:pPr>
              <w:jc w:val="center"/>
            </w:pPr>
            <w:r/>
            <w:r>
              <w:rPr>
                <w:b/>
                <w:color w:val="FFFFFF"/>
                <w:sz w:val="18"/>
              </w:rPr>
              <w:t>当前状态</w:t>
            </w:r>
          </w:p>
        </w:tc>
      </w:tr>
      <w:tr>
        <w:tc>
          <w:tcPr>
            <w:tcW w:type="dxa" w:w="1361"/>
            <w:vAlign w:val="center"/>
            <w:shd w:fill="D9EAF7"/>
          </w:tcPr>
          <w:p>
            <w:pPr>
              <w:jc w:val="center"/>
            </w:pPr>
            <w:r/>
            <w:r>
              <w:rPr>
                <w:b w:val="0"/>
                <w:sz w:val="18"/>
              </w:rPr>
              <w:t>基础基线</w:t>
            </w:r>
          </w:p>
        </w:tc>
        <w:tc>
          <w:tcPr>
            <w:tcW w:type="dxa" w:w="2381"/>
            <w:vAlign w:val="center"/>
          </w:tcPr>
          <w:p>
            <w:pPr>
              <w:jc w:val="center"/>
            </w:pPr>
            <w:r/>
            <w:r>
              <w:rPr>
                <w:b w:val="0"/>
                <w:sz w:val="18"/>
              </w:rPr>
              <w:t>Direct Transfer</w:t>
            </w:r>
          </w:p>
        </w:tc>
        <w:tc>
          <w:tcPr>
            <w:tcW w:type="dxa" w:w="2835"/>
            <w:vAlign w:val="center"/>
          </w:tcPr>
          <w:p>
            <w:pPr>
              <w:jc w:val="center"/>
            </w:pPr>
            <w:r/>
            <w:r>
              <w:rPr>
                <w:b w:val="0"/>
                <w:sz w:val="18"/>
              </w:rPr>
              <w:t>源域监督训练后直接测试目标域</w:t>
            </w:r>
          </w:p>
        </w:tc>
        <w:tc>
          <w:tcPr>
            <w:tcW w:type="dxa" w:w="2835"/>
            <w:vAlign w:val="center"/>
          </w:tcPr>
          <w:p>
            <w:pPr>
              <w:jc w:val="center"/>
            </w:pPr>
            <w:r/>
            <w:r>
              <w:rPr>
                <w:b w:val="0"/>
                <w:sz w:val="18"/>
              </w:rPr>
              <w:t>给出跨域下界</w:t>
            </w:r>
          </w:p>
        </w:tc>
        <w:tc>
          <w:tcPr>
            <w:tcW w:type="dxa" w:w="1474"/>
            <w:vAlign w:val="center"/>
          </w:tcPr>
          <w:p>
            <w:pPr>
              <w:jc w:val="center"/>
            </w:pPr>
            <w:r/>
            <w:r>
              <w:rPr>
                <w:b w:val="0"/>
                <w:sz w:val="18"/>
              </w:rPr>
              <w:t>待实验</w:t>
            </w:r>
          </w:p>
        </w:tc>
      </w:tr>
      <w:tr>
        <w:tc>
          <w:tcPr>
            <w:tcW w:type="dxa" w:w="1361"/>
            <w:vAlign w:val="center"/>
            <w:shd w:fill="D9EAF7"/>
          </w:tcPr>
          <w:p>
            <w:pPr>
              <w:jc w:val="center"/>
            </w:pPr>
            <w:r/>
            <w:r>
              <w:rPr>
                <w:b w:val="0"/>
                <w:sz w:val="18"/>
              </w:rPr>
              <w:t>基础基线</w:t>
            </w:r>
          </w:p>
        </w:tc>
        <w:tc>
          <w:tcPr>
            <w:tcW w:type="dxa" w:w="2381"/>
            <w:vAlign w:val="center"/>
          </w:tcPr>
          <w:p>
            <w:pPr>
              <w:jc w:val="center"/>
            </w:pPr>
            <w:r/>
            <w:r>
              <w:rPr>
                <w:b w:val="0"/>
                <w:sz w:val="18"/>
              </w:rPr>
              <w:t>DANN/MMD/CORAL</w:t>
            </w:r>
          </w:p>
        </w:tc>
        <w:tc>
          <w:tcPr>
            <w:tcW w:type="dxa" w:w="2835"/>
            <w:vAlign w:val="center"/>
          </w:tcPr>
          <w:p>
            <w:pPr>
              <w:jc w:val="left"/>
            </w:pPr>
            <w:r/>
            <w:r>
              <w:rPr>
                <w:b w:val="0"/>
                <w:sz w:val="18"/>
              </w:rPr>
              <w:t>源域有标签 + 目标域无标签联合训练</w:t>
            </w:r>
          </w:p>
        </w:tc>
        <w:tc>
          <w:tcPr>
            <w:tcW w:type="dxa" w:w="2835"/>
            <w:vAlign w:val="center"/>
          </w:tcPr>
          <w:p>
            <w:pPr>
              <w:jc w:val="center"/>
            </w:pPr>
            <w:r/>
            <w:r>
              <w:rPr>
                <w:b w:val="0"/>
                <w:sz w:val="18"/>
              </w:rPr>
              <w:t>经典可复现对照</w:t>
            </w:r>
          </w:p>
        </w:tc>
        <w:tc>
          <w:tcPr>
            <w:tcW w:type="dxa" w:w="1474"/>
            <w:vAlign w:val="center"/>
          </w:tcPr>
          <w:p>
            <w:pPr>
              <w:jc w:val="center"/>
            </w:pPr>
            <w:r/>
            <w:r>
              <w:rPr>
                <w:b w:val="0"/>
                <w:sz w:val="18"/>
              </w:rPr>
              <w:t>待实现</w:t>
            </w:r>
          </w:p>
        </w:tc>
      </w:tr>
      <w:tr>
        <w:tc>
          <w:tcPr>
            <w:tcW w:type="dxa" w:w="1361"/>
            <w:vAlign w:val="center"/>
            <w:shd w:fill="D9EAF7"/>
          </w:tcPr>
          <w:p>
            <w:pPr>
              <w:jc w:val="center"/>
            </w:pPr>
            <w:r/>
            <w:r>
              <w:rPr>
                <w:b w:val="0"/>
                <w:sz w:val="18"/>
              </w:rPr>
              <w:t>主方法</w:t>
            </w:r>
          </w:p>
        </w:tc>
        <w:tc>
          <w:tcPr>
            <w:tcW w:type="dxa" w:w="2381"/>
            <w:vAlign w:val="center"/>
          </w:tcPr>
          <w:p>
            <w:pPr>
              <w:jc w:val="center"/>
            </w:pPr>
            <w:r/>
            <w:r>
              <w:rPr>
                <w:b w:val="0"/>
                <w:sz w:val="18"/>
              </w:rPr>
              <w:t>Physio-SFUDA-WPL</w:t>
            </w:r>
          </w:p>
        </w:tc>
        <w:tc>
          <w:tcPr>
            <w:tcW w:type="dxa" w:w="2835"/>
            <w:vAlign w:val="center"/>
          </w:tcPr>
          <w:p>
            <w:pPr>
              <w:jc w:val="left"/>
            </w:pPr>
            <w:r/>
            <w:r>
              <w:rPr>
                <w:b w:val="0"/>
                <w:sz w:val="18"/>
              </w:rPr>
              <w:t>源模型 + 目标无标签，加权伪标签自训练</w:t>
            </w:r>
          </w:p>
        </w:tc>
        <w:tc>
          <w:tcPr>
            <w:tcW w:type="dxa" w:w="2835"/>
            <w:vAlign w:val="center"/>
          </w:tcPr>
          <w:p>
            <w:pPr>
              <w:jc w:val="center"/>
            </w:pPr>
            <w:r/>
            <w:r>
              <w:rPr>
                <w:b w:val="0"/>
                <w:sz w:val="18"/>
              </w:rPr>
              <w:t>适合源数据不可访问部署</w:t>
            </w:r>
          </w:p>
        </w:tc>
        <w:tc>
          <w:tcPr>
            <w:tcW w:type="dxa" w:w="1474"/>
            <w:vAlign w:val="center"/>
          </w:tcPr>
          <w:p>
            <w:pPr>
              <w:jc w:val="center"/>
            </w:pPr>
            <w:r/>
            <w:r>
              <w:rPr>
                <w:b w:val="0"/>
                <w:sz w:val="18"/>
              </w:rPr>
              <w:t>方案设计</w:t>
            </w:r>
          </w:p>
        </w:tc>
      </w:tr>
      <w:tr>
        <w:tc>
          <w:tcPr>
            <w:tcW w:type="dxa" w:w="1361"/>
            <w:vAlign w:val="center"/>
            <w:shd w:fill="D9EAF7"/>
          </w:tcPr>
          <w:p>
            <w:pPr>
              <w:jc w:val="center"/>
            </w:pPr>
            <w:r/>
            <w:r>
              <w:rPr>
                <w:b w:val="0"/>
                <w:sz w:val="18"/>
              </w:rPr>
              <w:t>主方法</w:t>
            </w:r>
          </w:p>
        </w:tc>
        <w:tc>
          <w:tcPr>
            <w:tcW w:type="dxa" w:w="2381"/>
            <w:vAlign w:val="center"/>
          </w:tcPr>
          <w:p>
            <w:pPr>
              <w:jc w:val="left"/>
            </w:pPr>
            <w:r/>
            <w:r>
              <w:rPr>
                <w:b w:val="0"/>
                <w:sz w:val="18"/>
              </w:rPr>
              <w:t>Temporal Correction SFUDA</w:t>
            </w:r>
          </w:p>
        </w:tc>
        <w:tc>
          <w:tcPr>
            <w:tcW w:type="dxa" w:w="2835"/>
            <w:vAlign w:val="center"/>
          </w:tcPr>
          <w:p>
            <w:pPr>
              <w:jc w:val="center"/>
            </w:pPr>
            <w:r/>
            <w:r>
              <w:rPr>
                <w:b w:val="0"/>
                <w:sz w:val="18"/>
              </w:rPr>
              <w:t>伪标签 + 心率时间连续性修正</w:t>
            </w:r>
          </w:p>
        </w:tc>
        <w:tc>
          <w:tcPr>
            <w:tcW w:type="dxa" w:w="2835"/>
            <w:vAlign w:val="center"/>
          </w:tcPr>
          <w:p>
            <w:pPr>
              <w:jc w:val="center"/>
            </w:pPr>
            <w:r/>
            <w:r>
              <w:rPr>
                <w:b w:val="0"/>
                <w:sz w:val="18"/>
              </w:rPr>
              <w:t>适合回归和长时监测</w:t>
            </w:r>
          </w:p>
        </w:tc>
        <w:tc>
          <w:tcPr>
            <w:tcW w:type="dxa" w:w="1474"/>
            <w:vAlign w:val="center"/>
          </w:tcPr>
          <w:p>
            <w:pPr>
              <w:jc w:val="center"/>
            </w:pPr>
            <w:r/>
            <w:r>
              <w:rPr>
                <w:b w:val="0"/>
                <w:sz w:val="18"/>
              </w:rPr>
              <w:t>方案设计</w:t>
            </w:r>
          </w:p>
        </w:tc>
      </w:tr>
      <w:tr>
        <w:tc>
          <w:tcPr>
            <w:tcW w:type="dxa" w:w="1361"/>
            <w:vAlign w:val="center"/>
            <w:shd w:fill="D9EAF7"/>
          </w:tcPr>
          <w:p>
            <w:pPr>
              <w:jc w:val="center"/>
            </w:pPr>
            <w:r/>
            <w:r>
              <w:rPr>
                <w:b w:val="0"/>
                <w:sz w:val="18"/>
              </w:rPr>
              <w:t>增强方法</w:t>
            </w:r>
          </w:p>
        </w:tc>
        <w:tc>
          <w:tcPr>
            <w:tcW w:type="dxa" w:w="2381"/>
            <w:vAlign w:val="center"/>
          </w:tcPr>
          <w:p>
            <w:pPr>
              <w:jc w:val="left"/>
            </w:pPr>
            <w:r/>
            <w:r>
              <w:rPr>
                <w:b w:val="0"/>
                <w:sz w:val="18"/>
              </w:rPr>
              <w:t>Physics-guided TTA</w:t>
            </w:r>
          </w:p>
        </w:tc>
        <w:tc>
          <w:tcPr>
            <w:tcW w:type="dxa" w:w="2835"/>
            <w:vAlign w:val="center"/>
          </w:tcPr>
          <w:p>
            <w:pPr>
              <w:jc w:val="left"/>
            </w:pPr>
            <w:r/>
            <w:r>
              <w:rPr>
                <w:b w:val="0"/>
                <w:sz w:val="18"/>
              </w:rPr>
              <w:t>测试时更新归一化/适配层，加入生理频带约束</w:t>
            </w:r>
          </w:p>
        </w:tc>
        <w:tc>
          <w:tcPr>
            <w:tcW w:type="dxa" w:w="2835"/>
            <w:vAlign w:val="center"/>
          </w:tcPr>
          <w:p>
            <w:pPr>
              <w:jc w:val="center"/>
            </w:pPr>
            <w:r/>
            <w:r>
              <w:rPr>
                <w:b w:val="0"/>
                <w:sz w:val="18"/>
              </w:rPr>
              <w:t>处理目标域连续漂移</w:t>
            </w:r>
          </w:p>
        </w:tc>
        <w:tc>
          <w:tcPr>
            <w:tcW w:type="dxa" w:w="1474"/>
            <w:vAlign w:val="center"/>
          </w:tcPr>
          <w:p>
            <w:pPr>
              <w:jc w:val="center"/>
            </w:pPr>
            <w:r/>
            <w:r>
              <w:rPr>
                <w:b w:val="0"/>
                <w:sz w:val="18"/>
              </w:rPr>
              <w:t>方案设计</w:t>
            </w:r>
          </w:p>
        </w:tc>
      </w:tr>
      <w:tr>
        <w:tc>
          <w:tcPr>
            <w:tcW w:type="dxa" w:w="1361"/>
            <w:vAlign w:val="center"/>
            <w:shd w:fill="D9EAF7"/>
          </w:tcPr>
          <w:p>
            <w:pPr>
              <w:jc w:val="center"/>
            </w:pPr>
            <w:r/>
            <w:r>
              <w:rPr>
                <w:b w:val="0"/>
                <w:sz w:val="18"/>
              </w:rPr>
              <w:t>增强方法</w:t>
            </w:r>
          </w:p>
        </w:tc>
        <w:tc>
          <w:tcPr>
            <w:tcW w:type="dxa" w:w="2381"/>
            <w:vAlign w:val="center"/>
          </w:tcPr>
          <w:p>
            <w:pPr>
              <w:jc w:val="left"/>
            </w:pPr>
            <w:r/>
            <w:r>
              <w:rPr>
                <w:b w:val="0"/>
                <w:sz w:val="18"/>
              </w:rPr>
              <w:t>Contrastive Domain Generalization</w:t>
            </w:r>
          </w:p>
        </w:tc>
        <w:tc>
          <w:tcPr>
            <w:tcW w:type="dxa" w:w="2835"/>
            <w:vAlign w:val="center"/>
          </w:tcPr>
          <w:p>
            <w:pPr>
              <w:jc w:val="center"/>
            </w:pPr>
            <w:r/>
            <w:r>
              <w:rPr>
                <w:b w:val="0"/>
                <w:sz w:val="18"/>
              </w:rPr>
              <w:t>多数据集训练时构造跨域对比约束</w:t>
            </w:r>
          </w:p>
        </w:tc>
        <w:tc>
          <w:tcPr>
            <w:tcW w:type="dxa" w:w="2835"/>
            <w:vAlign w:val="center"/>
          </w:tcPr>
          <w:p>
            <w:pPr>
              <w:jc w:val="center"/>
            </w:pPr>
            <w:r/>
            <w:r>
              <w:rPr>
                <w:b w:val="0"/>
                <w:sz w:val="18"/>
              </w:rPr>
              <w:t>提升未见域泛化</w:t>
            </w:r>
          </w:p>
        </w:tc>
        <w:tc>
          <w:tcPr>
            <w:tcW w:type="dxa" w:w="1474"/>
            <w:vAlign w:val="center"/>
          </w:tcPr>
          <w:p>
            <w:pPr>
              <w:jc w:val="center"/>
            </w:pPr>
            <w:r/>
            <w:r>
              <w:rPr>
                <w:b w:val="0"/>
                <w:sz w:val="18"/>
              </w:rPr>
              <w:t>方案设计</w:t>
            </w:r>
          </w:p>
        </w:tc>
      </w:tr>
    </w:tbl>
    <w:p/>
    <w:p>
      <w:pPr>
        <w:pStyle w:val="Heading3"/>
        <w:spacing w:line="324" w:lineRule="auto" w:after="80"/>
        <w:ind w:firstLine="420"/>
      </w:pPr>
      <w:r/>
      <w:r>
        <w:rPr>
          <w:rFonts w:ascii="宋体" w:hAnsi="宋体" w:eastAsia="宋体"/>
          <w:b/>
          <w:color w:val="1F4E79"/>
          <w:sz w:val="24"/>
        </w:rPr>
        <w:t>4.6.1 Source-Free方法的出发点</w:t>
      </w:r>
    </w:p>
    <w:p>
      <w:pPr>
        <w:spacing w:line="324" w:lineRule="auto" w:after="80"/>
        <w:ind w:firstLine="420"/>
      </w:pPr>
      <w:r/>
      <w:r>
        <w:rPr>
          <w:rFonts w:ascii="宋体" w:hAnsi="宋体" w:eastAsia="宋体"/>
          <w:b w:val="0"/>
          <w:sz w:val="21"/>
        </w:rPr>
        <w:t>因此，本文的Source-Free路线可以概括为：源域阶段学习一个可迁移的心率回归源模型；目标域阶段不访问源数据，而利用目标域无标签窗口进行自适应；适配过程中不盲目相信模型预测，而是用RDA空间稳定性、VMD频带置信度和时序连续性为伪标签赋权。该设计使Source-Free从通用分类适配方法转化为面向雷达生命体征回归的任务特化方法。</w:t>
      </w:r>
    </w:p>
    <w:p>
      <w:pPr>
        <w:spacing w:line="324" w:lineRule="auto" w:after="80"/>
        <w:ind w:firstLine="420"/>
      </w:pPr>
      <w:r/>
      <w:r>
        <w:rPr>
          <w:rFonts w:ascii="宋体" w:hAnsi="宋体" w:eastAsia="宋体"/>
          <w:b w:val="0"/>
          <w:sz w:val="21"/>
        </w:rPr>
        <w:t>另一方面，目标域在部署初期往往没有同步ECG或PPG参考标签，只有连续雷达流。目标域完全无监督并不意味着没有可利用信息：心率具有明确的生理范围和时间连续性，胸腹微动在RDA空间中具有相对稳定的目标bin，VMD分解后的部分模态应在合理心率频带内呈现稳定谱峰。这些任务先验可以用于判断伪标签是否可靠。</w:t>
      </w:r>
    </w:p>
    <w:p>
      <w:pPr>
        <w:spacing w:line="324" w:lineRule="auto" w:after="80"/>
        <w:ind w:firstLine="420"/>
      </w:pPr>
      <w:r/>
      <w:r>
        <w:rPr>
          <w:rFonts w:ascii="宋体" w:hAnsi="宋体" w:eastAsia="宋体"/>
          <w:b w:val="0"/>
          <w:sz w:val="21"/>
        </w:rPr>
        <w:t>本文选择Source-Free并不是为了追求概念新颖，而是由雷达生命体征模型部署后的适配需求推出。普通监督模型完成训练后，推理阶段当然不需要访问源域训练数据；如果目标域与源域差异不大，直接部署即可。但当模型迁移到新雷达设备、车载环境或长期监测场景后性能下降时，就需要目标域自适应。传统UDA往往要求在适配阶段重新同时使用源域样本和目标域无标签样本，这与模型已经交付、源域数据不随模型一起部署或源数据不便反复调用的实际流程并不完全一致。Source-Free关注的正是这种“部署后适配”场景。</w:t>
      </w:r>
    </w:p>
    <w:p>
      <w:pPr>
        <w:pStyle w:val="Heading3"/>
      </w:pPr>
      <w:r/>
      <w:r>
        <w:rPr>
          <w:rFonts w:ascii="宋体" w:hAnsi="宋体" w:eastAsia="宋体"/>
          <w:b/>
          <w:color w:val="1F4E79"/>
          <w:sz w:val="24"/>
        </w:rPr>
        <w:t>4.6.2 Physio-SFUDA-WPL</w:t>
      </w:r>
    </w:p>
    <w:p>
      <w:pPr>
        <w:spacing w:line="324" w:lineRule="auto" w:after="80"/>
        <w:ind w:firstLine="420"/>
      </w:pPr>
      <w:r/>
      <w:r>
        <w:rPr>
          <w:rFonts w:ascii="宋体" w:hAnsi="宋体" w:eastAsia="宋体"/>
          <w:b w:val="0"/>
          <w:sz w:val="21"/>
        </w:rPr>
        <w:t>本文将该主方法暂定为Physio-SFUDA-WPL。源域训练完成后，模型参数和标签归一化统计被保存，目标域适配阶段仅使用目标域无标签窗口。源模型首先对目标窗口生成心率预测，但这些预测不能直接作为等权伪标签，因为目标域可能存在目标bin偏移、运动干扰、呼吸谐波、长时漂移和标签尺度差异。因此，本文将伪标签视为带可靠性权重的软监督信号。权重由四类证据共同决定：模型多增强预测一致性、VMD模态在合理心率频带内的谱峰置信度、RDA目标bin能量和空间稳定性、相邻窗口预测的生理连续性。高置信窗口参与回归自训练，低置信窗口仅参与一致性约束或暂缓更新，从而降低错误伪标签对目标域适配的污染。</w:t>
      </w:r>
    </w:p>
    <w:p>
      <w:pPr>
        <w:pStyle w:val="Heading3"/>
      </w:pPr>
      <w:r/>
      <w:r>
        <w:rPr>
          <w:rFonts w:ascii="宋体" w:hAnsi="宋体" w:eastAsia="宋体"/>
          <w:b/>
          <w:color w:val="1F4E79"/>
          <w:sz w:val="24"/>
        </w:rPr>
        <w:t>4.6.3 Temporal Correction SFUDA</w:t>
      </w:r>
    </w:p>
    <w:p>
      <w:pPr>
        <w:spacing w:line="324" w:lineRule="auto" w:after="80"/>
        <w:ind w:firstLine="420"/>
      </w:pPr>
      <w:r/>
      <w:r>
        <w:rPr>
          <w:rFonts w:ascii="宋体" w:hAnsi="宋体" w:eastAsia="宋体"/>
          <w:b w:val="0"/>
          <w:sz w:val="21"/>
        </w:rPr>
        <w:t>心率是连续生理变量，不应在相邻短窗口间发生无生理依据的剧烈跳变。传统Source-Free伪标签方法多面向分类任务，常通过类别置信度或邻域投票修正标签；但心率估计是连续回归任务，不能直接套用离散类别伪标签。本文可针对回归任务设计Temporal Correction SFUDA：对目标域窗口预测序列进行滑动中值滤波、Kalman平滑或基于心率变化率上限的动态规划修正；同时将修正后的高置信预测作为软标签回灌模型。该方法把生命体征任务的时间连续性先验引入Source-Free适配，预期对长时监测和车载场景更有效。</w:t>
      </w:r>
    </w:p>
    <w:p>
      <w:pPr>
        <w:pStyle w:val="Heading3"/>
      </w:pPr>
      <w:r/>
      <w:r>
        <w:rPr>
          <w:rFonts w:ascii="宋体" w:hAnsi="宋体" w:eastAsia="宋体"/>
          <w:b/>
          <w:color w:val="1F4E79"/>
          <w:sz w:val="24"/>
        </w:rPr>
        <w:t>4.6.4 Physics-guided Test-Time Adaptation</w:t>
      </w:r>
    </w:p>
    <w:p>
      <w:pPr>
        <w:spacing w:line="324" w:lineRule="auto" w:after="80"/>
        <w:ind w:firstLine="420"/>
      </w:pPr>
      <w:r>
        <w:rPr>
          <w:rFonts w:ascii="宋体" w:hAnsi="宋体" w:eastAsia="宋体"/>
          <w:sz w:val="21"/>
        </w:rPr>
        <w:t>测试时自适应适合处理部署阶段的缓慢域漂移。本文可仅更新归一化层、轻量adapter或频域分支门控参数，而不更新完整骨干网络，以降低灾难性遗忘风险。适配损失可包括预测熵或方差约束、增强一致性损失、频带先验损失和时间平滑损失。由于心率回归没有分类熵的天然定义，可将不确定性建模为多增强预测方差，并最小化同一窗口在弱增强和强增强下的预测差异。</w:t>
      </w:r>
    </w:p>
    <w:p>
      <w:pPr>
        <w:pStyle w:val="Heading3"/>
      </w:pPr>
      <w:r/>
      <w:r>
        <w:rPr>
          <w:rFonts w:ascii="宋体" w:hAnsi="宋体" w:eastAsia="宋体"/>
          <w:b/>
          <w:color w:val="1F4E79"/>
          <w:sz w:val="24"/>
        </w:rPr>
        <w:t>4.6.5 Contrastive Domain Generalization</w:t>
      </w:r>
    </w:p>
    <w:p>
      <w:pPr>
        <w:spacing w:line="324" w:lineRule="auto" w:after="80"/>
        <w:ind w:firstLine="420"/>
      </w:pPr>
      <w:r>
        <w:rPr>
          <w:rFonts w:ascii="宋体" w:hAnsi="宋体" w:eastAsia="宋体"/>
          <w:sz w:val="21"/>
        </w:rPr>
        <w:t>当同时拥有多个源数据集时，可以采用域泛化思路，在训练阶段不依赖目标域标签或目标域数据。本文可将心率相近但来自不同数据集的窗口视为正样本，将心率差异较大的窗口视为负样本，在回归监督之外加入连续标签对比学习损失，使模型学习与心率相关而与设备平台无关的表示。该方法适合与RDA统一表示和VMD模态特征结合，用于提升对未见雷达域的泛化能力。</w:t>
      </w:r>
    </w:p>
    <w:p>
      <w:pPr>
        <w:pStyle w:val="Heading1"/>
      </w:pPr>
      <w:r>
        <w:rPr>
          <w:rFonts w:ascii="宋体" w:hAnsi="宋体" w:eastAsia="宋体"/>
          <w:color w:val="1F4E79"/>
        </w:rPr>
        <w:t>第5章 实验设计</w:t>
      </w:r>
    </w:p>
    <w:p>
      <w:pPr>
        <w:pStyle w:val="Heading2"/>
      </w:pPr>
      <w:r>
        <w:rPr>
          <w:rFonts w:ascii="宋体" w:hAnsi="宋体" w:eastAsia="宋体"/>
          <w:color w:val="1F4E79"/>
        </w:rPr>
        <w:t>5.1 实验目标</w:t>
      </w:r>
    </w:p>
    <w:p>
      <w:pPr>
        <w:spacing w:line="324" w:lineRule="auto" w:after="80"/>
        <w:ind w:firstLine="420"/>
      </w:pPr>
      <w:r/>
      <w:r>
        <w:rPr>
          <w:rFonts w:ascii="宋体" w:hAnsi="宋体" w:eastAsia="宋体"/>
          <w:sz w:val="21"/>
        </w:rPr>
        <w:t>实验目标包括四个方面：验证统一RDA空间表示和生命体征稳定目标选择是否提升跨数据集可训练性；比较VMD相位特征与幅值基线的性能差异；评估HeartTimeMixer、TCN和Transformer三个回归骨干在源域内和跨域测试中的表现；验证以Source-Free为主线的目标域自适应方法能否相对直接迁移显著降低目标域MAE。其中数据划分、窗口化参数、训练目标和默认特征表示已经由当前代码固定，后续实验应在该协议上补充结果，而不是重新随意调整划分。</w:t>
      </w:r>
    </w:p>
    <w:p>
      <w:pPr>
        <w:pStyle w:val="Heading2"/>
      </w:pPr>
      <w:r>
        <w:rPr>
          <w:rFonts w:ascii="宋体" w:hAnsi="宋体" w:eastAsia="宋体"/>
          <w:color w:val="1F4E79"/>
        </w:rPr>
        <w:t>5.2 实验设置</w:t>
      </w:r>
    </w:p>
    <w:p>
      <w:pPr>
        <w:pStyle w:val="Heading3"/>
        <w:spacing w:line="324" w:lineRule="auto" w:after="80"/>
        <w:ind w:firstLine="420"/>
      </w:pPr>
      <w:r/>
      <w:r>
        <w:rPr>
          <w:rFonts w:ascii="宋体" w:hAnsi="宋体" w:eastAsia="宋体"/>
          <w:b/>
          <w:color w:val="1F4E79"/>
          <w:sz w:val="24"/>
        </w:rPr>
        <w:t>5.2.1 已确定的数据划分协议</w:t>
      </w:r>
    </w:p>
    <w:p>
      <w:pPr>
        <w:spacing w:line="324" w:lineRule="auto" w:after="80"/>
        <w:ind w:firstLine="420"/>
      </w:pPr>
      <w:r/>
      <w:r>
        <w:rPr>
          <w:rFonts w:ascii="宋体" w:hAnsi="宋体" w:eastAsia="宋体"/>
          <w:b w:val="0"/>
          <w:sz w:val="21"/>
        </w:rPr>
        <w:t>当前训练数据构建脚本默认采用balanced_grouped划分模式，并保持分组完整性。FTU和BGT60TR13C在代码中已有固定participant划分；PhysDrive按session_id分组，并根据各session的心率均值进行平衡划分。BGT60TR13C的long measurement默认进入test，用于长时稳定性测试，不参与训练集。</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701"/>
            <w:vAlign w:val="center"/>
            <w:shd w:fill="1F4E79"/>
          </w:tcPr>
          <w:p>
            <w:pPr>
              <w:spacing w:line="264" w:lineRule="auto"/>
              <w:jc w:val="center"/>
            </w:pPr>
            <w:r/>
            <w:r>
              <w:rPr>
                <w:rFonts w:ascii="宋体" w:hAnsi="宋体" w:eastAsia="宋体"/>
                <w:b/>
                <w:color w:val="FFFFFF"/>
                <w:sz w:val="17"/>
              </w:rPr>
              <w:t>数据集</w:t>
            </w:r>
          </w:p>
        </w:tc>
        <w:tc>
          <w:tcPr>
            <w:tcW w:type="dxa" w:w="1814"/>
            <w:vAlign w:val="center"/>
            <w:shd w:fill="1F4E79"/>
          </w:tcPr>
          <w:p>
            <w:pPr>
              <w:spacing w:line="264" w:lineRule="auto"/>
              <w:jc w:val="center"/>
            </w:pPr>
            <w:r/>
            <w:r>
              <w:rPr>
                <w:rFonts w:ascii="宋体" w:hAnsi="宋体" w:eastAsia="宋体"/>
                <w:b/>
                <w:color w:val="FFFFFF"/>
                <w:sz w:val="17"/>
              </w:rPr>
              <w:t>分组单位</w:t>
            </w:r>
          </w:p>
        </w:tc>
        <w:tc>
          <w:tcPr>
            <w:tcW w:type="dxa" w:w="2268"/>
            <w:vAlign w:val="center"/>
            <w:shd w:fill="1F4E79"/>
          </w:tcPr>
          <w:p>
            <w:pPr>
              <w:spacing w:line="264" w:lineRule="auto"/>
              <w:jc w:val="center"/>
            </w:pPr>
            <w:r/>
            <w:r>
              <w:rPr>
                <w:rFonts w:ascii="宋体" w:hAnsi="宋体" w:eastAsia="宋体"/>
                <w:b/>
                <w:color w:val="FFFFFF"/>
                <w:sz w:val="17"/>
              </w:rPr>
              <w:t>Train</w:t>
            </w:r>
          </w:p>
        </w:tc>
        <w:tc>
          <w:tcPr>
            <w:tcW w:type="dxa" w:w="1587"/>
            <w:vAlign w:val="center"/>
            <w:shd w:fill="1F4E79"/>
          </w:tcPr>
          <w:p>
            <w:pPr>
              <w:spacing w:line="264" w:lineRule="auto"/>
              <w:jc w:val="center"/>
            </w:pPr>
            <w:r/>
            <w:r>
              <w:rPr>
                <w:rFonts w:ascii="宋体" w:hAnsi="宋体" w:eastAsia="宋体"/>
                <w:b/>
                <w:color w:val="FFFFFF"/>
                <w:sz w:val="17"/>
              </w:rPr>
              <w:t>Val</w:t>
            </w:r>
          </w:p>
        </w:tc>
        <w:tc>
          <w:tcPr>
            <w:tcW w:type="dxa" w:w="1587"/>
            <w:vAlign w:val="center"/>
            <w:shd w:fill="1F4E79"/>
          </w:tcPr>
          <w:p>
            <w:pPr>
              <w:spacing w:line="264" w:lineRule="auto"/>
              <w:jc w:val="center"/>
            </w:pPr>
            <w:r/>
            <w:r>
              <w:rPr>
                <w:rFonts w:ascii="宋体" w:hAnsi="宋体" w:eastAsia="宋体"/>
                <w:b/>
                <w:color w:val="FFFFFF"/>
                <w:sz w:val="17"/>
              </w:rPr>
              <w:t>Test</w:t>
            </w:r>
          </w:p>
        </w:tc>
        <w:tc>
          <w:tcPr>
            <w:tcW w:type="dxa" w:w="2835"/>
            <w:vAlign w:val="center"/>
            <w:shd w:fill="1F4E79"/>
          </w:tcPr>
          <w:p>
            <w:pPr>
              <w:spacing w:line="264" w:lineRule="auto"/>
              <w:jc w:val="center"/>
            </w:pPr>
            <w:r/>
            <w:r>
              <w:rPr>
                <w:rFonts w:ascii="宋体" w:hAnsi="宋体" w:eastAsia="宋体"/>
                <w:b/>
                <w:color w:val="FFFFFF"/>
                <w:sz w:val="17"/>
              </w:rPr>
              <w:t>说明</w:t>
            </w:r>
          </w:p>
        </w:tc>
      </w:tr>
      <w:tr>
        <w:tc>
          <w:tcPr>
            <w:tcW w:type="dxa" w:w="1701"/>
            <w:vAlign w:val="center"/>
            <w:shd w:fill="D9EAF7"/>
          </w:tcPr>
          <w:p>
            <w:pPr>
              <w:spacing w:line="264" w:lineRule="auto"/>
              <w:jc w:val="center"/>
            </w:pPr>
            <w:r/>
            <w:r>
              <w:rPr>
                <w:rFonts w:ascii="宋体" w:hAnsi="宋体" w:eastAsia="宋体"/>
                <w:b w:val="0"/>
                <w:sz w:val="17"/>
              </w:rPr>
              <w:t>FTU</w:t>
            </w:r>
          </w:p>
        </w:tc>
        <w:tc>
          <w:tcPr>
            <w:tcW w:type="dxa" w:w="1814"/>
            <w:vAlign w:val="center"/>
          </w:tcPr>
          <w:p>
            <w:pPr>
              <w:spacing w:line="264" w:lineRule="auto"/>
              <w:jc w:val="center"/>
            </w:pPr>
            <w:r/>
            <w:r>
              <w:rPr>
                <w:rFonts w:ascii="宋体" w:hAnsi="宋体" w:eastAsia="宋体"/>
                <w:b w:val="0"/>
                <w:sz w:val="17"/>
              </w:rPr>
              <w:t>participant_id</w:t>
            </w:r>
          </w:p>
        </w:tc>
        <w:tc>
          <w:tcPr>
            <w:tcW w:type="dxa" w:w="2268"/>
            <w:vAlign w:val="center"/>
          </w:tcPr>
          <w:p>
            <w:pPr>
              <w:spacing w:line="264" w:lineRule="auto"/>
              <w:jc w:val="center"/>
            </w:pPr>
            <w:r/>
            <w:r>
              <w:rPr>
                <w:rFonts w:ascii="宋体" w:hAnsi="宋体" w:eastAsia="宋体"/>
                <w:b w:val="0"/>
                <w:sz w:val="17"/>
              </w:rPr>
              <w:t>2, 3, 4, 5, 7, 9</w:t>
            </w:r>
          </w:p>
        </w:tc>
        <w:tc>
          <w:tcPr>
            <w:tcW w:type="dxa" w:w="1587"/>
            <w:vAlign w:val="center"/>
          </w:tcPr>
          <w:p>
            <w:pPr>
              <w:spacing w:line="264" w:lineRule="auto"/>
              <w:jc w:val="center"/>
            </w:pPr>
            <w:r/>
            <w:r>
              <w:rPr>
                <w:rFonts w:ascii="宋体" w:hAnsi="宋体" w:eastAsia="宋体"/>
                <w:b w:val="0"/>
                <w:sz w:val="17"/>
              </w:rPr>
              <w:t>6, 10</w:t>
            </w:r>
          </w:p>
        </w:tc>
        <w:tc>
          <w:tcPr>
            <w:tcW w:type="dxa" w:w="1587"/>
            <w:vAlign w:val="center"/>
          </w:tcPr>
          <w:p>
            <w:pPr>
              <w:spacing w:line="264" w:lineRule="auto"/>
              <w:jc w:val="center"/>
            </w:pPr>
            <w:r/>
            <w:r>
              <w:rPr>
                <w:rFonts w:ascii="宋体" w:hAnsi="宋体" w:eastAsia="宋体"/>
                <w:b w:val="0"/>
                <w:sz w:val="17"/>
              </w:rPr>
              <w:t>1, 8</w:t>
            </w:r>
          </w:p>
        </w:tc>
        <w:tc>
          <w:tcPr>
            <w:tcW w:type="dxa" w:w="2835"/>
            <w:vAlign w:val="center"/>
          </w:tcPr>
          <w:p>
            <w:pPr>
              <w:spacing w:line="264" w:lineRule="auto"/>
              <w:jc w:val="center"/>
            </w:pPr>
            <w:r/>
            <w:r>
              <w:rPr>
                <w:rFonts w:ascii="宋体" w:hAnsi="宋体" w:eastAsia="宋体"/>
                <w:b w:val="0"/>
                <w:sz w:val="17"/>
              </w:rPr>
              <w:t>固定受试者划分，避免同一受试者泄漏</w:t>
            </w:r>
          </w:p>
        </w:tc>
      </w:tr>
      <w:tr>
        <w:tc>
          <w:tcPr>
            <w:tcW w:type="dxa" w:w="1701"/>
            <w:vAlign w:val="center"/>
            <w:shd w:fill="D9EAF7"/>
          </w:tcPr>
          <w:p>
            <w:pPr>
              <w:spacing w:line="264" w:lineRule="auto"/>
              <w:jc w:val="center"/>
            </w:pPr>
            <w:r/>
            <w:r>
              <w:rPr>
                <w:rFonts w:ascii="宋体" w:hAnsi="宋体" w:eastAsia="宋体"/>
                <w:b w:val="0"/>
                <w:sz w:val="17"/>
              </w:rPr>
              <w:t>BGT60TR13C</w:t>
            </w:r>
          </w:p>
        </w:tc>
        <w:tc>
          <w:tcPr>
            <w:tcW w:type="dxa" w:w="1814"/>
            <w:vAlign w:val="center"/>
          </w:tcPr>
          <w:p>
            <w:pPr>
              <w:spacing w:line="264" w:lineRule="auto"/>
              <w:jc w:val="center"/>
            </w:pPr>
            <w:r/>
            <w:r>
              <w:rPr>
                <w:rFonts w:ascii="宋体" w:hAnsi="宋体" w:eastAsia="宋体"/>
                <w:b w:val="0"/>
                <w:sz w:val="17"/>
              </w:rPr>
              <w:t>participant_id</w:t>
            </w:r>
          </w:p>
        </w:tc>
        <w:tc>
          <w:tcPr>
            <w:tcW w:type="dxa" w:w="2268"/>
            <w:vAlign w:val="center"/>
          </w:tcPr>
          <w:p>
            <w:pPr>
              <w:spacing w:line="264" w:lineRule="auto"/>
              <w:jc w:val="center"/>
            </w:pPr>
            <w:r/>
            <w:r>
              <w:rPr>
                <w:rFonts w:ascii="宋体" w:hAnsi="宋体" w:eastAsia="宋体"/>
                <w:b w:val="0"/>
                <w:sz w:val="17"/>
              </w:rPr>
              <w:t>1, 2, 4, 6, 7, 8</w:t>
            </w:r>
          </w:p>
        </w:tc>
        <w:tc>
          <w:tcPr>
            <w:tcW w:type="dxa" w:w="1587"/>
            <w:vAlign w:val="center"/>
          </w:tcPr>
          <w:p>
            <w:pPr>
              <w:spacing w:line="264" w:lineRule="auto"/>
              <w:jc w:val="center"/>
            </w:pPr>
            <w:r/>
            <w:r>
              <w:rPr>
                <w:rFonts w:ascii="宋体" w:hAnsi="宋体" w:eastAsia="宋体"/>
                <w:b w:val="0"/>
                <w:sz w:val="17"/>
              </w:rPr>
              <w:t>5</w:t>
            </w:r>
          </w:p>
        </w:tc>
        <w:tc>
          <w:tcPr>
            <w:tcW w:type="dxa" w:w="1587"/>
            <w:vAlign w:val="center"/>
          </w:tcPr>
          <w:p>
            <w:pPr>
              <w:spacing w:line="264" w:lineRule="auto"/>
              <w:jc w:val="center"/>
            </w:pPr>
            <w:r/>
            <w:r>
              <w:rPr>
                <w:rFonts w:ascii="宋体" w:hAnsi="宋体" w:eastAsia="宋体"/>
                <w:b w:val="0"/>
                <w:sz w:val="17"/>
              </w:rPr>
              <w:t>3</w:t>
            </w:r>
          </w:p>
        </w:tc>
        <w:tc>
          <w:tcPr>
            <w:tcW w:type="dxa" w:w="2835"/>
            <w:vAlign w:val="center"/>
          </w:tcPr>
          <w:p>
            <w:pPr>
              <w:spacing w:line="264" w:lineRule="auto"/>
              <w:jc w:val="left"/>
            </w:pPr>
            <w:r/>
            <w:r>
              <w:rPr>
                <w:rFonts w:ascii="宋体" w:hAnsi="宋体" w:eastAsia="宋体"/>
                <w:b w:val="0"/>
                <w:sz w:val="17"/>
              </w:rPr>
              <w:t>包含long measurement的受试者整体进入test；long默认测试</w:t>
            </w:r>
          </w:p>
        </w:tc>
      </w:tr>
      <w:tr>
        <w:tc>
          <w:tcPr>
            <w:tcW w:type="dxa" w:w="1701"/>
            <w:vAlign w:val="center"/>
            <w:shd w:fill="D9EAF7"/>
          </w:tcPr>
          <w:p>
            <w:pPr>
              <w:spacing w:line="264" w:lineRule="auto"/>
              <w:jc w:val="center"/>
            </w:pPr>
            <w:r/>
            <w:r>
              <w:rPr>
                <w:rFonts w:ascii="宋体" w:hAnsi="宋体" w:eastAsia="宋体"/>
                <w:b w:val="0"/>
                <w:sz w:val="17"/>
              </w:rPr>
              <w:t>PhysDrive</w:t>
            </w:r>
          </w:p>
        </w:tc>
        <w:tc>
          <w:tcPr>
            <w:tcW w:type="dxa" w:w="1814"/>
            <w:vAlign w:val="center"/>
          </w:tcPr>
          <w:p>
            <w:pPr>
              <w:spacing w:line="264" w:lineRule="auto"/>
              <w:jc w:val="center"/>
            </w:pPr>
            <w:r/>
            <w:r>
              <w:rPr>
                <w:rFonts w:ascii="宋体" w:hAnsi="宋体" w:eastAsia="宋体"/>
                <w:b w:val="0"/>
                <w:sz w:val="17"/>
              </w:rPr>
              <w:t>session_id</w:t>
            </w:r>
          </w:p>
        </w:tc>
        <w:tc>
          <w:tcPr>
            <w:tcW w:type="dxa" w:w="2268"/>
            <w:vAlign w:val="center"/>
          </w:tcPr>
          <w:p>
            <w:pPr>
              <w:spacing w:line="264" w:lineRule="auto"/>
              <w:jc w:val="center"/>
            </w:pPr>
            <w:r/>
            <w:r>
              <w:rPr>
                <w:rFonts w:ascii="宋体" w:hAnsi="宋体" w:eastAsia="宋体"/>
                <w:b w:val="0"/>
                <w:sz w:val="17"/>
              </w:rPr>
              <w:t>按session分组</w:t>
            </w:r>
          </w:p>
        </w:tc>
        <w:tc>
          <w:tcPr>
            <w:tcW w:type="dxa" w:w="1587"/>
            <w:vAlign w:val="center"/>
          </w:tcPr>
          <w:p>
            <w:pPr>
              <w:spacing w:line="264" w:lineRule="auto"/>
              <w:jc w:val="center"/>
            </w:pPr>
            <w:r/>
            <w:r>
              <w:rPr>
                <w:rFonts w:ascii="宋体" w:hAnsi="宋体" w:eastAsia="宋体"/>
                <w:b w:val="0"/>
                <w:sz w:val="17"/>
              </w:rPr>
              <w:t>按session分组</w:t>
            </w:r>
          </w:p>
        </w:tc>
        <w:tc>
          <w:tcPr>
            <w:tcW w:type="dxa" w:w="1587"/>
            <w:vAlign w:val="center"/>
          </w:tcPr>
          <w:p>
            <w:pPr>
              <w:spacing w:line="264" w:lineRule="auto"/>
              <w:jc w:val="center"/>
            </w:pPr>
            <w:r/>
            <w:r>
              <w:rPr>
                <w:rFonts w:ascii="宋体" w:hAnsi="宋体" w:eastAsia="宋体"/>
                <w:b w:val="0"/>
                <w:sz w:val="17"/>
              </w:rPr>
              <w:t>按session分组</w:t>
            </w:r>
          </w:p>
        </w:tc>
        <w:tc>
          <w:tcPr>
            <w:tcW w:type="dxa" w:w="2835"/>
            <w:vAlign w:val="center"/>
          </w:tcPr>
          <w:p>
            <w:pPr>
              <w:spacing w:line="264" w:lineRule="auto"/>
              <w:jc w:val="left"/>
            </w:pPr>
            <w:r/>
            <w:r>
              <w:rPr>
                <w:rFonts w:ascii="宋体" w:hAnsi="宋体" w:eastAsia="宋体"/>
                <w:b w:val="0"/>
                <w:sz w:val="17"/>
              </w:rPr>
              <w:t>采用balanced_grouped策略，按HR分布平衡划分</w:t>
            </w:r>
          </w:p>
        </w:tc>
      </w:tr>
    </w:tbl>
    <w:p>
      <w:pPr>
        <w:pStyle w:val="Heading3"/>
        <w:spacing w:line="324" w:lineRule="auto" w:after="80"/>
        <w:ind w:firstLine="420"/>
      </w:pPr>
      <w:r/>
      <w:r>
        <w:rPr>
          <w:rFonts w:ascii="宋体" w:hAnsi="宋体" w:eastAsia="宋体"/>
          <w:b/>
          <w:color w:val="1F4E79"/>
          <w:sz w:val="24"/>
        </w:rPr>
        <w:t>5.2.2 已确定的训练与评估协议</w:t>
      </w:r>
    </w:p>
    <w:p>
      <w:pPr>
        <w:spacing w:line="324" w:lineRule="auto" w:after="80"/>
        <w:ind w:firstLine="420"/>
      </w:pPr>
      <w:r/>
      <w:r>
        <w:rPr>
          <w:rFonts w:ascii="宋体" w:hAnsi="宋体" w:eastAsia="宋体"/>
          <w:b w:val="0"/>
          <w:sz w:val="21"/>
        </w:rPr>
        <w:t>模型训练默认使用SmoothL1Loss，优化器为AdamW，学习率默认3e-4，权重衰减默认1e-4，早停patience默认12。训练输出包括best.pt、final.pt、run_config.json、history.json和summary.json；独立评估脚本输出overall、by_dataset、by_participant和by_group指标。</w:t>
      </w:r>
    </w:p>
    <w:tbl>
      <w:tblPr>
        <w:tblStyle w:val="TableGrid"/>
        <w:tblW w:type="auto" w:w="0"/>
        <w:jc w:val="center"/>
        <w:tblLook w:firstColumn="1" w:firstRow="1" w:lastColumn="0" w:lastRow="0" w:noHBand="0" w:noVBand="1" w:val="04A0"/>
      </w:tblPr>
      <w:tblGrid>
        <w:gridCol w:w="3264"/>
        <w:gridCol w:w="3264"/>
        <w:gridCol w:w="3264"/>
      </w:tblGrid>
      <w:tr>
        <w:tc>
          <w:tcPr>
            <w:tcW w:type="dxa" w:w="1814"/>
            <w:vAlign w:val="center"/>
            <w:shd w:fill="1F4E79"/>
          </w:tcPr>
          <w:p>
            <w:pPr>
              <w:spacing w:line="264" w:lineRule="auto"/>
              <w:jc w:val="center"/>
            </w:pPr>
            <w:r/>
            <w:r>
              <w:rPr>
                <w:rFonts w:ascii="宋体" w:hAnsi="宋体" w:eastAsia="宋体"/>
                <w:b/>
                <w:color w:val="FFFFFF"/>
                <w:sz w:val="17"/>
              </w:rPr>
              <w:t>类别</w:t>
            </w:r>
          </w:p>
        </w:tc>
        <w:tc>
          <w:tcPr>
            <w:tcW w:type="dxa" w:w="3118"/>
            <w:vAlign w:val="center"/>
            <w:shd w:fill="1F4E79"/>
          </w:tcPr>
          <w:p>
            <w:pPr>
              <w:spacing w:line="264" w:lineRule="auto"/>
              <w:jc w:val="center"/>
            </w:pPr>
            <w:r/>
            <w:r>
              <w:rPr>
                <w:rFonts w:ascii="宋体" w:hAnsi="宋体" w:eastAsia="宋体"/>
                <w:b/>
                <w:color w:val="FFFFFF"/>
                <w:sz w:val="17"/>
              </w:rPr>
              <w:t>已确定设置</w:t>
            </w:r>
          </w:p>
        </w:tc>
        <w:tc>
          <w:tcPr>
            <w:tcW w:type="dxa" w:w="4535"/>
            <w:vAlign w:val="center"/>
            <w:shd w:fill="1F4E79"/>
          </w:tcPr>
          <w:p>
            <w:pPr>
              <w:spacing w:line="264" w:lineRule="auto"/>
              <w:jc w:val="center"/>
            </w:pPr>
            <w:r/>
            <w:r>
              <w:rPr>
                <w:rFonts w:ascii="宋体" w:hAnsi="宋体" w:eastAsia="宋体"/>
                <w:b/>
                <w:color w:val="FFFFFF"/>
                <w:sz w:val="17"/>
              </w:rPr>
              <w:t>说明</w:t>
            </w:r>
          </w:p>
        </w:tc>
      </w:tr>
      <w:tr>
        <w:tc>
          <w:tcPr>
            <w:tcW w:type="dxa" w:w="1814"/>
            <w:vAlign w:val="center"/>
            <w:shd w:fill="D9EAF7"/>
          </w:tcPr>
          <w:p>
            <w:pPr>
              <w:spacing w:line="264" w:lineRule="auto"/>
              <w:jc w:val="center"/>
            </w:pPr>
            <w:r/>
            <w:r>
              <w:rPr>
                <w:rFonts w:ascii="宋体" w:hAnsi="宋体" w:eastAsia="宋体"/>
                <w:b w:val="0"/>
                <w:sz w:val="17"/>
              </w:rPr>
              <w:t>监督训练</w:t>
            </w:r>
          </w:p>
        </w:tc>
        <w:tc>
          <w:tcPr>
            <w:tcW w:type="dxa" w:w="3118"/>
            <w:vAlign w:val="center"/>
          </w:tcPr>
          <w:p>
            <w:pPr>
              <w:spacing w:line="264" w:lineRule="auto"/>
              <w:jc w:val="center"/>
            </w:pPr>
            <w:r/>
            <w:r>
              <w:rPr>
                <w:rFonts w:ascii="宋体" w:hAnsi="宋体" w:eastAsia="宋体"/>
                <w:b w:val="0"/>
                <w:sz w:val="17"/>
              </w:rPr>
              <w:t>源数据集train训练，val选模</w:t>
            </w:r>
          </w:p>
        </w:tc>
        <w:tc>
          <w:tcPr>
            <w:tcW w:type="dxa" w:w="4535"/>
            <w:vAlign w:val="center"/>
          </w:tcPr>
          <w:p>
            <w:pPr>
              <w:spacing w:line="264" w:lineRule="auto"/>
              <w:jc w:val="center"/>
            </w:pPr>
            <w:r/>
            <w:r>
              <w:rPr>
                <w:rFonts w:ascii="宋体" w:hAnsi="宋体" w:eastAsia="宋体"/>
                <w:b w:val="0"/>
                <w:sz w:val="17"/>
              </w:rPr>
              <w:t>早停依据验证集MAE</w:t>
            </w:r>
          </w:p>
        </w:tc>
      </w:tr>
      <w:tr>
        <w:tc>
          <w:tcPr>
            <w:tcW w:type="dxa" w:w="1814"/>
            <w:vAlign w:val="center"/>
            <w:shd w:fill="D9EAF7"/>
          </w:tcPr>
          <w:p>
            <w:pPr>
              <w:spacing w:line="264" w:lineRule="auto"/>
              <w:jc w:val="center"/>
            </w:pPr>
            <w:r/>
            <w:r>
              <w:rPr>
                <w:rFonts w:ascii="宋体" w:hAnsi="宋体" w:eastAsia="宋体"/>
                <w:b w:val="0"/>
                <w:sz w:val="17"/>
              </w:rPr>
              <w:t>同域测试</w:t>
            </w:r>
          </w:p>
        </w:tc>
        <w:tc>
          <w:tcPr>
            <w:tcW w:type="dxa" w:w="3118"/>
            <w:vAlign w:val="center"/>
          </w:tcPr>
          <w:p>
            <w:pPr>
              <w:spacing w:line="264" w:lineRule="auto"/>
              <w:jc w:val="center"/>
            </w:pPr>
            <w:r/>
            <w:r>
              <w:rPr>
                <w:rFonts w:ascii="宋体" w:hAnsi="宋体" w:eastAsia="宋体"/>
                <w:b w:val="0"/>
                <w:sz w:val="17"/>
              </w:rPr>
              <w:t>源数据集test</w:t>
            </w:r>
          </w:p>
        </w:tc>
        <w:tc>
          <w:tcPr>
            <w:tcW w:type="dxa" w:w="4535"/>
            <w:vAlign w:val="center"/>
          </w:tcPr>
          <w:p>
            <w:pPr>
              <w:spacing w:line="264" w:lineRule="auto"/>
              <w:jc w:val="center"/>
            </w:pPr>
            <w:r/>
            <w:r>
              <w:rPr>
                <w:rFonts w:ascii="宋体" w:hAnsi="宋体" w:eastAsia="宋体"/>
                <w:b w:val="0"/>
                <w:sz w:val="17"/>
              </w:rPr>
              <w:t>评估源域内上界</w:t>
            </w:r>
          </w:p>
        </w:tc>
      </w:tr>
      <w:tr>
        <w:tc>
          <w:tcPr>
            <w:tcW w:type="dxa" w:w="1814"/>
            <w:vAlign w:val="center"/>
            <w:shd w:fill="D9EAF7"/>
          </w:tcPr>
          <w:p>
            <w:pPr>
              <w:spacing w:line="264" w:lineRule="auto"/>
              <w:jc w:val="center"/>
            </w:pPr>
            <w:r/>
            <w:r>
              <w:rPr>
                <w:rFonts w:ascii="宋体" w:hAnsi="宋体" w:eastAsia="宋体"/>
                <w:b w:val="0"/>
                <w:sz w:val="17"/>
              </w:rPr>
              <w:t>跨域直接迁移</w:t>
            </w:r>
          </w:p>
        </w:tc>
        <w:tc>
          <w:tcPr>
            <w:tcW w:type="dxa" w:w="3118"/>
            <w:vAlign w:val="center"/>
          </w:tcPr>
          <w:p>
            <w:pPr>
              <w:spacing w:line="264" w:lineRule="auto"/>
              <w:jc w:val="center"/>
            </w:pPr>
            <w:r/>
            <w:r>
              <w:rPr>
                <w:rFonts w:ascii="宋体" w:hAnsi="宋体" w:eastAsia="宋体"/>
                <w:b w:val="0"/>
                <w:sz w:val="17"/>
              </w:rPr>
              <w:t>源模型直接测试目标数据集test</w:t>
            </w:r>
          </w:p>
        </w:tc>
        <w:tc>
          <w:tcPr>
            <w:tcW w:type="dxa" w:w="4535"/>
            <w:vAlign w:val="center"/>
          </w:tcPr>
          <w:p>
            <w:pPr>
              <w:spacing w:line="264" w:lineRule="auto"/>
              <w:jc w:val="center"/>
            </w:pPr>
            <w:r/>
            <w:r>
              <w:rPr>
                <w:rFonts w:ascii="宋体" w:hAnsi="宋体" w:eastAsia="宋体"/>
                <w:b w:val="0"/>
                <w:sz w:val="17"/>
              </w:rPr>
              <w:t>作为跨域下界</w:t>
            </w:r>
          </w:p>
        </w:tc>
      </w:tr>
      <w:tr>
        <w:tc>
          <w:tcPr>
            <w:tcW w:type="dxa" w:w="1814"/>
            <w:vAlign w:val="center"/>
            <w:shd w:fill="D9EAF7"/>
          </w:tcPr>
          <w:p>
            <w:pPr>
              <w:spacing w:line="264" w:lineRule="auto"/>
              <w:jc w:val="center"/>
            </w:pPr>
            <w:r/>
            <w:r>
              <w:rPr>
                <w:rFonts w:ascii="宋体" w:hAnsi="宋体" w:eastAsia="宋体"/>
                <w:b w:val="0"/>
                <w:sz w:val="17"/>
              </w:rPr>
              <w:t>经典UDA</w:t>
            </w:r>
          </w:p>
        </w:tc>
        <w:tc>
          <w:tcPr>
            <w:tcW w:type="dxa" w:w="3118"/>
            <w:vAlign w:val="center"/>
          </w:tcPr>
          <w:p>
            <w:pPr>
              <w:spacing w:line="264" w:lineRule="auto"/>
              <w:jc w:val="center"/>
            </w:pPr>
            <w:r/>
            <w:r>
              <w:rPr>
                <w:rFonts w:ascii="宋体" w:hAnsi="宋体" w:eastAsia="宋体"/>
                <w:b w:val="0"/>
                <w:sz w:val="17"/>
              </w:rPr>
              <w:t>源train + 目标无标签数据</w:t>
            </w:r>
          </w:p>
        </w:tc>
        <w:tc>
          <w:tcPr>
            <w:tcW w:type="dxa" w:w="4535"/>
            <w:vAlign w:val="center"/>
          </w:tcPr>
          <w:p>
            <w:pPr>
              <w:spacing w:line="264" w:lineRule="auto"/>
              <w:jc w:val="center"/>
            </w:pPr>
            <w:r/>
            <w:r>
              <w:rPr>
                <w:rFonts w:ascii="宋体" w:hAnsi="宋体" w:eastAsia="宋体"/>
                <w:b w:val="0"/>
                <w:sz w:val="17"/>
              </w:rPr>
              <w:t>作为对照，需避免目标test标签泄漏</w:t>
            </w:r>
          </w:p>
        </w:tc>
      </w:tr>
      <w:tr>
        <w:tc>
          <w:tcPr>
            <w:tcW w:type="dxa" w:w="1814"/>
            <w:vAlign w:val="center"/>
            <w:shd w:fill="D9EAF7"/>
          </w:tcPr>
          <w:p>
            <w:pPr>
              <w:spacing w:line="264" w:lineRule="auto"/>
              <w:jc w:val="center"/>
            </w:pPr>
            <w:r/>
            <w:r>
              <w:rPr>
                <w:rFonts w:ascii="宋体" w:hAnsi="宋体" w:eastAsia="宋体"/>
                <w:b w:val="0"/>
                <w:sz w:val="17"/>
              </w:rPr>
              <w:t>Source-Free</w:t>
            </w:r>
          </w:p>
        </w:tc>
        <w:tc>
          <w:tcPr>
            <w:tcW w:type="dxa" w:w="3118"/>
            <w:vAlign w:val="center"/>
          </w:tcPr>
          <w:p>
            <w:pPr>
              <w:spacing w:line="264" w:lineRule="auto"/>
              <w:jc w:val="center"/>
            </w:pPr>
            <w:r/>
            <w:r>
              <w:rPr>
                <w:rFonts w:ascii="宋体" w:hAnsi="宋体" w:eastAsia="宋体"/>
                <w:b w:val="0"/>
                <w:sz w:val="17"/>
              </w:rPr>
              <w:t>源模型 + 目标无标签数据</w:t>
            </w:r>
          </w:p>
        </w:tc>
        <w:tc>
          <w:tcPr>
            <w:tcW w:type="dxa" w:w="4535"/>
            <w:vAlign w:val="center"/>
          </w:tcPr>
          <w:p>
            <w:pPr>
              <w:spacing w:line="264" w:lineRule="auto"/>
              <w:jc w:val="center"/>
            </w:pPr>
            <w:r/>
            <w:r>
              <w:rPr>
                <w:rFonts w:ascii="宋体" w:hAnsi="宋体" w:eastAsia="宋体"/>
                <w:b w:val="0"/>
                <w:sz w:val="17"/>
              </w:rPr>
              <w:t>主方法方向，适配阶段不调用源原始数据</w:t>
            </w:r>
          </w:p>
        </w:tc>
      </w:tr>
      <w:tr>
        <w:tc>
          <w:tcPr>
            <w:tcW w:type="dxa" w:w="1814"/>
            <w:vAlign w:val="center"/>
            <w:shd w:fill="D9EAF7"/>
          </w:tcPr>
          <w:p>
            <w:pPr>
              <w:spacing w:line="264" w:lineRule="auto"/>
              <w:jc w:val="center"/>
            </w:pPr>
            <w:r/>
            <w:r>
              <w:rPr>
                <w:rFonts w:ascii="宋体" w:hAnsi="宋体" w:eastAsia="宋体"/>
                <w:b w:val="0"/>
                <w:sz w:val="17"/>
              </w:rPr>
              <w:t>评价指标</w:t>
            </w:r>
          </w:p>
        </w:tc>
        <w:tc>
          <w:tcPr>
            <w:tcW w:type="dxa" w:w="3118"/>
            <w:vAlign w:val="center"/>
          </w:tcPr>
          <w:p>
            <w:pPr>
              <w:spacing w:line="264" w:lineRule="auto"/>
              <w:jc w:val="left"/>
            </w:pPr>
            <w:r/>
            <w:r>
              <w:rPr>
                <w:rFonts w:ascii="宋体" w:hAnsi="宋体" w:eastAsia="宋体"/>
                <w:b w:val="0"/>
                <w:sz w:val="17"/>
              </w:rPr>
              <w:t>MAE、RMSE、Pearson r、3/5 bpm命中率</w:t>
            </w:r>
          </w:p>
        </w:tc>
        <w:tc>
          <w:tcPr>
            <w:tcW w:type="dxa" w:w="4535"/>
            <w:vAlign w:val="center"/>
          </w:tcPr>
          <w:p>
            <w:pPr>
              <w:spacing w:line="264" w:lineRule="auto"/>
              <w:jc w:val="left"/>
            </w:pPr>
            <w:r/>
            <w:r>
              <w:rPr>
                <w:rFonts w:ascii="宋体" w:hAnsi="宋体" w:eastAsia="宋体"/>
                <w:b w:val="0"/>
                <w:sz w:val="17"/>
              </w:rPr>
              <w:t>按dataset、participant/session、group统计</w:t>
            </w:r>
          </w:p>
        </w:tc>
      </w:tr>
    </w:tbl>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247"/>
            <w:vAlign w:val="center"/>
            <w:shd w:fill="1F4E79"/>
          </w:tcPr>
          <w:p>
            <w:pPr>
              <w:jc w:val="center"/>
            </w:pPr>
            <w:r/>
            <w:r>
              <w:rPr>
                <w:b/>
                <w:color w:val="FFFFFF"/>
                <w:sz w:val="18"/>
              </w:rPr>
              <w:t>实验编号</w:t>
            </w:r>
          </w:p>
        </w:tc>
        <w:tc>
          <w:tcPr>
            <w:tcW w:type="dxa" w:w="1701"/>
            <w:vAlign w:val="center"/>
            <w:shd w:fill="1F4E79"/>
          </w:tcPr>
          <w:p>
            <w:pPr>
              <w:jc w:val="center"/>
            </w:pPr>
            <w:r/>
            <w:r>
              <w:rPr>
                <w:b/>
                <w:color w:val="FFFFFF"/>
                <w:sz w:val="18"/>
              </w:rPr>
              <w:t>训练域</w:t>
            </w:r>
          </w:p>
        </w:tc>
        <w:tc>
          <w:tcPr>
            <w:tcW w:type="dxa" w:w="2268"/>
            <w:vAlign w:val="center"/>
            <w:shd w:fill="1F4E79"/>
          </w:tcPr>
          <w:p>
            <w:pPr>
              <w:jc w:val="center"/>
            </w:pPr>
            <w:r/>
            <w:r>
              <w:rPr>
                <w:b/>
                <w:color w:val="FFFFFF"/>
                <w:sz w:val="18"/>
              </w:rPr>
              <w:t>测试域</w:t>
            </w:r>
          </w:p>
        </w:tc>
        <w:tc>
          <w:tcPr>
            <w:tcW w:type="dxa" w:w="3685"/>
            <w:vAlign w:val="center"/>
            <w:shd w:fill="1F4E79"/>
          </w:tcPr>
          <w:p>
            <w:pPr>
              <w:jc w:val="center"/>
            </w:pPr>
            <w:r/>
            <w:r>
              <w:rPr>
                <w:b/>
                <w:color w:val="FFFFFF"/>
                <w:sz w:val="18"/>
              </w:rPr>
              <w:t>方法</w:t>
            </w:r>
          </w:p>
        </w:tc>
        <w:tc>
          <w:tcPr>
            <w:tcW w:type="dxa" w:w="1701"/>
            <w:vAlign w:val="center"/>
            <w:shd w:fill="1F4E79"/>
          </w:tcPr>
          <w:p>
            <w:pPr>
              <w:jc w:val="center"/>
            </w:pPr>
            <w:r/>
            <w:r>
              <w:rPr>
                <w:b/>
                <w:color w:val="FFFFFF"/>
                <w:sz w:val="18"/>
              </w:rPr>
              <w:t>状态</w:t>
            </w:r>
          </w:p>
        </w:tc>
      </w:tr>
      <w:tr>
        <w:tc>
          <w:tcPr>
            <w:tcW w:type="dxa" w:w="1247"/>
            <w:vAlign w:val="center"/>
            <w:shd w:fill="D9EAF7"/>
          </w:tcPr>
          <w:p>
            <w:pPr>
              <w:jc w:val="center"/>
            </w:pPr>
            <w:r/>
            <w:r>
              <w:rPr>
                <w:b w:val="0"/>
                <w:sz w:val="18"/>
              </w:rPr>
              <w:t>E01</w:t>
            </w:r>
          </w:p>
        </w:tc>
        <w:tc>
          <w:tcPr>
            <w:tcW w:type="dxa" w:w="1701"/>
            <w:vAlign w:val="center"/>
          </w:tcPr>
          <w:p>
            <w:pPr>
              <w:jc w:val="center"/>
            </w:pPr>
            <w:r/>
            <w:r>
              <w:rPr>
                <w:b w:val="0"/>
                <w:sz w:val="18"/>
              </w:rPr>
              <w:t>FTU</w:t>
            </w:r>
          </w:p>
        </w:tc>
        <w:tc>
          <w:tcPr>
            <w:tcW w:type="dxa" w:w="2268"/>
            <w:vAlign w:val="center"/>
          </w:tcPr>
          <w:p>
            <w:pPr>
              <w:jc w:val="center"/>
            </w:pPr>
            <w:r/>
            <w:r>
              <w:rPr>
                <w:b w:val="0"/>
                <w:sz w:val="18"/>
              </w:rPr>
              <w:t>FTU</w:t>
            </w:r>
          </w:p>
        </w:tc>
        <w:tc>
          <w:tcPr>
            <w:tcW w:type="dxa" w:w="3685"/>
            <w:vAlign w:val="center"/>
          </w:tcPr>
          <w:p>
            <w:pPr>
              <w:jc w:val="center"/>
            </w:pPr>
            <w:r/>
            <w:r>
              <w:rPr>
                <w:b w:val="0"/>
                <w:sz w:val="18"/>
              </w:rPr>
              <w:t>传统频谱/深度监督基线</w:t>
            </w:r>
          </w:p>
        </w:tc>
        <w:tc>
          <w:tcPr>
            <w:tcW w:type="dxa" w:w="1701"/>
            <w:vAlign w:val="center"/>
          </w:tcPr>
          <w:p>
            <w:pPr>
              <w:jc w:val="center"/>
            </w:pPr>
            <w:r/>
            <w:r>
              <w:rPr>
                <w:b w:val="0"/>
                <w:sz w:val="18"/>
              </w:rPr>
              <w:t>待补充</w:t>
            </w:r>
          </w:p>
        </w:tc>
      </w:tr>
      <w:tr>
        <w:tc>
          <w:tcPr>
            <w:tcW w:type="dxa" w:w="1247"/>
            <w:vAlign w:val="center"/>
            <w:shd w:fill="D9EAF7"/>
          </w:tcPr>
          <w:p>
            <w:pPr>
              <w:jc w:val="center"/>
            </w:pPr>
            <w:r/>
            <w:r>
              <w:rPr>
                <w:b w:val="0"/>
                <w:sz w:val="18"/>
              </w:rPr>
              <w:t>E02</w:t>
            </w:r>
          </w:p>
        </w:tc>
        <w:tc>
          <w:tcPr>
            <w:tcW w:type="dxa" w:w="1701"/>
            <w:vAlign w:val="center"/>
          </w:tcPr>
          <w:p>
            <w:pPr>
              <w:jc w:val="center"/>
            </w:pPr>
            <w:r/>
            <w:r>
              <w:rPr>
                <w:b w:val="0"/>
                <w:sz w:val="18"/>
              </w:rPr>
              <w:t>FTU</w:t>
            </w:r>
          </w:p>
        </w:tc>
        <w:tc>
          <w:tcPr>
            <w:tcW w:type="dxa" w:w="2268"/>
            <w:vAlign w:val="center"/>
          </w:tcPr>
          <w:p>
            <w:pPr>
              <w:jc w:val="center"/>
            </w:pPr>
            <w:r/>
            <w:r>
              <w:rPr>
                <w:b w:val="0"/>
                <w:sz w:val="18"/>
              </w:rPr>
              <w:t>PhysDrive/BGT60</w:t>
            </w:r>
          </w:p>
        </w:tc>
        <w:tc>
          <w:tcPr>
            <w:tcW w:type="dxa" w:w="3685"/>
            <w:vAlign w:val="center"/>
          </w:tcPr>
          <w:p>
            <w:pPr>
              <w:jc w:val="center"/>
            </w:pPr>
            <w:r/>
            <w:r>
              <w:rPr>
                <w:b w:val="0"/>
                <w:sz w:val="18"/>
              </w:rPr>
              <w:t>Direct Transfer</w:t>
            </w:r>
          </w:p>
        </w:tc>
        <w:tc>
          <w:tcPr>
            <w:tcW w:type="dxa" w:w="1701"/>
            <w:vAlign w:val="center"/>
          </w:tcPr>
          <w:p>
            <w:pPr>
              <w:jc w:val="center"/>
            </w:pPr>
            <w:r/>
            <w:r>
              <w:rPr>
                <w:b w:val="0"/>
                <w:sz w:val="18"/>
              </w:rPr>
              <w:t>待补充</w:t>
            </w:r>
          </w:p>
        </w:tc>
      </w:tr>
      <w:tr>
        <w:tc>
          <w:tcPr>
            <w:tcW w:type="dxa" w:w="1247"/>
            <w:vAlign w:val="center"/>
            <w:shd w:fill="D9EAF7"/>
          </w:tcPr>
          <w:p>
            <w:pPr>
              <w:jc w:val="center"/>
            </w:pPr>
            <w:r/>
            <w:r>
              <w:rPr>
                <w:b w:val="0"/>
                <w:sz w:val="18"/>
              </w:rPr>
              <w:t>E03</w:t>
            </w:r>
          </w:p>
        </w:tc>
        <w:tc>
          <w:tcPr>
            <w:tcW w:type="dxa" w:w="1701"/>
            <w:vAlign w:val="center"/>
          </w:tcPr>
          <w:p>
            <w:pPr>
              <w:jc w:val="center"/>
            </w:pPr>
            <w:r/>
            <w:r>
              <w:rPr>
                <w:b w:val="0"/>
                <w:sz w:val="18"/>
              </w:rPr>
              <w:t>FTU</w:t>
            </w:r>
          </w:p>
        </w:tc>
        <w:tc>
          <w:tcPr>
            <w:tcW w:type="dxa" w:w="2268"/>
            <w:vAlign w:val="center"/>
          </w:tcPr>
          <w:p>
            <w:pPr>
              <w:jc w:val="center"/>
            </w:pPr>
            <w:r/>
            <w:r>
              <w:rPr>
                <w:b w:val="0"/>
                <w:sz w:val="18"/>
              </w:rPr>
              <w:t>PhysDrive/BGT60</w:t>
            </w:r>
          </w:p>
        </w:tc>
        <w:tc>
          <w:tcPr>
            <w:tcW w:type="dxa" w:w="3685"/>
            <w:vAlign w:val="center"/>
          </w:tcPr>
          <w:p>
            <w:pPr>
              <w:jc w:val="center"/>
            </w:pPr>
            <w:r/>
            <w:r>
              <w:rPr>
                <w:b w:val="0"/>
                <w:sz w:val="18"/>
              </w:rPr>
              <w:t>DANN/MMD/CORAL</w:t>
            </w:r>
          </w:p>
        </w:tc>
        <w:tc>
          <w:tcPr>
            <w:tcW w:type="dxa" w:w="1701"/>
            <w:vAlign w:val="center"/>
          </w:tcPr>
          <w:p>
            <w:pPr>
              <w:jc w:val="center"/>
            </w:pPr>
            <w:r/>
            <w:r>
              <w:rPr>
                <w:b w:val="0"/>
                <w:sz w:val="18"/>
              </w:rPr>
              <w:t>待实现/待补充</w:t>
            </w:r>
          </w:p>
        </w:tc>
      </w:tr>
      <w:tr>
        <w:tc>
          <w:tcPr>
            <w:tcW w:type="dxa" w:w="1247"/>
            <w:vAlign w:val="center"/>
            <w:shd w:fill="D9EAF7"/>
          </w:tcPr>
          <w:p>
            <w:pPr>
              <w:jc w:val="center"/>
            </w:pPr>
            <w:r/>
            <w:r>
              <w:rPr>
                <w:b w:val="0"/>
                <w:sz w:val="18"/>
              </w:rPr>
              <w:t>E04</w:t>
            </w:r>
          </w:p>
        </w:tc>
        <w:tc>
          <w:tcPr>
            <w:tcW w:type="dxa" w:w="1701"/>
            <w:vAlign w:val="center"/>
          </w:tcPr>
          <w:p>
            <w:pPr>
              <w:jc w:val="center"/>
            </w:pPr>
            <w:r/>
            <w:r>
              <w:rPr>
                <w:b w:val="0"/>
                <w:sz w:val="18"/>
              </w:rPr>
              <w:t>FTU</w:t>
            </w:r>
          </w:p>
        </w:tc>
        <w:tc>
          <w:tcPr>
            <w:tcW w:type="dxa" w:w="2268"/>
            <w:vAlign w:val="center"/>
          </w:tcPr>
          <w:p>
            <w:pPr>
              <w:jc w:val="center"/>
            </w:pPr>
            <w:r/>
            <w:r>
              <w:rPr>
                <w:b w:val="0"/>
                <w:sz w:val="18"/>
              </w:rPr>
              <w:t>PhysDrive/BGT60</w:t>
            </w:r>
          </w:p>
        </w:tc>
        <w:tc>
          <w:tcPr>
            <w:tcW w:type="dxa" w:w="3685"/>
            <w:vAlign w:val="center"/>
          </w:tcPr>
          <w:p>
            <w:pPr>
              <w:jc w:val="center"/>
            </w:pPr>
            <w:r/>
            <w:r>
              <w:rPr>
                <w:b w:val="0"/>
                <w:sz w:val="18"/>
              </w:rPr>
              <w:t>Physio-SFUDA-WPL</w:t>
            </w:r>
          </w:p>
        </w:tc>
        <w:tc>
          <w:tcPr>
            <w:tcW w:type="dxa" w:w="1701"/>
            <w:vAlign w:val="center"/>
          </w:tcPr>
          <w:p>
            <w:pPr>
              <w:jc w:val="center"/>
            </w:pPr>
            <w:r/>
            <w:r>
              <w:rPr>
                <w:b w:val="0"/>
                <w:sz w:val="18"/>
              </w:rPr>
              <w:t>待实现/待补充</w:t>
            </w:r>
          </w:p>
        </w:tc>
      </w:tr>
      <w:tr>
        <w:tc>
          <w:tcPr>
            <w:tcW w:type="dxa" w:w="1247"/>
            <w:vAlign w:val="center"/>
            <w:shd w:fill="D9EAF7"/>
          </w:tcPr>
          <w:p>
            <w:pPr>
              <w:jc w:val="center"/>
            </w:pPr>
            <w:r/>
            <w:r>
              <w:rPr>
                <w:b w:val="0"/>
                <w:sz w:val="18"/>
              </w:rPr>
              <w:t>E05</w:t>
            </w:r>
          </w:p>
        </w:tc>
        <w:tc>
          <w:tcPr>
            <w:tcW w:type="dxa" w:w="1701"/>
            <w:vAlign w:val="center"/>
          </w:tcPr>
          <w:p>
            <w:pPr>
              <w:jc w:val="center"/>
            </w:pPr>
            <w:r/>
            <w:r>
              <w:rPr>
                <w:b w:val="0"/>
                <w:sz w:val="18"/>
              </w:rPr>
              <w:t>FTU</w:t>
            </w:r>
          </w:p>
        </w:tc>
        <w:tc>
          <w:tcPr>
            <w:tcW w:type="dxa" w:w="2268"/>
            <w:vAlign w:val="center"/>
          </w:tcPr>
          <w:p>
            <w:pPr>
              <w:jc w:val="center"/>
            </w:pPr>
            <w:r/>
            <w:r>
              <w:rPr>
                <w:b w:val="0"/>
                <w:sz w:val="18"/>
              </w:rPr>
              <w:t>PhysDrive/BGT60</w:t>
            </w:r>
          </w:p>
        </w:tc>
        <w:tc>
          <w:tcPr>
            <w:tcW w:type="dxa" w:w="3685"/>
            <w:vAlign w:val="center"/>
          </w:tcPr>
          <w:p>
            <w:pPr>
              <w:jc w:val="left"/>
            </w:pPr>
            <w:r/>
            <w:r>
              <w:rPr>
                <w:b w:val="0"/>
                <w:sz w:val="18"/>
              </w:rPr>
              <w:t>Temporal Correction SFUDA</w:t>
            </w:r>
          </w:p>
        </w:tc>
        <w:tc>
          <w:tcPr>
            <w:tcW w:type="dxa" w:w="1701"/>
            <w:vAlign w:val="center"/>
          </w:tcPr>
          <w:p>
            <w:pPr>
              <w:jc w:val="center"/>
            </w:pPr>
            <w:r/>
            <w:r>
              <w:rPr>
                <w:b w:val="0"/>
                <w:sz w:val="18"/>
              </w:rPr>
              <w:t>待实现/待补充</w:t>
            </w:r>
          </w:p>
        </w:tc>
      </w:tr>
      <w:tr>
        <w:tc>
          <w:tcPr>
            <w:tcW w:type="dxa" w:w="1247"/>
            <w:vAlign w:val="center"/>
            <w:shd w:fill="D9EAF7"/>
          </w:tcPr>
          <w:p>
            <w:pPr>
              <w:jc w:val="center"/>
            </w:pPr>
            <w:r/>
            <w:r>
              <w:rPr>
                <w:b w:val="0"/>
                <w:sz w:val="18"/>
              </w:rPr>
              <w:t>E06</w:t>
            </w:r>
          </w:p>
        </w:tc>
        <w:tc>
          <w:tcPr>
            <w:tcW w:type="dxa" w:w="1701"/>
            <w:vAlign w:val="center"/>
          </w:tcPr>
          <w:p>
            <w:pPr>
              <w:jc w:val="center"/>
            </w:pPr>
            <w:r/>
            <w:r>
              <w:rPr>
                <w:b w:val="0"/>
                <w:sz w:val="18"/>
              </w:rPr>
              <w:t>多源</w:t>
            </w:r>
          </w:p>
        </w:tc>
        <w:tc>
          <w:tcPr>
            <w:tcW w:type="dxa" w:w="2268"/>
            <w:vAlign w:val="center"/>
          </w:tcPr>
          <w:p>
            <w:pPr>
              <w:jc w:val="center"/>
            </w:pPr>
            <w:r/>
            <w:r>
              <w:rPr>
                <w:b w:val="0"/>
                <w:sz w:val="18"/>
              </w:rPr>
              <w:t>留一目标域</w:t>
            </w:r>
          </w:p>
        </w:tc>
        <w:tc>
          <w:tcPr>
            <w:tcW w:type="dxa" w:w="3685"/>
            <w:vAlign w:val="center"/>
          </w:tcPr>
          <w:p>
            <w:pPr>
              <w:jc w:val="left"/>
            </w:pPr>
            <w:r/>
            <w:r>
              <w:rPr>
                <w:b w:val="0"/>
                <w:sz w:val="18"/>
              </w:rPr>
              <w:t>Contrastive Domain Generalization</w:t>
            </w:r>
          </w:p>
        </w:tc>
        <w:tc>
          <w:tcPr>
            <w:tcW w:type="dxa" w:w="1701"/>
            <w:vAlign w:val="center"/>
          </w:tcPr>
          <w:p>
            <w:pPr>
              <w:jc w:val="center"/>
            </w:pPr>
            <w:r/>
            <w:r>
              <w:rPr>
                <w:b w:val="0"/>
                <w:sz w:val="18"/>
              </w:rPr>
              <w:t>待实现/待补充</w:t>
            </w:r>
          </w:p>
        </w:tc>
      </w:tr>
      <w:tr>
        <w:tc>
          <w:tcPr>
            <w:tcW w:type="dxa" w:w="1247"/>
            <w:vAlign w:val="center"/>
            <w:shd w:fill="D9EAF7"/>
          </w:tcPr>
          <w:p>
            <w:pPr>
              <w:jc w:val="center"/>
            </w:pPr>
            <w:r/>
            <w:r>
              <w:rPr>
                <w:b w:val="0"/>
                <w:sz w:val="18"/>
              </w:rPr>
              <w:t>E07</w:t>
            </w:r>
          </w:p>
        </w:tc>
        <w:tc>
          <w:tcPr>
            <w:tcW w:type="dxa" w:w="1701"/>
            <w:vAlign w:val="center"/>
          </w:tcPr>
          <w:p>
            <w:pPr>
              <w:jc w:val="center"/>
            </w:pPr>
            <w:r/>
            <w:r>
              <w:rPr>
                <w:b w:val="0"/>
                <w:sz w:val="18"/>
              </w:rPr>
              <w:t>最优模型</w:t>
            </w:r>
          </w:p>
        </w:tc>
        <w:tc>
          <w:tcPr>
            <w:tcW w:type="dxa" w:w="2268"/>
            <w:vAlign w:val="center"/>
          </w:tcPr>
          <w:p>
            <w:pPr>
              <w:jc w:val="center"/>
            </w:pPr>
            <w:r/>
            <w:r>
              <w:rPr>
                <w:b w:val="0"/>
                <w:sz w:val="18"/>
              </w:rPr>
              <w:t>长时/干扰子集</w:t>
            </w:r>
          </w:p>
        </w:tc>
        <w:tc>
          <w:tcPr>
            <w:tcW w:type="dxa" w:w="3685"/>
            <w:vAlign w:val="center"/>
          </w:tcPr>
          <w:p>
            <w:pPr>
              <w:jc w:val="center"/>
            </w:pPr>
            <w:r/>
            <w:r>
              <w:rPr>
                <w:b w:val="0"/>
                <w:sz w:val="18"/>
              </w:rPr>
              <w:t>鲁棒性与漂移分析</w:t>
            </w:r>
          </w:p>
        </w:tc>
        <w:tc>
          <w:tcPr>
            <w:tcW w:type="dxa" w:w="1701"/>
            <w:vAlign w:val="center"/>
          </w:tcPr>
          <w:p>
            <w:pPr>
              <w:jc w:val="center"/>
            </w:pPr>
            <w:r/>
            <w:r>
              <w:rPr>
                <w:b w:val="0"/>
                <w:sz w:val="18"/>
              </w:rPr>
              <w:t>待补充</w:t>
            </w:r>
          </w:p>
        </w:tc>
      </w:tr>
    </w:tbl>
    <w:p/>
    <w:p>
      <w:pPr>
        <w:pStyle w:val="Heading2"/>
      </w:pPr>
      <w:r>
        <w:rPr>
          <w:rFonts w:ascii="宋体" w:hAnsi="宋体" w:eastAsia="宋体"/>
          <w:color w:val="1F4E79"/>
        </w:rPr>
        <w:t>5.3 评价指标</w:t>
      </w:r>
    </w:p>
    <w:p>
      <w:pPr>
        <w:spacing w:line="324" w:lineRule="auto" w:after="80"/>
        <w:ind w:firstLine="420"/>
      </w:pPr>
      <w:r>
        <w:rPr>
          <w:rFonts w:ascii="宋体" w:hAnsi="宋体" w:eastAsia="宋体"/>
          <w:sz w:val="21"/>
        </w:rPr>
        <w:t>本文主指标为MAE、RMSE和Pearson相关系数。MAE和RMSE衡量心率估计误差，Pearson相关系数衡量预测序列与参考心率变化趋势的一致性。辅助指标包括3 bpm和5 bpm容差命中率、跨域性能下降率、相对直接迁移改进率、分受试者误差、分场景误差和长时漂移斜率。</w:t>
      </w:r>
    </w:p>
    <w:p>
      <w:pPr>
        <w:pStyle w:val="Heading2"/>
      </w:pPr>
      <w:r>
        <w:rPr>
          <w:rFonts w:ascii="宋体" w:hAnsi="宋体" w:eastAsia="宋体"/>
          <w:color w:val="1F4E79"/>
        </w:rPr>
        <w:t>5.4 消融实验</w:t>
      </w:r>
    </w:p>
    <w:p>
      <w:pPr>
        <w:pStyle w:val="ListBullet"/>
        <w:spacing w:line="324" w:lineRule="auto" w:after="80"/>
        <w:ind w:firstLine="420"/>
      </w:pPr>
      <w:r/>
      <w:r>
        <w:rPr>
          <w:rFonts w:ascii="宋体" w:hAnsi="宋体" w:eastAsia="宋体"/>
          <w:sz w:val="21"/>
        </w:rPr>
        <w:t>去除RDA空间稳定目标选择，退化为纯能量top-k或旧的log_magnitude输入，比较生命体征感知RDA目标选择的作用。</w:t>
      </w:r>
    </w:p>
    <w:p>
      <w:pPr>
        <w:pStyle w:val="ListBullet"/>
        <w:spacing w:line="300" w:lineRule="auto" w:after="40"/>
      </w:pPr>
      <w:r>
        <w:rPr>
          <w:rFonts w:ascii="宋体" w:hAnsi="宋体" w:eastAsia="宋体"/>
          <w:sz w:val="21"/>
        </w:rPr>
        <w:t>去除EDACM相位提取，直接使用RDA幅值或复数实虚部输入，比较相位增强的作用。</w:t>
      </w:r>
    </w:p>
    <w:p>
      <w:pPr>
        <w:pStyle w:val="ListBullet"/>
        <w:spacing w:line="300" w:lineRule="auto" w:after="40"/>
      </w:pPr>
      <w:r>
        <w:rPr>
          <w:rFonts w:ascii="宋体" w:hAnsi="宋体" w:eastAsia="宋体"/>
          <w:sz w:val="21"/>
        </w:rPr>
        <w:t>去除VMD，仅使用融合相位序列，验证VMD模态分解对心率回归的贡献。</w:t>
      </w:r>
    </w:p>
    <w:p>
      <w:pPr>
        <w:pStyle w:val="ListBullet"/>
        <w:spacing w:line="300" w:lineRule="auto" w:after="40"/>
      </w:pPr>
      <w:r>
        <w:rPr>
          <w:rFonts w:ascii="宋体" w:hAnsi="宋体" w:eastAsia="宋体"/>
          <w:sz w:val="21"/>
        </w:rPr>
        <w:t>去除频域分支，仅保留x_time，验证频域特征对跨域泛化的影响。</w:t>
      </w:r>
    </w:p>
    <w:p>
      <w:pPr>
        <w:pStyle w:val="ListBullet"/>
        <w:spacing w:line="300" w:lineRule="auto" w:after="40"/>
      </w:pPr>
      <w:r>
        <w:rPr>
          <w:rFonts w:ascii="宋体" w:hAnsi="宋体" w:eastAsia="宋体"/>
          <w:sz w:val="21"/>
        </w:rPr>
        <w:t>去除伪标签权重，比较普通自训练和加权伪标签的稳定性。</w:t>
      </w:r>
    </w:p>
    <w:p>
      <w:pPr>
        <w:pStyle w:val="ListBullet"/>
        <w:spacing w:line="300" w:lineRule="auto" w:after="40"/>
      </w:pPr>
      <w:r>
        <w:rPr>
          <w:rFonts w:ascii="宋体" w:hAnsi="宋体" w:eastAsia="宋体"/>
          <w:sz w:val="21"/>
        </w:rPr>
        <w:t>去除时序修正，比较目标域长时预测序列中的漂移与异常跳变。</w:t>
      </w:r>
    </w:p>
    <w:p>
      <w:pPr>
        <w:pStyle w:val="Heading1"/>
      </w:pPr>
      <w:r>
        <w:rPr>
          <w:rFonts w:ascii="宋体" w:hAnsi="宋体" w:eastAsia="宋体"/>
          <w:color w:val="1F4E79"/>
        </w:rPr>
        <w:t>第6章 实验结果与分析（待补充）</w:t>
      </w:r>
    </w:p>
    <w:tbl>
      <w:tblPr>
        <w:tblW w:type="auto" w:w="0"/>
        <w:jc w:val="center"/>
        <w:tblLook w:firstColumn="1" w:firstRow="1" w:lastColumn="0" w:lastRow="0" w:noHBand="0" w:noVBand="1" w:val="04A0"/>
      </w:tblPr>
      <w:tblGrid>
        <w:gridCol w:w="9405"/>
      </w:tblGrid>
      <w:tr>
        <w:tc>
          <w:tcPr>
            <w:tcW w:type="dxa" w:w="9405"/>
            <w:shd w:fill="FCE4D6"/>
          </w:tcPr>
          <w:p>
            <w:pPr>
              <w:spacing w:after="60"/>
            </w:pPr>
            <w:r>
              <w:rPr>
                <w:b/>
                <w:color w:val="1F4E79"/>
                <w:sz w:val="20"/>
              </w:rPr>
              <w:t>待补充说明</w:t>
            </w:r>
          </w:p>
          <w:p>
            <w:pPr>
              <w:spacing w:line="276" w:lineRule="auto"/>
            </w:pPr>
            <w:r>
              <w:rPr>
                <w:sz w:val="19"/>
              </w:rPr>
              <w:t>本章用于后续填入真实实验结果。当前初稿不伪造任何数值。完成数据导出、训练和评估后，应将每个实验的配置文件、随机种子、训练集/验证集/测试集划分、模型参数量和运行环境写入本章。</w:t>
            </w:r>
          </w:p>
        </w:tc>
      </w:tr>
    </w:tbl>
    <w:p/>
    <w:p>
      <w:pPr>
        <w:pStyle w:val="Heading2"/>
      </w:pPr>
      <w:r/>
      <w:r>
        <w:rPr>
          <w:rFonts w:ascii="宋体" w:hAnsi="宋体" w:eastAsia="宋体"/>
          <w:b/>
          <w:color w:val="1F4E79"/>
          <w:sz w:val="28"/>
        </w:rPr>
        <w:t>6.1 数据构建统计与固定划分</w:t>
      </w:r>
    </w:p>
    <w:p>
      <w:pPr>
        <w:spacing w:line="324" w:lineRule="auto" w:after="80"/>
        <w:ind w:firstLine="420"/>
      </w:pPr>
      <w:r/>
      <w:r>
        <w:rPr>
          <w:rFonts w:ascii="宋体" w:hAnsi="宋体" w:eastAsia="宋体"/>
          <w:b w:val="0"/>
          <w:sz w:val="21"/>
        </w:rPr>
        <w:t>本节中样本数和窗口数需要等待实际导出后填写，但划分原则已经确定。后续补表时应同时报告每个split的group列表、窗口数、心率均值和有效标签覆盖率，以便证明训练、验证和测试之间没有受试者或session泄漏。</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701"/>
            <w:vAlign w:val="center"/>
            <w:shd w:fill="1F4E79"/>
          </w:tcPr>
          <w:p>
            <w:pPr>
              <w:jc w:val="center"/>
            </w:pPr>
            <w:r/>
            <w:r>
              <w:rPr>
                <w:b/>
                <w:color w:val="FFFFFF"/>
                <w:sz w:val="18"/>
              </w:rPr>
              <w:t>数据集</w:t>
            </w:r>
          </w:p>
        </w:tc>
        <w:tc>
          <w:tcPr>
            <w:tcW w:type="dxa" w:w="1134"/>
            <w:vAlign w:val="center"/>
            <w:shd w:fill="1F4E79"/>
          </w:tcPr>
          <w:p>
            <w:pPr>
              <w:jc w:val="center"/>
            </w:pPr>
            <w:r/>
            <w:r>
              <w:rPr>
                <w:b/>
                <w:color w:val="FFFFFF"/>
                <w:sz w:val="18"/>
              </w:rPr>
              <w:t>样本数</w:t>
            </w:r>
          </w:p>
        </w:tc>
        <w:tc>
          <w:tcPr>
            <w:tcW w:type="dxa" w:w="1304"/>
            <w:vAlign w:val="center"/>
            <w:shd w:fill="1F4E79"/>
          </w:tcPr>
          <w:p>
            <w:pPr>
              <w:jc w:val="center"/>
            </w:pPr>
            <w:r/>
            <w:r>
              <w:rPr>
                <w:b/>
                <w:color w:val="FFFFFF"/>
                <w:sz w:val="18"/>
              </w:rPr>
              <w:t>训练窗口</w:t>
            </w:r>
          </w:p>
        </w:tc>
        <w:tc>
          <w:tcPr>
            <w:tcW w:type="dxa" w:w="1304"/>
            <w:vAlign w:val="center"/>
            <w:shd w:fill="1F4E79"/>
          </w:tcPr>
          <w:p>
            <w:pPr>
              <w:jc w:val="center"/>
            </w:pPr>
            <w:r/>
            <w:r>
              <w:rPr>
                <w:b/>
                <w:color w:val="FFFFFF"/>
                <w:sz w:val="18"/>
              </w:rPr>
              <w:t>验证窗口</w:t>
            </w:r>
          </w:p>
        </w:tc>
        <w:tc>
          <w:tcPr>
            <w:tcW w:type="dxa" w:w="1304"/>
            <w:vAlign w:val="center"/>
            <w:shd w:fill="1F4E79"/>
          </w:tcPr>
          <w:p>
            <w:pPr>
              <w:jc w:val="center"/>
            </w:pPr>
            <w:r/>
            <w:r>
              <w:rPr>
                <w:b/>
                <w:color w:val="FFFFFF"/>
                <w:sz w:val="18"/>
              </w:rPr>
              <w:t>测试窗口</w:t>
            </w:r>
          </w:p>
        </w:tc>
        <w:tc>
          <w:tcPr>
            <w:tcW w:type="dxa" w:w="1701"/>
            <w:vAlign w:val="center"/>
            <w:shd w:fill="1F4E79"/>
          </w:tcPr>
          <w:p>
            <w:pPr>
              <w:jc w:val="center"/>
            </w:pPr>
            <w:r/>
            <w:r>
              <w:rPr>
                <w:b/>
                <w:color w:val="FFFFFF"/>
                <w:sz w:val="18"/>
              </w:rPr>
              <w:t>有效标签覆盖率</w:t>
            </w:r>
          </w:p>
        </w:tc>
        <w:tc>
          <w:tcPr>
            <w:tcW w:type="dxa" w:w="1701"/>
            <w:vAlign w:val="center"/>
            <w:shd w:fill="1F4E79"/>
          </w:tcPr>
          <w:p>
            <w:pPr>
              <w:jc w:val="center"/>
            </w:pPr>
            <w:r/>
            <w:r>
              <w:rPr>
                <w:b/>
                <w:color w:val="FFFFFF"/>
                <w:sz w:val="18"/>
              </w:rPr>
              <w:t>备注</w:t>
            </w:r>
          </w:p>
        </w:tc>
      </w:tr>
      <w:tr>
        <w:tc>
          <w:tcPr>
            <w:tcW w:type="dxa" w:w="1701"/>
            <w:vAlign w:val="center"/>
            <w:shd w:fill="D9EAF7"/>
          </w:tcPr>
          <w:p>
            <w:pPr>
              <w:jc w:val="center"/>
            </w:pPr>
            <w:r/>
            <w:r>
              <w:rPr>
                <w:b w:val="0"/>
                <w:sz w:val="18"/>
              </w:rPr>
              <w:t>FTU</w:t>
            </w:r>
          </w:p>
        </w:tc>
        <w:tc>
          <w:tcPr>
            <w:tcW w:type="dxa" w:w="113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701"/>
            <w:vAlign w:val="center"/>
          </w:tcPr>
          <w:p>
            <w:pPr>
              <w:jc w:val="center"/>
            </w:pPr>
            <w:r/>
            <w:r>
              <w:rPr>
                <w:b w:val="0"/>
                <w:sz w:val="18"/>
              </w:rPr>
              <w:t>待补充</w:t>
            </w:r>
          </w:p>
        </w:tc>
        <w:tc>
          <w:tcPr>
            <w:tcW w:type="dxa" w:w="1701"/>
            <w:vAlign w:val="center"/>
          </w:tcPr>
          <w:p>
            <w:pPr>
              <w:jc w:val="center"/>
            </w:pPr>
            <w:r/>
            <w:r>
              <w:rPr>
                <w:b w:val="0"/>
                <w:sz w:val="18"/>
              </w:rPr>
              <w:t>RR缺失</w:t>
            </w:r>
          </w:p>
        </w:tc>
      </w:tr>
      <w:tr>
        <w:tc>
          <w:tcPr>
            <w:tcW w:type="dxa" w:w="1701"/>
            <w:vAlign w:val="center"/>
            <w:shd w:fill="D9EAF7"/>
          </w:tcPr>
          <w:p>
            <w:pPr>
              <w:jc w:val="center"/>
            </w:pPr>
            <w:r/>
            <w:r>
              <w:rPr>
                <w:b w:val="0"/>
                <w:sz w:val="18"/>
              </w:rPr>
              <w:t>BGT60TR13C</w:t>
            </w:r>
          </w:p>
        </w:tc>
        <w:tc>
          <w:tcPr>
            <w:tcW w:type="dxa" w:w="113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701"/>
            <w:vAlign w:val="center"/>
          </w:tcPr>
          <w:p>
            <w:pPr>
              <w:jc w:val="center"/>
            </w:pPr>
            <w:r/>
            <w:r>
              <w:rPr>
                <w:b w:val="0"/>
                <w:sz w:val="18"/>
              </w:rPr>
              <w:t>待补充</w:t>
            </w:r>
          </w:p>
        </w:tc>
        <w:tc>
          <w:tcPr>
            <w:tcW w:type="dxa" w:w="1701"/>
            <w:vAlign w:val="center"/>
          </w:tcPr>
          <w:p>
            <w:pPr>
              <w:jc w:val="center"/>
            </w:pPr>
            <w:r/>
            <w:r>
              <w:rPr>
                <w:b w:val="0"/>
                <w:sz w:val="18"/>
              </w:rPr>
              <w:t>long默认测试</w:t>
            </w:r>
          </w:p>
        </w:tc>
      </w:tr>
      <w:tr>
        <w:tc>
          <w:tcPr>
            <w:tcW w:type="dxa" w:w="1701"/>
            <w:vAlign w:val="center"/>
            <w:shd w:fill="D9EAF7"/>
          </w:tcPr>
          <w:p>
            <w:pPr>
              <w:jc w:val="center"/>
            </w:pPr>
            <w:r/>
            <w:r>
              <w:rPr>
                <w:b w:val="0"/>
                <w:sz w:val="18"/>
              </w:rPr>
              <w:t>PhysDrive</w:t>
            </w:r>
          </w:p>
        </w:tc>
        <w:tc>
          <w:tcPr>
            <w:tcW w:type="dxa" w:w="113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304"/>
            <w:vAlign w:val="center"/>
          </w:tcPr>
          <w:p>
            <w:pPr>
              <w:jc w:val="center"/>
            </w:pPr>
            <w:r/>
            <w:r>
              <w:rPr>
                <w:b w:val="0"/>
                <w:sz w:val="18"/>
              </w:rPr>
              <w:t>待补充</w:t>
            </w:r>
          </w:p>
        </w:tc>
        <w:tc>
          <w:tcPr>
            <w:tcW w:type="dxa" w:w="1701"/>
            <w:vAlign w:val="center"/>
          </w:tcPr>
          <w:p>
            <w:pPr>
              <w:jc w:val="center"/>
            </w:pPr>
            <w:r/>
            <w:r>
              <w:rPr>
                <w:b w:val="0"/>
                <w:sz w:val="18"/>
              </w:rPr>
              <w:t>待补充</w:t>
            </w:r>
          </w:p>
        </w:tc>
        <w:tc>
          <w:tcPr>
            <w:tcW w:type="dxa" w:w="1701"/>
            <w:vAlign w:val="center"/>
          </w:tcPr>
          <w:p>
            <w:pPr>
              <w:jc w:val="center"/>
            </w:pPr>
            <w:r/>
            <w:r>
              <w:rPr>
                <w:b w:val="0"/>
                <w:sz w:val="18"/>
              </w:rPr>
              <w:t>HR/RR由ECG/Resp派生</w:t>
            </w:r>
          </w:p>
        </w:tc>
      </w:tr>
    </w:tbl>
    <w:p/>
    <w:p>
      <w:pPr>
        <w:pStyle w:val="Heading2"/>
      </w:pPr>
      <w:r>
        <w:rPr>
          <w:rFonts w:ascii="宋体" w:hAnsi="宋体" w:eastAsia="宋体"/>
          <w:color w:val="1F4E79"/>
        </w:rPr>
        <w:t>6.2 源域内性能（待补充）</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814"/>
            <w:vAlign w:val="center"/>
            <w:shd w:fill="1F4E79"/>
          </w:tcPr>
          <w:p>
            <w:pPr>
              <w:jc w:val="center"/>
            </w:pPr>
            <w:r/>
            <w:r>
              <w:rPr>
                <w:b/>
                <w:color w:val="FFFFFF"/>
                <w:sz w:val="18"/>
              </w:rPr>
              <w:t>模型</w:t>
            </w:r>
          </w:p>
        </w:tc>
        <w:tc>
          <w:tcPr>
            <w:tcW w:type="dxa" w:w="1814"/>
            <w:vAlign w:val="center"/>
            <w:shd w:fill="1F4E79"/>
          </w:tcPr>
          <w:p>
            <w:pPr>
              <w:jc w:val="center"/>
            </w:pPr>
            <w:r/>
            <w:r>
              <w:rPr>
                <w:b/>
                <w:color w:val="FFFFFF"/>
                <w:sz w:val="18"/>
              </w:rPr>
              <w:t>输入特征</w:t>
            </w:r>
          </w:p>
        </w:tc>
        <w:tc>
          <w:tcPr>
            <w:tcW w:type="dxa" w:w="1361"/>
            <w:vAlign w:val="center"/>
            <w:shd w:fill="1F4E79"/>
          </w:tcPr>
          <w:p>
            <w:pPr>
              <w:jc w:val="center"/>
            </w:pPr>
            <w:r/>
            <w:r>
              <w:rPr>
                <w:b/>
                <w:color w:val="FFFFFF"/>
                <w:sz w:val="18"/>
              </w:rPr>
              <w:t>训练域</w:t>
            </w:r>
          </w:p>
        </w:tc>
        <w:tc>
          <w:tcPr>
            <w:tcW w:type="dxa" w:w="1361"/>
            <w:vAlign w:val="center"/>
            <w:shd w:fill="1F4E79"/>
          </w:tcPr>
          <w:p>
            <w:pPr>
              <w:jc w:val="center"/>
            </w:pPr>
            <w:r/>
            <w:r>
              <w:rPr>
                <w:b/>
                <w:color w:val="FFFFFF"/>
                <w:sz w:val="18"/>
              </w:rPr>
              <w:t>测试域</w:t>
            </w:r>
          </w:p>
        </w:tc>
        <w:tc>
          <w:tcPr>
            <w:tcW w:type="dxa" w:w="1020"/>
            <w:vAlign w:val="center"/>
            <w:shd w:fill="1F4E79"/>
          </w:tcPr>
          <w:p>
            <w:pPr>
              <w:jc w:val="center"/>
            </w:pPr>
            <w:r/>
            <w:r>
              <w:rPr>
                <w:b/>
                <w:color w:val="FFFFFF"/>
                <w:sz w:val="18"/>
              </w:rPr>
              <w:t>MAE</w:t>
            </w:r>
          </w:p>
        </w:tc>
        <w:tc>
          <w:tcPr>
            <w:tcW w:type="dxa" w:w="1020"/>
            <w:vAlign w:val="center"/>
            <w:shd w:fill="1F4E79"/>
          </w:tcPr>
          <w:p>
            <w:pPr>
              <w:jc w:val="center"/>
            </w:pPr>
            <w:r/>
            <w:r>
              <w:rPr>
                <w:b/>
                <w:color w:val="FFFFFF"/>
                <w:sz w:val="18"/>
              </w:rPr>
              <w:t>RMSE</w:t>
            </w:r>
          </w:p>
        </w:tc>
        <w:tc>
          <w:tcPr>
            <w:tcW w:type="dxa" w:w="850"/>
            <w:vAlign w:val="center"/>
            <w:shd w:fill="1F4E79"/>
          </w:tcPr>
          <w:p>
            <w:pPr>
              <w:jc w:val="center"/>
            </w:pPr>
            <w:r/>
            <w:r>
              <w:rPr>
                <w:b/>
                <w:color w:val="FFFFFF"/>
                <w:sz w:val="18"/>
              </w:rPr>
              <w:t>r</w:t>
            </w:r>
          </w:p>
        </w:tc>
        <w:tc>
          <w:tcPr>
            <w:tcW w:type="dxa" w:w="1701"/>
            <w:vAlign w:val="center"/>
            <w:shd w:fill="1F4E79"/>
          </w:tcPr>
          <w:p>
            <w:pPr>
              <w:jc w:val="center"/>
            </w:pPr>
            <w:r/>
            <w:r>
              <w:rPr>
                <w:b/>
                <w:color w:val="FFFFFF"/>
                <w:sz w:val="18"/>
              </w:rPr>
              <w:t>备注</w:t>
            </w:r>
          </w:p>
        </w:tc>
      </w:tr>
      <w:tr>
        <w:tc>
          <w:tcPr>
            <w:tcW w:type="dxa" w:w="1814"/>
            <w:vAlign w:val="center"/>
            <w:shd w:fill="D9EAF7"/>
          </w:tcPr>
          <w:p>
            <w:pPr>
              <w:jc w:val="center"/>
            </w:pPr>
            <w:r/>
            <w:r>
              <w:rPr>
                <w:b w:val="0"/>
                <w:sz w:val="18"/>
              </w:rPr>
              <w:t>HeartTimeMixer</w:t>
            </w:r>
          </w:p>
        </w:tc>
        <w:tc>
          <w:tcPr>
            <w:tcW w:type="dxa" w:w="1814"/>
            <w:vAlign w:val="center"/>
          </w:tcPr>
          <w:p>
            <w:pPr>
              <w:jc w:val="center"/>
            </w:pPr>
            <w:r/>
            <w:r>
              <w:rPr>
                <w:b w:val="0"/>
                <w:sz w:val="18"/>
              </w:rPr>
              <w:t>target_edacm_vmd</w:t>
            </w:r>
          </w:p>
        </w:tc>
        <w:tc>
          <w:tcPr>
            <w:tcW w:type="dxa" w:w="1361"/>
            <w:vAlign w:val="center"/>
          </w:tcPr>
          <w:p>
            <w:pPr>
              <w:jc w:val="center"/>
            </w:pPr>
            <w:r/>
            <w:r>
              <w:rPr>
                <w:b w:val="0"/>
                <w:sz w:val="18"/>
              </w:rPr>
              <w:t>待补充</w:t>
            </w:r>
          </w:p>
        </w:tc>
        <w:tc>
          <w:tcPr>
            <w:tcW w:type="dxa" w:w="1361"/>
            <w:vAlign w:val="center"/>
          </w:tcPr>
          <w:p>
            <w:pPr>
              <w:jc w:val="center"/>
            </w:pPr>
            <w:r/>
            <w:r>
              <w:rPr>
                <w:b w:val="0"/>
                <w:sz w:val="18"/>
              </w:rPr>
              <w:t>待补充</w:t>
            </w:r>
          </w:p>
        </w:tc>
        <w:tc>
          <w:tcPr>
            <w:tcW w:type="dxa" w:w="1020"/>
            <w:vAlign w:val="center"/>
          </w:tcPr>
          <w:p>
            <w:pPr>
              <w:jc w:val="center"/>
            </w:pPr>
            <w:r/>
            <w:r>
              <w:rPr>
                <w:b w:val="0"/>
                <w:sz w:val="18"/>
              </w:rPr>
              <w:t>待补充</w:t>
            </w:r>
          </w:p>
        </w:tc>
        <w:tc>
          <w:tcPr>
            <w:tcW w:type="dxa" w:w="1020"/>
            <w:vAlign w:val="center"/>
          </w:tcPr>
          <w:p>
            <w:pPr>
              <w:jc w:val="center"/>
            </w:pPr>
            <w:r/>
            <w:r>
              <w:rPr>
                <w:b w:val="0"/>
                <w:sz w:val="18"/>
              </w:rPr>
              <w:t>待补充</w:t>
            </w:r>
          </w:p>
        </w:tc>
        <w:tc>
          <w:tcPr>
            <w:tcW w:type="dxa" w:w="850"/>
            <w:vAlign w:val="center"/>
          </w:tcPr>
          <w:p>
            <w:pPr>
              <w:jc w:val="center"/>
            </w:pPr>
            <w:r/>
            <w:r>
              <w:rPr>
                <w:b w:val="0"/>
                <w:sz w:val="18"/>
              </w:rPr>
              <w:t>待补充</w:t>
            </w:r>
          </w:p>
        </w:tc>
        <w:tc>
          <w:tcPr>
            <w:tcW w:type="dxa" w:w="1701"/>
            <w:vAlign w:val="center"/>
          </w:tcPr>
          <w:p>
            <w:pPr>
              <w:jc w:val="center"/>
            </w:pPr>
            <w:r/>
            <w:r>
              <w:rPr>
                <w:b w:val="0"/>
                <w:sz w:val="18"/>
              </w:rPr>
              <w:t>待补充</w:t>
            </w:r>
          </w:p>
        </w:tc>
      </w:tr>
      <w:tr>
        <w:tc>
          <w:tcPr>
            <w:tcW w:type="dxa" w:w="1814"/>
            <w:vAlign w:val="center"/>
            <w:shd w:fill="D9EAF7"/>
          </w:tcPr>
          <w:p>
            <w:pPr>
              <w:jc w:val="center"/>
            </w:pPr>
            <w:r/>
            <w:r>
              <w:rPr>
                <w:b w:val="0"/>
                <w:sz w:val="18"/>
              </w:rPr>
              <w:t>TCN</w:t>
            </w:r>
          </w:p>
        </w:tc>
        <w:tc>
          <w:tcPr>
            <w:tcW w:type="dxa" w:w="1814"/>
            <w:vAlign w:val="center"/>
          </w:tcPr>
          <w:p>
            <w:pPr>
              <w:jc w:val="center"/>
            </w:pPr>
            <w:r/>
            <w:r>
              <w:rPr>
                <w:b w:val="0"/>
                <w:sz w:val="18"/>
              </w:rPr>
              <w:t>target_edacm_vmd</w:t>
            </w:r>
          </w:p>
        </w:tc>
        <w:tc>
          <w:tcPr>
            <w:tcW w:type="dxa" w:w="1361"/>
            <w:vAlign w:val="center"/>
          </w:tcPr>
          <w:p>
            <w:pPr>
              <w:jc w:val="center"/>
            </w:pPr>
            <w:r/>
            <w:r>
              <w:rPr>
                <w:b w:val="0"/>
                <w:sz w:val="18"/>
              </w:rPr>
              <w:t>待补充</w:t>
            </w:r>
          </w:p>
        </w:tc>
        <w:tc>
          <w:tcPr>
            <w:tcW w:type="dxa" w:w="1361"/>
            <w:vAlign w:val="center"/>
          </w:tcPr>
          <w:p>
            <w:pPr>
              <w:jc w:val="center"/>
            </w:pPr>
            <w:r/>
            <w:r>
              <w:rPr>
                <w:b w:val="0"/>
                <w:sz w:val="18"/>
              </w:rPr>
              <w:t>待补充</w:t>
            </w:r>
          </w:p>
        </w:tc>
        <w:tc>
          <w:tcPr>
            <w:tcW w:type="dxa" w:w="1020"/>
            <w:vAlign w:val="center"/>
          </w:tcPr>
          <w:p>
            <w:pPr>
              <w:jc w:val="center"/>
            </w:pPr>
            <w:r/>
            <w:r>
              <w:rPr>
                <w:b w:val="0"/>
                <w:sz w:val="18"/>
              </w:rPr>
              <w:t>待补充</w:t>
            </w:r>
          </w:p>
        </w:tc>
        <w:tc>
          <w:tcPr>
            <w:tcW w:type="dxa" w:w="1020"/>
            <w:vAlign w:val="center"/>
          </w:tcPr>
          <w:p>
            <w:pPr>
              <w:jc w:val="center"/>
            </w:pPr>
            <w:r/>
            <w:r>
              <w:rPr>
                <w:b w:val="0"/>
                <w:sz w:val="18"/>
              </w:rPr>
              <w:t>待补充</w:t>
            </w:r>
          </w:p>
        </w:tc>
        <w:tc>
          <w:tcPr>
            <w:tcW w:type="dxa" w:w="850"/>
            <w:vAlign w:val="center"/>
          </w:tcPr>
          <w:p>
            <w:pPr>
              <w:jc w:val="center"/>
            </w:pPr>
            <w:r/>
            <w:r>
              <w:rPr>
                <w:b w:val="0"/>
                <w:sz w:val="18"/>
              </w:rPr>
              <w:t>待补充</w:t>
            </w:r>
          </w:p>
        </w:tc>
        <w:tc>
          <w:tcPr>
            <w:tcW w:type="dxa" w:w="1701"/>
            <w:vAlign w:val="center"/>
          </w:tcPr>
          <w:p>
            <w:pPr>
              <w:jc w:val="center"/>
            </w:pPr>
            <w:r/>
            <w:r>
              <w:rPr>
                <w:b w:val="0"/>
                <w:sz w:val="18"/>
              </w:rPr>
              <w:t>待补充</w:t>
            </w:r>
          </w:p>
        </w:tc>
      </w:tr>
      <w:tr>
        <w:tc>
          <w:tcPr>
            <w:tcW w:type="dxa" w:w="1814"/>
            <w:vAlign w:val="center"/>
            <w:shd w:fill="D9EAF7"/>
          </w:tcPr>
          <w:p>
            <w:pPr>
              <w:jc w:val="center"/>
            </w:pPr>
            <w:r/>
            <w:r>
              <w:rPr>
                <w:b w:val="0"/>
                <w:sz w:val="18"/>
              </w:rPr>
              <w:t>Transformer</w:t>
            </w:r>
          </w:p>
        </w:tc>
        <w:tc>
          <w:tcPr>
            <w:tcW w:type="dxa" w:w="1814"/>
            <w:vAlign w:val="center"/>
          </w:tcPr>
          <w:p>
            <w:pPr>
              <w:jc w:val="center"/>
            </w:pPr>
            <w:r/>
            <w:r>
              <w:rPr>
                <w:b w:val="0"/>
                <w:sz w:val="18"/>
              </w:rPr>
              <w:t>target_edacm_vmd</w:t>
            </w:r>
          </w:p>
        </w:tc>
        <w:tc>
          <w:tcPr>
            <w:tcW w:type="dxa" w:w="1361"/>
            <w:vAlign w:val="center"/>
          </w:tcPr>
          <w:p>
            <w:pPr>
              <w:jc w:val="center"/>
            </w:pPr>
            <w:r/>
            <w:r>
              <w:rPr>
                <w:b w:val="0"/>
                <w:sz w:val="18"/>
              </w:rPr>
              <w:t>待补充</w:t>
            </w:r>
          </w:p>
        </w:tc>
        <w:tc>
          <w:tcPr>
            <w:tcW w:type="dxa" w:w="1361"/>
            <w:vAlign w:val="center"/>
          </w:tcPr>
          <w:p>
            <w:pPr>
              <w:jc w:val="center"/>
            </w:pPr>
            <w:r/>
            <w:r>
              <w:rPr>
                <w:b w:val="0"/>
                <w:sz w:val="18"/>
              </w:rPr>
              <w:t>待补充</w:t>
            </w:r>
          </w:p>
        </w:tc>
        <w:tc>
          <w:tcPr>
            <w:tcW w:type="dxa" w:w="1020"/>
            <w:vAlign w:val="center"/>
          </w:tcPr>
          <w:p>
            <w:pPr>
              <w:jc w:val="center"/>
            </w:pPr>
            <w:r/>
            <w:r>
              <w:rPr>
                <w:b w:val="0"/>
                <w:sz w:val="18"/>
              </w:rPr>
              <w:t>待补充</w:t>
            </w:r>
          </w:p>
        </w:tc>
        <w:tc>
          <w:tcPr>
            <w:tcW w:type="dxa" w:w="1020"/>
            <w:vAlign w:val="center"/>
          </w:tcPr>
          <w:p>
            <w:pPr>
              <w:jc w:val="center"/>
            </w:pPr>
            <w:r/>
            <w:r>
              <w:rPr>
                <w:b w:val="0"/>
                <w:sz w:val="18"/>
              </w:rPr>
              <w:t>待补充</w:t>
            </w:r>
          </w:p>
        </w:tc>
        <w:tc>
          <w:tcPr>
            <w:tcW w:type="dxa" w:w="850"/>
            <w:vAlign w:val="center"/>
          </w:tcPr>
          <w:p>
            <w:pPr>
              <w:jc w:val="center"/>
            </w:pPr>
            <w:r/>
            <w:r>
              <w:rPr>
                <w:b w:val="0"/>
                <w:sz w:val="18"/>
              </w:rPr>
              <w:t>待补充</w:t>
            </w:r>
          </w:p>
        </w:tc>
        <w:tc>
          <w:tcPr>
            <w:tcW w:type="dxa" w:w="1701"/>
            <w:vAlign w:val="center"/>
          </w:tcPr>
          <w:p>
            <w:pPr>
              <w:jc w:val="center"/>
            </w:pPr>
            <w:r/>
            <w:r>
              <w:rPr>
                <w:b w:val="0"/>
                <w:sz w:val="18"/>
              </w:rPr>
              <w:t>待补充</w:t>
            </w:r>
          </w:p>
        </w:tc>
      </w:tr>
    </w:tbl>
    <w:p/>
    <w:p>
      <w:pPr>
        <w:pStyle w:val="Heading2"/>
      </w:pPr>
      <w:r>
        <w:rPr>
          <w:rFonts w:ascii="宋体" w:hAnsi="宋体" w:eastAsia="宋体"/>
          <w:color w:val="1F4E79"/>
        </w:rPr>
        <w:t>6.3 跨域迁移性能（待补充）</w:t>
      </w:r>
    </w:p>
    <w:p>
      <w:pPr>
        <w:spacing w:line="324" w:lineRule="auto" w:after="80"/>
        <w:ind w:firstLine="420"/>
      </w:pPr>
      <w:r/>
      <w:r>
        <w:rPr>
          <w:rFonts w:ascii="宋体" w:hAnsi="宋体" w:eastAsia="宋体"/>
          <w:b w:val="0"/>
          <w:sz w:val="21"/>
        </w:rPr>
        <w:t>本节后续应重点比较Direct Transfer、经典UDA和本文Source-Free/时序修正方法在目标域上的MAE变化，报告相对直接迁移的改进率，并按数据集、受试者和场景进行误差分解。跨域测试协议已确定为：使用源数据集train/val训练和选模，目标数据集test划分仅用于最终跨域测试。目标域适配方法若使用无标签目标数据，应明确其使用的是目标域训练/未标注部分还是测试流，并避免将目标域测试标签泄漏到适配过程。</w:t>
      </w:r>
    </w:p>
    <w:p>
      <w:pPr>
        <w:pStyle w:val="Heading2"/>
      </w:pPr>
      <w:r>
        <w:rPr>
          <w:rFonts w:ascii="宋体" w:hAnsi="宋体" w:eastAsia="宋体"/>
          <w:color w:val="1F4E79"/>
        </w:rPr>
        <w:t>6.4 消融分析（待补充）</w:t>
      </w:r>
    </w:p>
    <w:p>
      <w:pPr>
        <w:spacing w:line="324" w:lineRule="auto" w:after="80"/>
        <w:ind w:firstLine="420"/>
      </w:pPr>
      <w:r>
        <w:rPr>
          <w:rFonts w:ascii="宋体" w:hAnsi="宋体" w:eastAsia="宋体"/>
          <w:sz w:val="21"/>
        </w:rPr>
        <w:t>本节后续应回答三个核心问题：RDA统一空间是否有效，VMD是否有效，跨域适配是否有效。建议将消融结果与方法章节中的每个模块逐一对应，避免只给总表而缺少解释。</w:t>
      </w:r>
    </w:p>
    <w:p>
      <w:pPr>
        <w:pStyle w:val="Heading2"/>
      </w:pPr>
      <w:r>
        <w:rPr>
          <w:rFonts w:ascii="宋体" w:hAnsi="宋体" w:eastAsia="宋体"/>
          <w:color w:val="1F4E79"/>
        </w:rPr>
        <w:t>6.5 失败案例分析（待补充）</w:t>
      </w:r>
    </w:p>
    <w:p>
      <w:pPr>
        <w:spacing w:line="324" w:lineRule="auto" w:after="80"/>
        <w:ind w:firstLine="420"/>
      </w:pPr>
      <w:r>
        <w:rPr>
          <w:rFonts w:ascii="宋体" w:hAnsi="宋体" w:eastAsia="宋体"/>
          <w:sz w:val="21"/>
        </w:rPr>
        <w:t>后续应选取误差最大的若干窗口，结合RDA能量分布、相位序列、VMD模态谱和参考标签时间轴分析失败原因。可能原因包括目标bin选择错误、运动伪峰、标签派生异常、呼吸谐波干扰心率频带和长时漂移。</w:t>
      </w:r>
    </w:p>
    <w:p>
      <w:pPr>
        <w:pStyle w:val="Heading1"/>
      </w:pPr>
      <w:r>
        <w:rPr>
          <w:rFonts w:ascii="宋体" w:hAnsi="宋体" w:eastAsia="宋体"/>
          <w:color w:val="1F4E79"/>
        </w:rPr>
        <w:t>第7章 讨论</w:t>
      </w:r>
    </w:p>
    <w:p>
      <w:pPr>
        <w:pStyle w:val="Heading2"/>
      </w:pPr>
      <w:r>
        <w:rPr>
          <w:rFonts w:ascii="宋体" w:hAnsi="宋体" w:eastAsia="宋体"/>
          <w:color w:val="1F4E79"/>
        </w:rPr>
        <w:t>7.1 关于RDA空间特征创新性的讨论</w:t>
      </w:r>
    </w:p>
    <w:p>
      <w:pPr>
        <w:spacing w:line="324" w:lineRule="auto" w:after="80"/>
        <w:ind w:firstLine="420"/>
      </w:pPr>
      <w:r/>
      <w:r>
        <w:rPr>
          <w:rFonts w:ascii="宋体" w:hAnsi="宋体" w:eastAsia="宋体"/>
          <w:sz w:val="21"/>
        </w:rPr>
        <w:t>从论文创新性角度看，RDA空间特征应被谨慎表述。RDA变换是雷达信号处理中已有的标准表示，不宜单独作为创新点。本文将其改进为“面向跨域生命体征检测的RDA空间稳定微动区域建模”：首先将不同数据集统一到相同RDA轴语义和固定尺寸；其次对候选目标bin计算生命体征稳定性评分，评分由空间能量、相位稳定性、心率频带谱峰和窗口内空间一致性组成；最后将该空间稳定性写入窗口元信息，作为Source-Free目标域伪标签置信度的一部分。因此，本文的创新点不是使用RDA本身，而是把RDA空间结构转化为目标微动选择和跨域自适应置信度建模的物理先验。</w:t>
      </w:r>
    </w:p>
    <w:p>
      <w:pPr>
        <w:pStyle w:val="Heading2"/>
      </w:pPr>
      <w:r>
        <w:rPr>
          <w:rFonts w:ascii="宋体" w:hAnsi="宋体" w:eastAsia="宋体"/>
          <w:color w:val="1F4E79"/>
        </w:rPr>
        <w:t>7.2 关于VMD创新性的讨论</w:t>
      </w:r>
    </w:p>
    <w:p>
      <w:pPr>
        <w:spacing w:line="324" w:lineRule="auto" w:after="80"/>
        <w:ind w:firstLine="420"/>
      </w:pPr>
      <w:r>
        <w:rPr>
          <w:rFonts w:ascii="宋体" w:hAnsi="宋体" w:eastAsia="宋体"/>
          <w:sz w:val="21"/>
        </w:rPr>
        <w:t>VMD本身也是成熟信号分解方法。本文若仅使用固定参数VMD，创新性有限，更适合作为有效前端模块。为了提升论文贡献，建议围绕“自适应模态选择”和“生理先验约束”展开。具体而言，可根据心率合理范围、谱峰置信度、模态能量、跨窗口连续性和模型不确定性对VMD模态赋权；也可以在训练中引入模态dropout，使模型不过度依赖某个固定模态。这样可以将VMD从普通预处理提升为面向跨域鲁棒性的特征增强策略。</w:t>
      </w:r>
    </w:p>
    <w:p>
      <w:pPr>
        <w:pStyle w:val="Heading2"/>
      </w:pPr>
      <w:r>
        <w:rPr>
          <w:rFonts w:ascii="宋体" w:hAnsi="宋体" w:eastAsia="宋体"/>
          <w:color w:val="1F4E79"/>
        </w:rPr>
        <w:t>7.3 关于跨域方法选择的讨论</w:t>
      </w:r>
    </w:p>
    <w:p>
      <w:pPr>
        <w:spacing w:line="324" w:lineRule="auto" w:after="80"/>
        <w:ind w:firstLine="420"/>
      </w:pPr>
      <w:r/>
      <w:r>
        <w:rPr>
          <w:rFonts w:ascii="宋体" w:hAnsi="宋体" w:eastAsia="宋体"/>
          <w:b w:val="0"/>
          <w:sz w:val="21"/>
        </w:rPr>
        <w:t>对于硕士论文第二研究点，建议将Source-Free作为主线是合理的，但需要明确它不是简单套用现有分类UDA框架。本文的出发点应写清楚：雷达生命体征数据具有隐私属性，跨设备部署时常常不能保留或共享源域原始数据；目标域又往往缺少人工标注，只能获得连续无标签雷达流。在这种约束下，经典UDA方法可作为对照，但主方法应转向Source-Free目标域自适应。本文进一步将Source-Free改造成适合心率回归的形式，用RDA空间稳定性和VMD生理频带证据评估伪标签可靠性，用时序连续性修正连续心率预测，从而形成区别于普通Source-Free分类方法的任务特化贡献。</w:t>
      </w:r>
    </w:p>
    <w:p>
      <w:pPr>
        <w:pStyle w:val="Heading1"/>
      </w:pPr>
      <w:r>
        <w:rPr>
          <w:rFonts w:ascii="宋体" w:hAnsi="宋体" w:eastAsia="宋体"/>
          <w:color w:val="1F4E79"/>
        </w:rPr>
        <w:t>第8章 结论与后续工作</w:t>
      </w:r>
    </w:p>
    <w:p>
      <w:pPr>
        <w:spacing w:line="324" w:lineRule="auto" w:after="80"/>
        <w:ind w:firstLine="420"/>
      </w:pPr>
      <w:r>
        <w:rPr>
          <w:rFonts w:ascii="宋体" w:hAnsi="宋体" w:eastAsia="宋体"/>
          <w:sz w:val="21"/>
        </w:rPr>
        <w:t>本文初稿围绕雷达生命体征检测中的跨域泛化问题，提出了由统一RDA空间表示、目标相位增强、VMD时频特征和跨域适配策略构成的完整研究方案。当前代码已经支持三数据集统一导出、窗口化训练样本构建、三类深度回归模型训练和跨数据集评估，为后续实验验证提供了基础。</w:t>
      </w:r>
    </w:p>
    <w:p>
      <w:pPr>
        <w:spacing w:line="324" w:lineRule="auto" w:after="80"/>
        <w:ind w:firstLine="420"/>
      </w:pPr>
      <w:r/>
      <w:r>
        <w:rPr>
          <w:rFonts w:ascii="宋体" w:hAnsi="宋体" w:eastAsia="宋体"/>
          <w:b w:val="0"/>
          <w:sz w:val="21"/>
        </w:rPr>
        <w:t>后续工作包括：第一，补齐PyTorch环境和数据集路径，完成小规模端到端smoke test；第二，系统运行源域内和跨域直接迁移实验，获得基线结果；第三，实现DANN、MMD、CORAL作为经典对照；第四，优先实现以Source-Free为主线的Physio-SFUDA-WPL和Temporal Correction SFUDA，验证目标域无标签适配效果；第五，完成RDA、EDACM、VMD、频域分支和Source-Free置信度模块的消融实验；第六，整理失败样本和论文图表，形成最终论文结果章节。</w:t>
      </w:r>
    </w:p>
    <w:p>
      <w:pPr>
        <w:pStyle w:val="Heading1"/>
      </w:pPr>
      <w:r>
        <w:rPr>
          <w:rFonts w:ascii="宋体" w:hAnsi="宋体" w:eastAsia="宋体"/>
          <w:color w:val="1F4E79"/>
        </w:rPr>
        <w:t>参考文献（初稿，后续需按学校格式整理）</w:t>
      </w:r>
    </w:p>
    <w:p>
      <w:pPr>
        <w:pStyle w:val="ListNumber"/>
        <w:spacing w:line="276" w:lineRule="auto" w:after="40"/>
      </w:pPr>
      <w:r>
        <w:rPr>
          <w:rFonts w:ascii="Times New Roman" w:hAnsi="Times New Roman"/>
          <w:sz w:val="19"/>
        </w:rPr>
        <w:t>Ganin Y., Ustinova E., Ajakan H., et al. Domain-Adversarial Training of Neural Networks. JMLR, 2016.</w:t>
      </w:r>
    </w:p>
    <w:p>
      <w:pPr>
        <w:pStyle w:val="ListNumber"/>
        <w:spacing w:line="276" w:lineRule="auto" w:after="40"/>
      </w:pPr>
      <w:r>
        <w:rPr>
          <w:rFonts w:ascii="Times New Roman" w:hAnsi="Times New Roman"/>
          <w:sz w:val="19"/>
        </w:rPr>
        <w:t>Long M., Cao Y., Wang J., Jordan M. Learning Transferable Features with Deep Adaptation Networks. ICML, 2015.</w:t>
      </w:r>
    </w:p>
    <w:p>
      <w:pPr>
        <w:pStyle w:val="ListNumber"/>
        <w:spacing w:line="276" w:lineRule="auto" w:after="40"/>
      </w:pPr>
      <w:r>
        <w:rPr>
          <w:rFonts w:ascii="Times New Roman" w:hAnsi="Times New Roman"/>
          <w:sz w:val="19"/>
        </w:rPr>
        <w:t>Sun B., Saenko K. Deep CORAL: Correlation Alignment for Deep Domain Adaptation. ECCV Workshops, 2016.</w:t>
      </w:r>
    </w:p>
    <w:p>
      <w:pPr>
        <w:pStyle w:val="ListNumber"/>
        <w:spacing w:line="276" w:lineRule="auto" w:after="40"/>
      </w:pPr>
      <w:r>
        <w:rPr>
          <w:rFonts w:ascii="Times New Roman" w:hAnsi="Times New Roman"/>
          <w:sz w:val="19"/>
        </w:rPr>
        <w:t>Liang J., Hu D., Feng J. Do We Really Need to Access the Source Data? Source Hypothesis Transfer for Unsupervised Domain Adaptation. ICML, 2020.</w:t>
      </w:r>
    </w:p>
    <w:p>
      <w:pPr>
        <w:pStyle w:val="ListNumber"/>
        <w:spacing w:line="276" w:lineRule="auto" w:after="40"/>
      </w:pPr>
      <w:r>
        <w:rPr>
          <w:rFonts w:ascii="Times New Roman" w:hAnsi="Times New Roman"/>
          <w:sz w:val="19"/>
        </w:rPr>
        <w:t>Wang D., Shelhamer E., Liu S., Olshausen B., Darrell T. Tent: Fully Test-Time Adaptation by Entropy Minimization. ICLR, 2021.</w:t>
      </w:r>
    </w:p>
    <w:p>
      <w:pPr>
        <w:pStyle w:val="ListNumber"/>
        <w:spacing w:line="276" w:lineRule="auto" w:after="40"/>
      </w:pPr>
      <w:r>
        <w:rPr>
          <w:rFonts w:ascii="Times New Roman" w:hAnsi="Times New Roman"/>
          <w:sz w:val="19"/>
        </w:rPr>
        <w:t>Dragomiretskiy K., Zosso D. Variational Mode Decomposition. IEEE Transactions on Signal Processing, 2014.</w:t>
      </w:r>
    </w:p>
    <w:p>
      <w:pPr>
        <w:pStyle w:val="ListNumber"/>
        <w:spacing w:line="276" w:lineRule="auto" w:after="40"/>
      </w:pPr>
      <w:r>
        <w:rPr>
          <w:rFonts w:ascii="Times New Roman" w:hAnsi="Times New Roman"/>
          <w:sz w:val="19"/>
        </w:rPr>
        <w:t>Source-free domain adaptation for unsupervised radar-based human activity recognition. Pattern Recognition, 2026.</w:t>
      </w:r>
    </w:p>
    <w:p>
      <w:pPr>
        <w:pStyle w:val="ListNumber"/>
        <w:spacing w:line="276" w:lineRule="auto" w:after="40"/>
      </w:pPr>
      <w:r>
        <w:rPr>
          <w:rFonts w:ascii="Times New Roman" w:hAnsi="Times New Roman"/>
          <w:sz w:val="19"/>
        </w:rPr>
        <w:t>PhysDrive: A Multimodal Remote Physiological Measurement Dataset for In-vehicle Driver Monitoring. arXiv, 2025.</w:t>
      </w:r>
    </w:p>
    <w:p>
      <w:pPr>
        <w:pStyle w:val="ListNumber"/>
        <w:spacing w:line="276" w:lineRule="auto" w:after="40"/>
      </w:pPr>
      <w:r>
        <w:rPr>
          <w:rFonts w:ascii="Times New Roman" w:hAnsi="Times New Roman"/>
          <w:sz w:val="19"/>
        </w:rPr>
        <w:t>GaitSADA: Self-supervised adversarial domain adaptation for mmWave gait recognition. arXiv, 2023.</w:t>
      </w:r>
    </w:p>
    <w:p>
      <w:pPr>
        <w:pStyle w:val="ListNumber"/>
        <w:spacing w:line="276" w:lineRule="auto" w:after="40"/>
      </w:pPr>
      <w:r>
        <w:rPr>
          <w:rFonts w:ascii="Times New Roman" w:hAnsi="Times New Roman"/>
          <w:sz w:val="19"/>
        </w:rPr>
        <w:t>Pi-ViMo: Physiology-inspired robust vital sign monitoring with mmWave radar. arXiv, 2023.</w:t>
      </w:r>
    </w:p>
    <w:p>
      <w:pPr>
        <w:pStyle w:val="Heading1"/>
      </w:pPr>
      <w:r>
        <w:rPr>
          <w:rFonts w:ascii="宋体" w:hAnsi="宋体" w:eastAsia="宋体"/>
          <w:color w:val="1F4E79"/>
        </w:rPr>
        <w:t>附录A 当前代码与论文方法对应关系</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1F4E79"/>
          </w:tcPr>
          <w:p>
            <w:pPr>
              <w:jc w:val="center"/>
            </w:pPr>
            <w:r/>
            <w:r>
              <w:rPr>
                <w:b/>
                <w:color w:val="FFFFFF"/>
                <w:sz w:val="18"/>
              </w:rPr>
              <w:t>论文模块</w:t>
            </w:r>
          </w:p>
        </w:tc>
        <w:tc>
          <w:tcPr>
            <w:tcW w:type="dxa" w:w="3685"/>
            <w:vAlign w:val="center"/>
            <w:shd w:fill="1F4E79"/>
          </w:tcPr>
          <w:p>
            <w:pPr>
              <w:jc w:val="center"/>
            </w:pPr>
            <w:r/>
            <w:r>
              <w:rPr>
                <w:b/>
                <w:color w:val="FFFFFF"/>
                <w:sz w:val="18"/>
              </w:rPr>
              <w:t>代码文件</w:t>
            </w:r>
          </w:p>
        </w:tc>
        <w:tc>
          <w:tcPr>
            <w:tcW w:type="dxa" w:w="3685"/>
            <w:vAlign w:val="center"/>
            <w:shd w:fill="1F4E79"/>
          </w:tcPr>
          <w:p>
            <w:pPr>
              <w:jc w:val="center"/>
            </w:pPr>
            <w:r/>
            <w:r>
              <w:rPr>
                <w:b/>
                <w:color w:val="FFFFFF"/>
                <w:sz w:val="18"/>
              </w:rPr>
              <w:t>说明</w:t>
            </w:r>
          </w:p>
        </w:tc>
      </w:tr>
      <w:tr>
        <w:tc>
          <w:tcPr>
            <w:tcW w:type="dxa" w:w="2268"/>
            <w:vAlign w:val="center"/>
            <w:shd w:fill="D9EAF7"/>
          </w:tcPr>
          <w:p>
            <w:pPr>
              <w:jc w:val="center"/>
            </w:pPr>
            <w:r/>
            <w:r>
              <w:rPr>
                <w:b w:val="0"/>
                <w:sz w:val="18"/>
              </w:rPr>
              <w:t>数据加载</w:t>
            </w:r>
          </w:p>
        </w:tc>
        <w:tc>
          <w:tcPr>
            <w:tcW w:type="dxa" w:w="3685"/>
            <w:vAlign w:val="center"/>
          </w:tcPr>
          <w:p>
            <w:pPr>
              <w:jc w:val="left"/>
            </w:pPr>
            <w:r/>
            <w:r>
              <w:rPr>
                <w:b w:val="0"/>
                <w:sz w:val="18"/>
              </w:rPr>
              <w:t>src/data/loaders/*.py</w:t>
            </w:r>
          </w:p>
        </w:tc>
        <w:tc>
          <w:tcPr>
            <w:tcW w:type="dxa" w:w="3685"/>
            <w:vAlign w:val="center"/>
          </w:tcPr>
          <w:p>
            <w:pPr>
              <w:jc w:val="center"/>
            </w:pPr>
            <w:r/>
            <w:r>
              <w:rPr>
                <w:b w:val="0"/>
                <w:sz w:val="18"/>
              </w:rPr>
              <w:t>三个数据集加载器</w:t>
            </w:r>
          </w:p>
        </w:tc>
      </w:tr>
      <w:tr>
        <w:tc>
          <w:tcPr>
            <w:tcW w:type="dxa" w:w="2268"/>
            <w:vAlign w:val="center"/>
            <w:shd w:fill="D9EAF7"/>
          </w:tcPr>
          <w:p>
            <w:pPr>
              <w:jc w:val="center"/>
            </w:pPr>
            <w:r/>
            <w:r>
              <w:rPr>
                <w:b w:val="0"/>
                <w:sz w:val="18"/>
              </w:rPr>
              <w:t>统一导出</w:t>
            </w:r>
          </w:p>
        </w:tc>
        <w:tc>
          <w:tcPr>
            <w:tcW w:type="dxa" w:w="3685"/>
            <w:vAlign w:val="center"/>
          </w:tcPr>
          <w:p>
            <w:pPr>
              <w:jc w:val="left"/>
            </w:pPr>
            <w:r/>
            <w:r>
              <w:rPr>
                <w:b w:val="0"/>
                <w:sz w:val="18"/>
              </w:rPr>
              <w:t>src/data/loaders/export_all_datasets.py</w:t>
            </w:r>
          </w:p>
        </w:tc>
        <w:tc>
          <w:tcPr>
            <w:tcW w:type="dxa" w:w="3685"/>
            <w:vAlign w:val="center"/>
          </w:tcPr>
          <w:p>
            <w:pPr>
              <w:jc w:val="left"/>
            </w:pPr>
            <w:r/>
            <w:r>
              <w:rPr>
                <w:b w:val="0"/>
                <w:sz w:val="18"/>
              </w:rPr>
              <w:t>RDA对齐、标签统一、manifest生成</w:t>
            </w:r>
          </w:p>
        </w:tc>
      </w:tr>
      <w:tr>
        <w:tc>
          <w:tcPr>
            <w:tcW w:type="dxa" w:w="2268"/>
            <w:vAlign w:val="center"/>
            <w:shd w:fill="D9EAF7"/>
          </w:tcPr>
          <w:p>
            <w:pPr>
              <w:jc w:val="center"/>
            </w:pPr>
            <w:r/>
            <w:r>
              <w:rPr>
                <w:b w:val="0"/>
                <w:sz w:val="18"/>
              </w:rPr>
              <w:t>训练样本构建</w:t>
            </w:r>
          </w:p>
        </w:tc>
        <w:tc>
          <w:tcPr>
            <w:tcW w:type="dxa" w:w="3685"/>
            <w:vAlign w:val="center"/>
          </w:tcPr>
          <w:p>
            <w:pPr>
              <w:jc w:val="left"/>
            </w:pPr>
            <w:r/>
            <w:r>
              <w:rPr>
                <w:b w:val="0"/>
                <w:sz w:val="18"/>
              </w:rPr>
              <w:t>src/data/build_training_dataset.py</w:t>
            </w:r>
          </w:p>
        </w:tc>
        <w:tc>
          <w:tcPr>
            <w:tcW w:type="dxa" w:w="3685"/>
            <w:vAlign w:val="center"/>
          </w:tcPr>
          <w:p>
            <w:pPr>
              <w:jc w:val="left"/>
            </w:pPr>
            <w:r/>
            <w:r>
              <w:rPr>
                <w:b w:val="0"/>
                <w:sz w:val="18"/>
              </w:rPr>
              <w:t>窗口切片、EDACM、VMD、频域特征</w:t>
            </w:r>
          </w:p>
        </w:tc>
      </w:tr>
      <w:tr>
        <w:tc>
          <w:tcPr>
            <w:tcW w:type="dxa" w:w="2268"/>
            <w:vAlign w:val="center"/>
            <w:shd w:fill="D9EAF7"/>
          </w:tcPr>
          <w:p>
            <w:pPr>
              <w:jc w:val="center"/>
            </w:pPr>
            <w:r/>
            <w:r>
              <w:rPr>
                <w:b w:val="0"/>
                <w:sz w:val="18"/>
              </w:rPr>
              <w:t>数据读取</w:t>
            </w:r>
          </w:p>
        </w:tc>
        <w:tc>
          <w:tcPr>
            <w:tcW w:type="dxa" w:w="3685"/>
            <w:vAlign w:val="center"/>
          </w:tcPr>
          <w:p>
            <w:pPr>
              <w:jc w:val="left"/>
            </w:pPr>
            <w:r/>
            <w:r>
              <w:rPr>
                <w:b w:val="0"/>
                <w:sz w:val="18"/>
              </w:rPr>
              <w:t>src/training/datasets.py</w:t>
            </w:r>
          </w:p>
        </w:tc>
        <w:tc>
          <w:tcPr>
            <w:tcW w:type="dxa" w:w="3685"/>
            <w:vAlign w:val="center"/>
          </w:tcPr>
          <w:p>
            <w:pPr>
              <w:jc w:val="left"/>
            </w:pPr>
            <w:r/>
            <w:r>
              <w:rPr>
                <w:b w:val="0"/>
                <w:sz w:val="18"/>
              </w:rPr>
              <w:t>RadarWindowDataset和label stats</w:t>
            </w:r>
          </w:p>
        </w:tc>
      </w:tr>
      <w:tr>
        <w:tc>
          <w:tcPr>
            <w:tcW w:type="dxa" w:w="2268"/>
            <w:vAlign w:val="center"/>
            <w:shd w:fill="D9EAF7"/>
          </w:tcPr>
          <w:p>
            <w:pPr>
              <w:jc w:val="center"/>
            </w:pPr>
            <w:r/>
            <w:r>
              <w:rPr>
                <w:b w:val="0"/>
                <w:sz w:val="18"/>
              </w:rPr>
              <w:t>训练</w:t>
            </w:r>
          </w:p>
        </w:tc>
        <w:tc>
          <w:tcPr>
            <w:tcW w:type="dxa" w:w="3685"/>
            <w:vAlign w:val="center"/>
          </w:tcPr>
          <w:p>
            <w:pPr>
              <w:jc w:val="left"/>
            </w:pPr>
            <w:r/>
            <w:r>
              <w:rPr>
                <w:b w:val="0"/>
                <w:sz w:val="18"/>
              </w:rPr>
              <w:t>src/training/train_model.py</w:t>
            </w:r>
          </w:p>
        </w:tc>
        <w:tc>
          <w:tcPr>
            <w:tcW w:type="dxa" w:w="3685"/>
            <w:vAlign w:val="center"/>
          </w:tcPr>
          <w:p>
            <w:pPr>
              <w:jc w:val="left"/>
            </w:pPr>
            <w:r/>
            <w:r>
              <w:rPr>
                <w:b w:val="0"/>
                <w:sz w:val="18"/>
              </w:rPr>
              <w:t>模型训练、early stopping、checkpoint保存</w:t>
            </w:r>
          </w:p>
        </w:tc>
      </w:tr>
      <w:tr>
        <w:tc>
          <w:tcPr>
            <w:tcW w:type="dxa" w:w="2268"/>
            <w:vAlign w:val="center"/>
            <w:shd w:fill="D9EAF7"/>
          </w:tcPr>
          <w:p>
            <w:pPr>
              <w:jc w:val="center"/>
            </w:pPr>
            <w:r/>
            <w:r>
              <w:rPr>
                <w:b w:val="0"/>
                <w:sz w:val="18"/>
              </w:rPr>
              <w:t>评估</w:t>
            </w:r>
          </w:p>
        </w:tc>
        <w:tc>
          <w:tcPr>
            <w:tcW w:type="dxa" w:w="3685"/>
            <w:vAlign w:val="center"/>
          </w:tcPr>
          <w:p>
            <w:pPr>
              <w:jc w:val="left"/>
            </w:pPr>
            <w:r/>
            <w:r>
              <w:rPr>
                <w:b w:val="0"/>
                <w:sz w:val="18"/>
              </w:rPr>
              <w:t>src/training/evaluate_model.py</w:t>
            </w:r>
          </w:p>
        </w:tc>
        <w:tc>
          <w:tcPr>
            <w:tcW w:type="dxa" w:w="3685"/>
            <w:vAlign w:val="center"/>
          </w:tcPr>
          <w:p>
            <w:pPr>
              <w:jc w:val="center"/>
            </w:pPr>
            <w:r/>
            <w:r>
              <w:rPr>
                <w:b w:val="0"/>
                <w:sz w:val="18"/>
              </w:rPr>
              <w:t>跨数据集评估与分组指标</w:t>
            </w:r>
          </w:p>
        </w:tc>
      </w:tr>
      <w:tr>
        <w:tc>
          <w:tcPr>
            <w:tcW w:type="dxa" w:w="2268"/>
            <w:vAlign w:val="center"/>
            <w:shd w:fill="D9EAF7"/>
          </w:tcPr>
          <w:p>
            <w:pPr>
              <w:jc w:val="center"/>
            </w:pPr>
            <w:r/>
            <w:r>
              <w:rPr>
                <w:b w:val="0"/>
                <w:sz w:val="18"/>
              </w:rPr>
              <w:t>模型</w:t>
            </w:r>
          </w:p>
        </w:tc>
        <w:tc>
          <w:tcPr>
            <w:tcW w:type="dxa" w:w="3685"/>
            <w:vAlign w:val="center"/>
          </w:tcPr>
          <w:p>
            <w:pPr>
              <w:jc w:val="center"/>
            </w:pPr>
            <w:r/>
            <w:r>
              <w:rPr>
                <w:b w:val="0"/>
                <w:sz w:val="18"/>
              </w:rPr>
              <w:t>src/models/*.py</w:t>
            </w:r>
          </w:p>
        </w:tc>
        <w:tc>
          <w:tcPr>
            <w:tcW w:type="dxa" w:w="3685"/>
            <w:vAlign w:val="center"/>
          </w:tcPr>
          <w:p>
            <w:pPr>
              <w:jc w:val="left"/>
            </w:pPr>
            <w:r/>
            <w:r>
              <w:rPr>
                <w:b w:val="0"/>
                <w:sz w:val="18"/>
              </w:rPr>
              <w:t>HeartTimeMixer、TCN、Transformer</w:t>
            </w:r>
          </w:p>
        </w:tc>
      </w:tr>
    </w:tbl>
    <w:p/>
    <w:p/>
    <w:p/>
    <w:p/>
    <w:p/>
    <w:p/>
    <w:p/>
    <w:p/>
    <w:p/>
    <w:p/>
    <w:sectPr w:rsidR="00FC693F" w:rsidRPr="0006063C" w:rsidSect="00034616">
      <w:footerReference w:type="default" r:id="rId9"/>
      <w:pgSz w:w="12240" w:h="15840"/>
      <w:pgMar w:top="1417"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雷达生命体征跨域泛化研究初稿 - 实验结果待补充</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