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ГОСУДАРСТВЕННОЕ УЧРЕЖДЕНИЕ ОБРАЗОВАНИЯ</w:t>
      </w: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«МИНСКИЙ ГОСУДАРСТВЕННЫЙ КОЛЛЕДЖ</w:t>
      </w: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ЭЛЕКТРОНИКИ»</w:t>
      </w: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32"/>
        </w:rPr>
        <w:t>ОТЧЁТ</w:t>
      </w: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32"/>
        </w:rPr>
        <w:t>ПО ФУНКЦИОНАЛЬНОМУ ТЕСТИРОВАНИЮ</w:t>
      </w: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32"/>
        </w:rPr>
        <w:t>ПРОЕКТА «GoldPC»</w:t>
      </w: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32"/>
        </w:rPr>
        <w:t>СОДЕРЖАНИЕ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1. Общие сведения о проекте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2. Объект тестирования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3. Методы и средства тестирования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4. Результаты функционального тестирования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5. Выводы</w:t>
      </w:r>
    </w:p>
    <w:p>
      <w:r>
        <w:br w:type="page"/>
      </w:r>
    </w:p>
    <w:p>
      <w:pPr>
        <w:spacing w:before="240" w:after="240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1. Общие сведения о проекте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Проект «GoldPC» представляет собой интернет-магазин персональных компьютеров с функционалом конфигуратора сборки ПК, каталогом товаров, системой заказов, сервисным обслуживанием и гарантийным обслуживанием. Система построена на архитектуре микросервисов и включает следующие компоненты: AuthService, CatalogService, OrdersService, ServicesService, WarrantyService, PCBuilderService, GoldPC.Api.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Стек технологий: ASP.NET Core 8 (бэкенд), React 19 + Vite (фронтенд), PostgreSQL (база данных), gRPC (межсервисное взаимодействие), Redis (кэширование).</w:t>
      </w:r>
    </w:p>
    <w:p>
      <w:pPr>
        <w:spacing w:before="240" w:after="240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2. Объект тестирования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Объектом тестирования является бэкендная часть системы, реализующая бизнес-логику приложения. Функциональное тестирование проводилось на уровне модульных тестов для каждого микросервиса.</w:t>
      </w:r>
    </w:p>
    <w:p>
      <w:pPr>
        <w:spacing w:before="240" w:after="240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3. Методы и средства тестирования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Для функционального тестирования использовались модульные тесты (xUnit, FluentAssertions, Moq), интеграционные тесты (WebApplicationFactory), контрактные тесты (PactNet), in-memory база данных (EF Core InMemory).</w:t>
      </w:r>
    </w:p>
    <w:p>
      <w:pPr>
        <w:spacing w:before="240" w:after="240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 Результаты функционального тестирования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 таблице представлены результаты 7 основных функциональных тестов.</w:t>
      </w:r>
    </w:p>
    <w:p>
      <w:pPr>
        <w:spacing w:before="0" w:after="120"/>
        <w:ind w:firstLine="0"/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№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Тест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Register_ValidRequest (AuthService)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GetProductById (CatalogService)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CreateOrder (OrdersService)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CreateServiceRequest (ServicesService)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CreateWarrantyClaim (WarrantyService)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CheckCompatibility (PCBuilderService)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7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VerifyPact (ContractTests)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before="0" w:after="0"/>
        <w:ind w:firstLine="0"/>
        <w:jc w:val="both"/>
      </w:pP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Всего тестов: 7. Пройдено: 7. Не пройдено: 0.</w:t>
      </w:r>
    </w:p>
    <w:p>
      <w:pPr>
        <w:spacing w:before="240" w:after="240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Скриншоты интерфейсов</w:t>
      </w:r>
    </w:p>
    <w:p>
      <w:pPr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47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front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47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Рис. 1. Интерфейс фронтенда (http://localhost:5173)</w:t>
      </w:r>
    </w:p>
    <w:p>
      <w:pPr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47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atalog_ap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47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Рис. 2. Catalog API (http://localhost:5000/swagger)</w:t>
      </w:r>
    </w:p>
    <w:p>
      <w:pPr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47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uth_ap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47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Рис. 3. Auth API (http://localhost:5001/swagger)</w:t>
      </w:r>
    </w:p>
    <w:p>
      <w:pPr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47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rders_ap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47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Рис. 4. Orders API (http://localhost:5002/swagger)</w:t>
      </w:r>
    </w:p>
    <w:p>
      <w:pPr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756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ervices_ap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75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Рис. 5. Services API (http://localhost:5003/swagger)</w:t>
      </w:r>
    </w:p>
    <w:p>
      <w:pPr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75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warranty_ap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75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Рис. 6. Warranty API (http://localhost:5004/swagger)</w:t>
      </w:r>
    </w:p>
    <w:p>
      <w:pPr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756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cbuilder_ap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75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Рис. 7. PCBuilder API (http://localhost:5005/swagger)</w:t>
      </w:r>
    </w:p>
    <w:p>
      <w:pPr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756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dmin_pane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75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Рис. 8. Admin Panel (http://localhost:5007/health)</w:t>
      </w:r>
    </w:p>
    <w:p>
      <w:pPr>
        <w:spacing w:before="240" w:after="240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5. Выводы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 ходе функционального тестирования проекта «GoldPC» выполнена проверка основных сценариев работы системы. Все 7 тестов прошли успешно, что подтверждает корректность реализации бизнес-логики микросервисов.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