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2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line-grc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20" w:after="120"/>
      </w:pPr>
      <w:r>
        <w:rPr>
          <w:rFonts w:ascii="Calibri" w:hAnsi="Calibri" w:cs="Calibri" w:eastAsia="Calibri"/>
          <w:b/>
          <w:i w:val="0"/>
          <w:color w:val="B8892B"/>
          <w:sz w:val="20"/>
          <w:szCs w:val="20"/>
        </w:rPr>
        <w:t>ÉVALUATION DE CONFORMITÉ</w:t>
      </w:r>
    </w:p>
    <w:p>
      <w:pPr>
        <w:spacing w:before="0" w:after="40" w:line="264" w:lineRule="auto"/>
      </w:pPr>
      <w:r>
        <w:rPr>
          <w:rFonts w:ascii="Calibri" w:hAnsi="Calibri" w:cs="Calibri" w:eastAsia="Calibri"/>
          <w:b/>
          <w:i w:val="0"/>
          <w:color w:val="0A1628"/>
          <w:sz w:val="44"/>
          <w:szCs w:val="44"/>
        </w:rPr>
        <w:t>{{ audit.name }}</w:t>
      </w:r>
    </w:p>
    <w:p>
      <w:pPr>
        <w:spacing w:before="0" w:after="120" w:line="264" w:lineRule="auto"/>
      </w:pPr>
      <w:r>
        <w:rPr>
          <w:rFonts w:ascii="Calibri" w:hAnsi="Calibri" w:cs="Calibri" w:eastAsia="Calibri"/>
          <w:b w:val="0"/>
          <w:i w:val="0"/>
          <w:color w:val="0A1628"/>
          <w:sz w:val="30"/>
          <w:szCs w:val="30"/>
        </w:rPr>
        <w:t>Selon {{ audit.framework.name }}</w:t>
      </w:r>
    </w:p>
    <w:p>
      <w:pPr>
        <w:spacing w:before="0" w:after="120" w:line="264" w:lineRule="auto"/>
      </w:pPr>
      <w:r>
        <w:rPr>
          <w:rFonts w:ascii="Calibri" w:hAnsi="Calibri" w:cs="Calibri" w:eastAsia="Calibri"/>
          <w:b/>
          <w:i w:val="0"/>
          <w:color w:val="1B1F26"/>
          <w:sz w:val="25"/>
          <w:szCs w:val="25"/>
        </w:rPr>
        <w:t>Rapport d'évaluation de conformité</w:t>
      </w:r>
    </w:p>
    <w:p>
      <w:pPr>
        <w:pBdr>
          <w:bottom w:val="single" w:sz="16" w:space="1" w:color="B8892B"/>
        </w:pBdr>
        <w:spacing w:before="0" w:after="280" w:line="240" w:lineRule="auto"/>
      </w:pP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3515"/>
        <w:gridCol w:w="6123"/>
      </w:tblGrid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Entreprise évaluée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fields.company_assessed }}</w:t>
            </w:r>
          </w:p>
        </w:tc>
      </w:tr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Préparé pour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fields.prepared_for }}</w:t>
            </w:r>
          </w:p>
        </w:tc>
      </w:tr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Mission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fields.engagement }}</w:t>
            </w:r>
          </w:p>
        </w:tc>
      </w:tr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Date du rapport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fields.date }}</w:t>
            </w:r>
          </w:p>
        </w:tc>
      </w:tr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Version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fields.version }}</w:t>
            </w:r>
          </w:p>
        </w:tc>
      </w:tr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Évaluateur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fields.assessor }}</w:t>
            </w:r>
          </w:p>
        </w:tc>
      </w:tr>
    </w:tbl>
    <w:p>
      <w:pPr>
        <w:spacing w:before="280" w:after="0" w:line="312" w:lineRule="auto"/>
      </w:pPr>
      <w:r>
        <w:rPr>
          <w:rFonts w:ascii="Calibri" w:hAnsi="Calibri" w:cs="Calibri" w:eastAsia="Calibri"/>
          <w:b/>
          <w:i w:val="0"/>
          <w:color w:val="1B1F26"/>
          <w:sz w:val="18"/>
          <w:szCs w:val="18"/>
        </w:rPr>
        <w:t>Document de travail confidentiel.</w:t>
      </w:r>
      <w:r>
        <w:rPr>
          <w:rFonts w:ascii="Calibri" w:hAnsi="Calibri" w:cs="Calibri" w:eastAsia="Calibri"/>
          <w:b w:val="0"/>
          <w:i w:val="0"/>
          <w:color w:val="5B6470"/>
          <w:sz w:val="18"/>
          <w:szCs w:val="18"/>
        </w:rPr>
        <w:t xml:space="preserve"> Préparé pour {{ client }} et destiné uniquement à sa direction et à ses auditeurs. Ne pas le communiquer à des tiers sans l'accord écrit de {{ brand.company }}. Régi par le droit de l'Angleterre et du pays de Galles.</w:t>
      </w:r>
    </w:p>
    <w:p>
      <w:pPr>
        <w:spacing w:before="0" w:after="0"/>
      </w:pPr>
      <w:r>
        <w:br w:type="page"/>
      </w:r>
    </w:p>
    <w:p>
      <w:pPr>
        <w:spacing w:before="0" w:after="200" w:line="264" w:lineRule="auto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Sommaire</w:t>
      </w:r>
    </w:p>
    <w:p>
      <w:r>
        <w:rPr>
          <w:rFonts w:ascii="Calibri" w:hAnsi="Calibri" w:cs="Calibri" w:eastAsia="Calibri"/>
          <w:color w:val="1B1F26"/>
          <w:sz w:val="21"/>
          <w:szCs w:val="21"/>
        </w:rPr>
        <w:fldChar w:fldCharType="begin"/>
      </w:r>
      <w:r>
        <w:rPr>
          <w:rFonts w:ascii="Calibri" w:hAnsi="Calibri" w:cs="Calibri" w:eastAsia="Calibri"/>
          <w:color w:val="1B1F26"/>
          <w:sz w:val="21"/>
          <w:szCs w:val="21"/>
        </w:rPr>
        <w:instrText xml:space="preserve"> TOC \o "1-2" \h \z \u </w:instrText>
      </w:r>
      <w:r>
        <w:rPr>
          <w:rFonts w:ascii="Calibri" w:hAnsi="Calibri" w:cs="Calibri" w:eastAsia="Calibri"/>
          <w:color w:val="1B1F26"/>
          <w:sz w:val="21"/>
          <w:szCs w:val="21"/>
        </w:rPr>
        <w:fldChar w:fldCharType="separate"/>
      </w:r>
      <w:r>
        <w:rPr>
          <w:rFonts w:ascii="Calibri" w:hAnsi="Calibri" w:cs="Calibri" w:eastAsia="Calibri"/>
          <w:b w:val="0"/>
          <w:i w:val="0"/>
          <w:color w:val="1B1F26"/>
          <w:sz w:val="21"/>
          <w:szCs w:val="21"/>
        </w:rPr>
        <w:t>Clic droit ici puis Mettre à jour les champs pour actualiser le sommaire.</w:t>
      </w:r>
      <w:r>
        <w:rPr>
          <w:rFonts w:ascii="Calibri" w:hAnsi="Calibri" w:cs="Calibri" w:eastAsia="Calibri"/>
          <w:color w:val="1B1F26"/>
          <w:sz w:val="21"/>
          <w:szCs w:val="21"/>
        </w:rPr>
        <w:fldChar w:fldCharType="end"/>
      </w:r>
    </w:p>
    <w:p>
      <w:pPr>
        <w:spacing w:before="0" w:after="0"/>
      </w:pPr>
      <w:r>
        <w:br w:type="page"/>
      </w:r>
    </w:p>
    <w:p>
      <w:pPr>
        <w:spacing w:before="0" w:after="200" w:line="264" w:lineRule="auto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Suivi du document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1417"/>
        <w:gridCol w:w="1701"/>
        <w:gridCol w:w="3969"/>
        <w:gridCol w:w="2551"/>
      </w:tblGrid>
      <w:tr>
        <w:trPr>
          <w:cantSplit/>
          <w:tblHeader/>
        </w:trPr>
        <w:tc>
          <w:tcPr>
            <w:tcW w:type="dxa" w:w="1417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type="dxa" w:w="170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type="dxa" w:w="3969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Auteur</w:t>
            </w:r>
          </w:p>
        </w:tc>
        <w:tc>
          <w:tcPr>
            <w:tcW w:type="dxa" w:w="255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Modification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fields.version }}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fields.date }}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fields.assessor }}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Première émission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1. Synthèse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Périmètre évalué 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{{r fields.scope }}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Description 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{{r fields.description }}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Observations 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{{r fields.observation }}</w:t>
      </w: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0A1628"/>
          <w:sz w:val="25"/>
          <w:szCs w:val="25"/>
        </w:rPr>
        <w:t>Vue d'ensemble des résultats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Nombre d'exigences 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req.total }}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Satisfait</w:t>
            </w:r>
          </w:p>
        </w:tc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Partiellement satisfait</w:t>
            </w:r>
          </w:p>
        </w:tc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Non satisfait</w:t>
            </w:r>
          </w:p>
        </w:tc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Non applicable</w:t>
            </w:r>
          </w:p>
        </w:tc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Non évalué</w:t>
            </w:r>
          </w:p>
        </w:tc>
      </w:tr>
      <w:tr>
        <w:tc>
          <w:tcPr>
            <w:tcW w:type="dxa" w:w="1928"/>
            <w:shd w:val="clear" w:color="auto" w:fill="C6EFC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24"/>
                <w:szCs w:val="24"/>
              </w:rPr>
              <w:t>{{ req.compliant }}</w:t>
            </w:r>
          </w:p>
        </w:tc>
        <w:tc>
          <w:tcPr>
            <w:tcW w:type="dxa" w:w="1928"/>
            <w:shd w:val="clear" w:color="auto" w:fill="FFEB9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24"/>
                <w:szCs w:val="24"/>
              </w:rPr>
              <w:t>{{ req.partially_compliant }}</w:t>
            </w:r>
          </w:p>
        </w:tc>
        <w:tc>
          <w:tcPr>
            <w:tcW w:type="dxa" w:w="1928"/>
            <w:shd w:val="clear" w:color="auto" w:fill="FFC7C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24"/>
                <w:szCs w:val="24"/>
              </w:rPr>
              <w:t>{{ req.non_compliant }}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24"/>
                <w:szCs w:val="24"/>
              </w:rPr>
              <w:t>{{ req.not_applicable }}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24"/>
                <w:szCs w:val="24"/>
              </w:rPr>
              <w:t>{{ req.not_assessed }}</w:t>
            </w:r>
          </w:p>
        </w:tc>
      </w:tr>
    </w:tbl>
    <w:p>
      <w:pPr>
        <w:jc w:val="center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compliance_donut }}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Commentaires de l'évaluateur 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{{r comments }}</w:t>
      </w: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2. Périmètres audités</w:t>
      </w:r>
    </w:p>
    <w:p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Le pourcentage indique l'avancement de chaque section, en comptant les exigences satisfaites ou non applicables.</w:t>
      </w:r>
    </w:p>
    <w:p>
      <w:pPr>
        <w:jc w:val="center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completion_bar }}</w:t>
      </w:r>
    </w:p>
    <w:p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Le graphique ci-dessous montre la maturité constatée par l'évaluateur pour chaque section.</w:t>
      </w:r>
    </w:p>
    <w:p>
      <w:pPr>
        <w:jc w:val="center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category_radar }}</w:t>
      </w: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0A1628"/>
          <w:sz w:val="25"/>
          <w:szCs w:val="25"/>
        </w:rPr>
        <w:t>Notes de l'évaluateur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3969"/>
        <w:gridCol w:w="1701"/>
        <w:gridCol w:w="3969"/>
      </w:tblGrid>
      <w:tr>
        <w:trPr>
          <w:cantSplit/>
          <w:tblHeader/>
        </w:trPr>
        <w:tc>
          <w:tcPr>
            <w:tcW w:type="dxa" w:w="3969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Catégorie</w:t>
            </w:r>
          </w:p>
        </w:tc>
        <w:tc>
          <w:tcPr>
            <w:tcW w:type="dxa" w:w="170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Écarts identifiés</w:t>
            </w:r>
          </w:p>
        </w:tc>
        <w:tc>
          <w:tcPr>
            <w:tcW w:type="dxa" w:w="3969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Commentaires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for item in drifts_per_domain %}</w:t>
            </w:r>
          </w:p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item.name }}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item.drift_count }}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comments }}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endfor %}</w:t>
            </w:r>
          </w:p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</w:tr>
    </w:tbl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3. Mesures de sécurité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Mesures de sécurité identifiées 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ac_count }}</w:t>
      </w:r>
    </w:p>
    <w:p>
      <w:pPr>
        <w:jc w:val="center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chart_controls }}</w:t>
      </w: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0A1628"/>
          <w:sz w:val="25"/>
          <w:szCs w:val="25"/>
        </w:rPr>
        <w:t>Priorités principales (P1)</w:t>
      </w:r>
    </w:p>
    <w:p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Mesures de sécurité non encore en place que l'évaluateur a classées prioritaires :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2154"/>
        <w:gridCol w:w="3061"/>
        <w:gridCol w:w="1361"/>
        <w:gridCol w:w="1361"/>
        <w:gridCol w:w="1701"/>
      </w:tblGrid>
      <w:tr>
        <w:trPr>
          <w:cantSplit/>
          <w:tblHeader/>
        </w:trPr>
        <w:tc>
          <w:tcPr>
            <w:tcW w:type="dxa" w:w="2154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Mesure</w:t>
            </w:r>
          </w:p>
        </w:tc>
        <w:tc>
          <w:tcPr>
            <w:tcW w:type="dxa" w:w="306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type="dxa" w:w="136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Catégorie</w:t>
            </w:r>
          </w:p>
        </w:tc>
        <w:tc>
          <w:tcPr>
            <w:tcW w:type="dxa" w:w="136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Statut</w:t>
            </w:r>
          </w:p>
        </w:tc>
        <w:tc>
          <w:tcPr>
            <w:tcW w:type="dxa" w:w="170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Exigences couvertes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for item in p1_controls %}</w:t>
            </w:r>
          </w:p>
        </w:tc>
        <w:tc>
          <w:tcPr>
            <w:tcW w:type="dxa" w:w="3061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{{ item.name }}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item.description }}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item.category }}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item.status }}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item.coverage }}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endfor %}</w:t>
            </w:r>
          </w:p>
        </w:tc>
        <w:tc>
          <w:tcPr>
            <w:tcW w:type="dxa" w:w="3061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1701"/>
          </w:tcPr>
          <w:p/>
        </w:tc>
      </w:tr>
    </w:tbl>
    <w:p>
      <w:pPr>
        <w:pStyle w:val="Heading2"/>
      </w:pPr>
      <w:r>
        <w:rPr>
          <w:rFonts w:ascii="Calibri" w:hAnsi="Calibri" w:cs="Calibri" w:eastAsia="Calibri"/>
          <w:b/>
          <w:i w:val="0"/>
          <w:color w:val="0A1628"/>
          <w:sz w:val="25"/>
          <w:szCs w:val="25"/>
        </w:rPr>
        <w:t>Observations de l'évaluateur</w:t>
      </w:r>
    </w:p>
    <w:p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{{r comments }}</w:t>
      </w: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4. Résultats détaillés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Contenu 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chaque exigence évaluable avec sa note, l'observation enregistrée et les mesures liées.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1"/>
        <w:gridCol w:w="6350"/>
        <w:gridCol w:w="1928"/>
      </w:tblGrid>
      <w:tr>
        <w:trPr>
          <w:cantSplit/>
          <w:tblHeader/>
        </w:trPr>
        <w:tc>
          <w:tcPr>
            <w:tcW w:type="dxa" w:w="136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Référence ISO</w:t>
            </w:r>
          </w:p>
        </w:tc>
        <w:tc>
          <w:tcPr>
            <w:tcW w:type="dxa" w:w="6350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Exigence et preuves</w:t>
            </w:r>
          </w:p>
        </w:tc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Évaluation</w:t>
            </w:r>
          </w:p>
        </w:tc>
      </w:tr>
      <w:tr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for ra in requirement_assessments %}</w:t>
            </w:r>
          </w:p>
        </w:tc>
        <w:tc>
          <w:tcPr>
            <w:tcW w:type="dxa" w:w="6350"/>
          </w:tcPr>
          <w:p/>
        </w:tc>
        <w:tc>
          <w:tcPr>
            <w:tcW w:type="dxa" w:w="1928"/>
          </w:tcPr>
          <w:p/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ra.ref_id }}</w:t>
            </w:r>
          </w:p>
        </w:tc>
        <w:tc>
          <w:tcPr>
            <w:tcW w:type="dxa" w:w="6350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{{ ra.name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>{%p if ra.observation != "-" %}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Observation :</w:t>
            </w: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 xml:space="preserve"> {{ ra.observation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>{%p endif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>{%p if ra.applied_controls != "-" %}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Mesures appliquées :</w:t>
            </w: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 xml:space="preserve"> {{ ra.applied_controls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>{%p endif %}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 cellbg ra.rating_fill %}{{ ra.rating_label }}</w:t>
            </w:r>
          </w:p>
        </w:tc>
      </w:tr>
      <w:tr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endfor %}</w:t>
            </w:r>
          </w:p>
        </w:tc>
        <w:tc>
          <w:tcPr>
            <w:tcW w:type="dxa" w:w="6350"/>
          </w:tcPr>
          <w:p/>
        </w:tc>
        <w:tc>
          <w:tcPr>
            <w:tcW w:type="dxa" w:w="1928"/>
          </w:tcPr>
          <w:p/>
        </w:tc>
      </w:tr>
    </w:tbl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5. Plan d'action complet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2268"/>
        <w:gridCol w:w="850"/>
        <w:gridCol w:w="1134"/>
        <w:gridCol w:w="1134"/>
        <w:gridCol w:w="1020"/>
        <w:gridCol w:w="1417"/>
      </w:tblGrid>
      <w:tr>
        <w:trPr>
          <w:cantSplit/>
          <w:tblHeader/>
        </w:trPr>
        <w:tc>
          <w:tcPr>
            <w:tcW w:type="dxa" w:w="1814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Mesure</w:t>
            </w:r>
          </w:p>
        </w:tc>
        <w:tc>
          <w:tcPr>
            <w:tcW w:type="dxa" w:w="226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type="dxa" w:w="850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type="dxa" w:w="1134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Catégorie</w:t>
            </w:r>
          </w:p>
        </w:tc>
        <w:tc>
          <w:tcPr>
            <w:tcW w:type="dxa" w:w="1134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Statut</w:t>
            </w:r>
          </w:p>
        </w:tc>
        <w:tc>
          <w:tcPr>
            <w:tcW w:type="dxa" w:w="1020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Échéance</w:t>
            </w:r>
          </w:p>
        </w:tc>
        <w:tc>
          <w:tcPr>
            <w:tcW w:type="dxa" w:w="1417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Exigences couvertes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for item in full_controls %}</w:t>
            </w:r>
          </w:p>
        </w:tc>
        <w:tc>
          <w:tcPr>
            <w:tcW w:type="dxa" w:w="2268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{{ item.name }}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item.description }}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item.prio }}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item.category }}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item.status }}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item.eta }}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item.coverage }}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1417"/>
          </w:tcPr>
          <w:p/>
        </w:tc>
      </w:tr>
    </w:tbl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6. Annexe</w:t>
      </w:r>
    </w:p>
    <w:p>
      <w:pPr>
        <w:pStyle w:val="ListBullet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Détail des exigences et des preuves jointes</w:t>
      </w:r>
    </w:p>
    <w:p>
      <w:pPr>
        <w:pStyle w:val="ListBullet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Le plan de remédiation (liste des mesures)</w:t>
      </w:r>
    </w:p>
    <w:p>
      <w:pPr>
        <w:pStyle w:val="ListBullet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Parcours et approche de l'évaluateur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24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cs="Calibri" w:eastAsia="Calibri"/>
        <w:b w:val="0"/>
        <w:i w:val="0"/>
        <w:color w:val="5B6470"/>
        <w:sz w:val="15"/>
        <w:szCs w:val="15"/>
      </w:rPr>
      <w:t xml:space="preserve">{{ brand.footer }}  Page </w:t>
    </w:r>
    <w:r>
      <w:rPr>
        <w:rFonts w:ascii="Calibri" w:hAnsi="Calibri" w:cs="Calibri" w:eastAsia="Calibri"/>
        <w:color w:val="1B1F26"/>
        <w:sz w:val="19"/>
        <w:szCs w:val="19"/>
      </w:rPr>
      <w:fldChar w:fldCharType="begin"/>
    </w:r>
    <w:r>
      <w:rPr>
        <w:rFonts w:ascii="Calibri" w:hAnsi="Calibri" w:cs="Calibri" w:eastAsia="Calibri"/>
        <w:color w:val="1B1F26"/>
        <w:sz w:val="19"/>
        <w:szCs w:val="19"/>
      </w:rPr>
      <w:instrText xml:space="preserve"> PAGE </w:instrText>
    </w:r>
    <w:r>
      <w:rPr>
        <w:rFonts w:ascii="Calibri" w:hAnsi="Calibri" w:cs="Calibri" w:eastAsia="Calibri"/>
        <w:color w:val="1B1F26"/>
        <w:sz w:val="19"/>
        <w:szCs w:val="19"/>
      </w:rPr>
      <w:fldChar w:fldCharType="separate"/>
    </w:r>
    <w:r>
      <w:rPr>
        <w:rFonts w:ascii="Calibri" w:hAnsi="Calibri" w:cs="Calibri" w:eastAsia="Calibri"/>
        <w:b w:val="0"/>
        <w:i w:val="0"/>
        <w:color w:val="1B1F26"/>
        <w:sz w:val="19"/>
        <w:szCs w:val="19"/>
      </w:rPr>
      <w:t>1</w:t>
    </w:r>
    <w:r>
      <w:rPr>
        <w:rFonts w:ascii="Calibri" w:hAnsi="Calibri" w:cs="Calibri" w:eastAsia="Calibri"/>
        <w:color w:val="1B1F26"/>
        <w:sz w:val="19"/>
        <w:szCs w:val="19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B8892B"/>
      </w:pBdr>
      <w:spacing w:before="0" w:after="0" w:line="240" w:lineRule="auto"/>
      <w:jc w:val="right"/>
    </w:pPr>
    <w:r>
      <w:rPr>
        <w:rFonts w:ascii="Calibri" w:hAnsi="Calibri" w:cs="Calibri" w:eastAsia="Calibri"/>
        <w:b w:val="0"/>
        <w:i w:val="0"/>
        <w:color w:val="5B6470"/>
        <w:sz w:val="15"/>
        <w:szCs w:val="15"/>
      </w:rPr>
      <w:t>{{ client }}  |  {{ audit.name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Calibri" w:hAnsi="Calibri" w:cs="Calibri" w:eastAsia="Calibri"/>
      <w:b w:val="0"/>
      <w:i w:val="0"/>
      <w:color w:val="5B647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="Calibri" w:hAnsi="Calibri" w:cs="Calibri" w:eastAsia="Calibri"/>
      <w:b/>
      <w:bCs/>
      <w:i w:val="0"/>
      <w:color w:val="0A1628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="Calibri" w:hAnsi="Calibri" w:cs="Calibri" w:eastAsia="Calibri"/>
      <w:b/>
      <w:bCs/>
      <w:i w:val="0"/>
      <w:color w:val="0A1628"/>
      <w:sz w:val="25"/>
      <w:szCs w:val="2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b w:val="0"/>
      <w:i w:val="0"/>
      <w:color w:val="5B6470"/>
      <w:sz w:val="21"/>
      <w:szCs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after="40"/>
      <w:ind w:left="0"/>
    </w:pPr>
    <w:rPr>
      <w:rFonts w:ascii="Calibri" w:hAnsi="Calibri" w:cs="Calibri" w:eastAsia="Calibri"/>
      <w:b/>
      <w:i w:val="0"/>
      <w:color w:val="1B1F26"/>
      <w:sz w:val="21"/>
      <w:szCs w:val="21"/>
    </w:rPr>
  </w:style>
  <w:style w:type="paragraph" w:customStyle="1" w:styleId="TOC2">
    <w:name w:val="TOC 2"/>
    <w:basedOn w:val="Normal"/>
    <w:pPr>
      <w:tabs>
        <w:tab w:pos="9638" w:val="right" w:leader="dot"/>
      </w:tabs>
      <w:spacing w:after="40"/>
      <w:ind w:left="283"/>
    </w:pPr>
    <w:rPr>
      <w:rFonts w:ascii="Calibri" w:hAnsi="Calibri" w:cs="Calibri" w:eastAsia="Calibri"/>
      <w:b w:val="0"/>
      <w:i w:val="0"/>
      <w:color w:val="1B1F26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LinksUpToDate>false</LinksUpToDate>
  <CharactersWithSpaces>0</CharactersWithSpaces>
  <SharedDoc>false</SharedDoc>
  <HyperlinkBase/>
  <HyperlinksChanged>false</HyperlinksChanged>
  <AppVersion>14.0000</AppVersion>
  <Company>Goldline Consultancy Ltd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d'évaluation de conformité</dc:title>
  <dc:subject/>
  <dc:creator>Goldline Consultancy Ltd</dc:creator>
  <cp:keywords/>
  <dc:description/>
  <cp:lastModifiedBy>Goldline Consultancy Ltd</cp:lastModifiedBy>
  <cp:revision>1</cp:revision>
  <dcterms:created xsi:type="dcterms:W3CDTF">2013-12-23T23:15:00Z</dcterms:created>
  <dcterms:modified xsi:type="dcterms:W3CDTF">2013-12-23T23:15:00Z</dcterms:modified>
  <cp:category/>
</cp:coreProperties>
</file>