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A6A85"/>
          <w:sz w:val="24"/>
          <w:szCs w:val="24"/>
        </w:rPr>
        <w:t xml:space="preserve">SP Jain School of Global Management</w:t>
      </w:r>
    </w:p>
    <w:p>
      <w:pPr>
        <w:spacing w:after="240" w:before="0"/>
        <w:jc w:val="center"/>
      </w:pPr>
      <w:r>
        <w:rPr>
          <w:rFonts w:ascii="Arial" w:cs="Arial" w:eastAsia="Arial" w:hAnsi="Arial"/>
          <w:color w:val="5A6A85"/>
          <w:sz w:val="22"/>
          <w:szCs w:val="22"/>
        </w:rPr>
        <w:t xml:space="preserve">Master of AI in Business | AI in Finance</w:t>
      </w:r>
    </w:p>
    <w:p>
      <w:pPr>
        <w:spacing w:after="240" w:before="480"/>
        <w:jc w:val="center"/>
      </w:pPr>
      <w:r>
        <w:rPr>
          <w:rFonts w:ascii="Arial" w:cs="Arial" w:eastAsia="Arial" w:hAnsi="Arial"/>
          <w:b/>
          <w:bCs/>
          <w:color w:val="1B2A4A"/>
          <w:sz w:val="72"/>
          <w:szCs w:val="72"/>
        </w:rPr>
        <w:t xml:space="preserve">SPAR</w:t>
      </w:r>
    </w:p>
    <w:p>
      <w:pPr>
        <w:spacing w:after="240" w:before="0"/>
        <w:jc w:val="center"/>
      </w:pPr>
      <w:r>
        <w:rPr>
          <w:rFonts w:ascii="Arial" w:cs="Arial" w:eastAsia="Arial" w:hAnsi="Arial"/>
          <w:b/>
          <w:bCs/>
          <w:color w:val="2E5FA3"/>
          <w:sz w:val="36"/>
          <w:szCs w:val="36"/>
        </w:rPr>
        <w:t xml:space="preserve">Scenario Planning via Agentic Reasoning</w:t>
      </w:r>
    </w:p>
    <w:p>
      <w:pPr>
        <w:spacing w:after="480" w:before="120"/>
        <w:jc w:val="center"/>
      </w:pPr>
      <w:r>
        <w:rPr>
          <w:rFonts w:ascii="Arial" w:cs="Arial" w:eastAsia="Arial" w:hAnsi="Arial"/>
          <w:color w:val="5A6A85"/>
          <w:sz w:val="26"/>
          <w:szCs w:val="26"/>
        </w:rPr>
        <w:t xml:space="preserve">A Multi-Frontier-LLM Debate Framework for Geopolitical Financial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5A6A85"/>
                <w:sz w:val="20"/>
                <w:szCs w:val="20"/>
              </w:rPr>
              <w:t xml:space="preserve">Group</w:t>
            </w:r>
          </w:p>
          <w:p>
            <w:r>
              <w:rPr>
                <w:rFonts w:ascii="Arial" w:cs="Arial" w:eastAsia="Arial" w:hAnsi="Arial"/>
                <w:color w:val="111111"/>
                <w:sz w:val="22"/>
                <w:szCs w:val="22"/>
              </w:rPr>
              <w:t xml:space="preserve">Group 3</w:t>
            </w:r>
          </w:p>
        </w:tc>
        <w:tc>
          <w:tcPr>
            <w:tcW w:type="dxa" w:w="468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5A6A85"/>
                <w:sz w:val="20"/>
                <w:szCs w:val="20"/>
              </w:rPr>
              <w:t xml:space="preserve">Faculty</w:t>
            </w:r>
          </w:p>
          <w:p>
            <w:r>
              <w:rPr>
                <w:rFonts w:ascii="Arial" w:cs="Arial" w:eastAsia="Arial" w:hAnsi="Arial"/>
                <w:color w:val="111111"/>
                <w:sz w:val="22"/>
                <w:szCs w:val="22"/>
              </w:rPr>
              <w:t xml:space="preserve">Dr. Guha</w:t>
            </w:r>
          </w:p>
        </w:tc>
      </w:tr>
      <w:tr>
        <w:tc>
          <w:tcPr>
            <w:tcW w:type="dxa" w:w="468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5A6A85"/>
                <w:sz w:val="20"/>
                <w:szCs w:val="20"/>
              </w:rPr>
              <w:t xml:space="preserve">Submission</w:t>
            </w:r>
          </w:p>
          <w:p>
            <w:r>
              <w:rPr>
                <w:rFonts w:ascii="Arial" w:cs="Arial" w:eastAsia="Arial" w:hAnsi="Arial"/>
                <w:color w:val="111111"/>
                <w:sz w:val="22"/>
                <w:szCs w:val="22"/>
              </w:rPr>
              <w:t xml:space="preserve">31 July 2026</w:t>
            </w:r>
          </w:p>
        </w:tc>
        <w:tc>
          <w:tcPr>
            <w:tcW w:type="dxa" w:w="468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5A6A85"/>
                <w:sz w:val="20"/>
                <w:szCs w:val="20"/>
              </w:rPr>
              <w:t xml:space="preserve">Presentation</w:t>
            </w:r>
          </w:p>
          <w:p>
            <w:r>
              <w:rPr>
                <w:rFonts w:ascii="Arial" w:cs="Arial" w:eastAsia="Arial" w:hAnsi="Arial"/>
                <w:color w:val="111111"/>
                <w:sz w:val="22"/>
                <w:szCs w:val="22"/>
              </w:rPr>
              <w:t xml:space="preserve">9 July 2026</w:t>
            </w:r>
          </w:p>
        </w:tc>
      </w:tr>
    </w:tbl>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Abstract</w:t>
      </w:r>
    </w:p>
    <w:p>
      <w:pPr>
        <w:spacing w:after="120" w:before="80"/>
      </w:pPr>
      <w:r>
        <w:rPr>
          <w:rFonts w:ascii="Arial" w:cs="Arial" w:eastAsia="Arial" w:hAnsi="Arial"/>
          <w:color w:val="111111"/>
          <w:sz w:val="22"/>
          <w:szCs w:val="22"/>
        </w:rPr>
        <w:t xml:space="preserve">This proposal presents SPAR — Scenario Planning via Agentic Reasoning — a four-layer multi-agent framework for geopolitical financial stress testing on US equity markets. Financial institutions currently rely on either static scenario templates calibrated to past crises or single-model AI generation that lacks domain diversity and produces unverifiable outputs. SPAR addresses both failures through a structured pipeline in which five frontier large language models from genuinely different providers — Claude (Anthropic), GPT-4o (OpenAI), Gemini Pro (Google), DeepSeek, and Grok (xAI) — debate the financial implications of geopolitical shocks as domain-specialist agents, grounded in historically retrieved analogues and validated against real S&amp;P 500 sector outcomes.</w:t>
      </w:r>
    </w:p>
    <w:p>
      <w:pPr>
        <w:spacing w:after="120" w:before="80"/>
      </w:pPr>
      <w:r>
        <w:rPr>
          <w:rFonts w:ascii="Arial" w:cs="Arial" w:eastAsia="Arial" w:hAnsi="Arial"/>
          <w:color w:val="111111"/>
          <w:sz w:val="22"/>
          <w:szCs w:val="22"/>
        </w:rPr>
        <w:t xml:space="preserve">The system operates across four layers. Layer 0 classifies incoming shocks using a six-axis profiling system and applies regime context before routing to relevant agents. Layer 1 executes a structured multi-round debate with an adaptive explore/exploit stopping criterion drawn from reinforcement learning theory. Layer 2 synthesises the debate into a consensus scenario and minority dissent report, validated by a composite plausibility scoring framework. Layer 3 quantifies portfolio impact via a factor model calibrated on historical sector data.</w:t>
      </w:r>
    </w:p>
    <w:p>
      <w:pPr>
        <w:spacing w:after="120" w:before="80"/>
      </w:pPr>
      <w:r>
        <w:rPr>
          <w:rFonts w:ascii="Arial" w:cs="Arial" w:eastAsia="Arial" w:hAnsi="Arial"/>
          <w:color w:val="111111"/>
          <w:sz w:val="22"/>
          <w:szCs w:val="22"/>
        </w:rPr>
        <w:t xml:space="preserve">The proposal introduces three novel contributions. First, a three-dimensional geopolitical analogue retrieval algorithm matching by shock category, US actor involvement, and economic regime — grounded in the Caldara-Iacoviello GPR Index and FRED macroeconomic data. Second, an empirical comparison of model-diversity debate against persona-diversity debate across five historical events. Third, a four-type position-change decomposition metric that distinguishes evidence-based revision from consensus-pressure conformity in multi-agent LLM systems. All four known limitations — look-ahead bias, model training overlap, non-stationarity, and output non-reproducibility — are addressed through concrete, implementable mitigations including temporal isolation prompting, pre-debate diversity measurement, regime-weighted analogue scoring, and deterministic API configuration. The paper targets the ICAIF 2026 conference with a working paper submission on 31 July 2026.</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1. Introduction</w:t>
      </w:r>
    </w:p>
    <w:p>
      <w:pPr>
        <w:spacing w:after="120" w:before="80"/>
      </w:pPr>
      <w:r>
        <w:rPr>
          <w:rFonts w:ascii="Arial" w:cs="Arial" w:eastAsia="Arial" w:hAnsi="Arial"/>
          <w:color w:val="111111"/>
          <w:sz w:val="22"/>
          <w:szCs w:val="22"/>
        </w:rPr>
        <w:t xml:space="preserve">Geopolitical risk represents one of the most consequential and least tractable sources of financial market uncertainty. When a border is crossed, a sanctions regime is announced, or an energy supply corridor is disrupted, markets respond within minutes — often before any institutional risk model has time to react. A risk manager at a major financial institution is expected to provide rapid, credible guidance on portfolio exposure, hedging strategy, and scenario severity. Today, that expectation cannot be met with the tools available.</w:t>
      </w:r>
    </w:p>
    <w:p>
      <w:pPr>
        <w:spacing w:after="120" w:before="80"/>
      </w:pPr>
      <w:r>
        <w:rPr>
          <w:rFonts w:ascii="Arial" w:cs="Arial" w:eastAsia="Arial" w:hAnsi="Arial"/>
          <w:color w:val="111111"/>
          <w:sz w:val="22"/>
          <w:szCs w:val="22"/>
        </w:rPr>
        <w:t xml:space="preserve">Traditional stress testing frameworks, established in the aftermath of the 2008 financial crisis through regulatory mandates such as the Comprehensive Capital Analysis and Review (CCAR) and the Basel III stress testing requirements, rely on fixed shock templates. These templates define standardised adverse scenarios — typically a severe equity market decline, elevated unemployment, and a contraction in GDP growth — and require institutions to demonstrate that their capital buffers can withstand them. While this approach is rigorous for the scenarios it covers, it is structurally incapable of handling novel geopolitical shocks whose transmission channels, magnitudes, and sector impacts differ fundamentally from historical crisis templates. A military escalation between nuclear-armed states, a coordinated cyberattack on financial infrastructure, or an unexpected collapse in an oil-producing region cannot be mapped onto a 2008-style scenario without severe distortion.</w:t>
      </w:r>
    </w:p>
    <w:p>
      <w:pPr>
        <w:spacing w:after="120" w:before="80"/>
      </w:pPr>
      <w:r>
        <w:rPr>
          <w:rFonts w:ascii="Arial" w:cs="Arial" w:eastAsia="Arial" w:hAnsi="Arial"/>
          <w:color w:val="111111"/>
          <w:sz w:val="22"/>
          <w:szCs w:val="22"/>
        </w:rPr>
        <w:t xml:space="preserve">The emergence of large language models has opened a new pathway. LLMs can read and synthesise information across economic, political, military, and market domains simultaneously, generate structured scenario narratives from unstructured event descriptions, and do so in seconds rather than weeks. However, deploying a single LLM for this purpose introduces its own failure modes: the model has one internal perspective, no mechanism for challenging its own assumptions, a tendency toward overconfident narrative generation, and no principled method for validating whether its output is grounded in historical reality or is a plausible-sounding hallucination.</w:t>
      </w:r>
    </w:p>
    <w:p>
      <w:pPr>
        <w:spacing w:after="120" w:before="80"/>
      </w:pPr>
      <w:r>
        <w:rPr>
          <w:rFonts w:ascii="Arial" w:cs="Arial" w:eastAsia="Arial" w:hAnsi="Arial"/>
          <w:color w:val="111111"/>
          <w:sz w:val="22"/>
          <w:szCs w:val="22"/>
        </w:rPr>
        <w:t xml:space="preserve">This proposal describes SPAR — Scenario Planning via Agentic Reasoning — a system designed to address all of these failures simultaneously. Rather than asking one model to analyse a geopolitical shock, SPAR deploys five frontier LLMs from different providers as domain-specialist agents who debate the shock from their respective analytical perspectives. The debate is structured, adaptive, and culminates in a moderated synthesis that preserves both the consensus view and the minority dissent. The output is validated against historical analogues and Federal Reserve stress scenario benchmarks before being translated into quantitative portfolio impact estimates.</w:t>
      </w:r>
    </w:p>
    <w:p>
      <w:pPr>
        <w:spacing w:after="120" w:before="80"/>
      </w:pPr>
      <w:r>
        <w:rPr>
          <w:rFonts w:ascii="Arial" w:cs="Arial" w:eastAsia="Arial" w:hAnsi="Arial"/>
          <w:color w:val="111111"/>
          <w:sz w:val="22"/>
          <w:szCs w:val="22"/>
        </w:rPr>
        <w:t xml:space="preserve">The geographic and market focus for our experiments is the United States and the S&amp;P 500. This choice is not arbitrary. US financial markets are the most heavily documented, most API-accessible, and most studied equity markets in the world. The Federal Reserve, FRED, and the Caldara-Iacoviello GPR Index provide free, comprehensive data pipelines covering every major geopolitical shock since 1985. By focusing on this market, we eliminate data availability as a confounding variable and allow the research contribution — the multi-agent debate architecture and its evaluation framework — to be tested under optimal conditions.</w:t>
      </w:r>
    </w:p>
    <w:p>
      <w:r>
        <w:t xml:space="preserve"/>
      </w:r>
    </w:p>
    <w:p>
      <w:pPr>
        <w:pStyle w:val="Heading1"/>
        <w:pBdr>
          <w:bottom w:val="single" w:color="2E5FA3" w:sz="6" w:space="4"/>
        </w:pBdr>
        <w:spacing w:after="120" w:before="360"/>
      </w:pPr>
      <w:r>
        <w:rPr>
          <w:rFonts w:ascii="Arial" w:cs="Arial" w:eastAsia="Arial" w:hAnsi="Arial"/>
          <w:b/>
          <w:bCs/>
          <w:color w:val="1B2A4A"/>
          <w:sz w:val="30"/>
          <w:szCs w:val="30"/>
        </w:rPr>
        <w:t xml:space="preserve">2. Problem Statement</w:t>
      </w:r>
    </w:p>
    <w:p>
      <w:pPr>
        <w:spacing w:after="120" w:before="80"/>
      </w:pPr>
      <w:r>
        <w:rPr>
          <w:rFonts w:ascii="Arial" w:cs="Arial" w:eastAsia="Arial" w:hAnsi="Arial"/>
          <w:color w:val="111111"/>
          <w:sz w:val="22"/>
          <w:szCs w:val="22"/>
        </w:rPr>
        <w:t xml:space="preserve">Financial institutions require the ability to rapidly translate novel geopolitical shock narratives into structured, historically-grounded, multi-perspective portfolio risk estimates. No existing tool satisfies all four requirements simultaneously.</w:t>
      </w:r>
    </w:p>
    <w:p>
      <w:pPr>
        <w:pStyle w:val="Heading2"/>
        <w:spacing w:after="100" w:before="280"/>
      </w:pPr>
      <w:r>
        <w:rPr>
          <w:rFonts w:ascii="Arial" w:cs="Arial" w:eastAsia="Arial" w:hAnsi="Arial"/>
          <w:b/>
          <w:bCs/>
          <w:color w:val="2E5FA3"/>
          <w:sz w:val="25"/>
          <w:szCs w:val="25"/>
        </w:rPr>
        <w:t xml:space="preserve">2.1 Formal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Research Problem</w:t>
            </w:r>
          </w:p>
          <w:p>
            <w:pPr>
              <w:spacing w:after="0" w:before="0"/>
            </w:pPr>
            <w:r>
              <w:rPr>
                <w:rFonts w:ascii="Arial" w:cs="Arial" w:eastAsia="Arial" w:hAnsi="Arial"/>
                <w:color w:val="111111"/>
                <w:sz w:val="21"/>
                <w:szCs w:val="21"/>
              </w:rPr>
              <w:t xml:space="preserve">Given a natural-language description of a novel geopolitical shock event, existing approaches to financial stress scenario generation either (a) fail to adapt because they rely on fixed templates calibrated to historical crises, or (b) produce single-perspective outputs with no mechanism for domain-specific cross-validation, evidence-grounding, or plausibility verification. The result is that risk managers cannot obtain rapid, auditable, multi-domain scenario assessments for events outside the template library.</w:t>
            </w:r>
          </w:p>
        </w:tc>
      </w:tr>
    </w:tbl>
    <w:p>
      <w:r>
        <w:t xml:space="preserve"/>
      </w:r>
    </w:p>
    <w:p>
      <w:pPr>
        <w:pStyle w:val="Heading2"/>
        <w:spacing w:after="100" w:before="280"/>
      </w:pPr>
      <w:r>
        <w:rPr>
          <w:rFonts w:ascii="Arial" w:cs="Arial" w:eastAsia="Arial" w:hAnsi="Arial"/>
          <w:b/>
          <w:bCs/>
          <w:color w:val="2E5FA3"/>
          <w:sz w:val="25"/>
          <w:szCs w:val="25"/>
        </w:rPr>
        <w:t xml:space="preserve">2.2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val="clear"/>
            <w:tcMar>
              <w:top w:type="dxa" w:w="120"/>
              <w:left w:type="dxa" w:w="200"/>
              <w:bottom w:type="dxa" w:w="120"/>
              <w:right w:type="dxa" w:w="200"/>
            </w:tcMar>
          </w:tcPr>
          <w:p>
            <w:pPr>
              <w:spacing w:after="60" w:before="0"/>
            </w:pPr>
            <w:r>
              <w:rPr>
                <w:rFonts w:ascii="Arial" w:cs="Arial" w:eastAsia="Arial" w:hAnsi="Arial"/>
                <w:b/>
                <w:bCs/>
                <w:color w:val="155724"/>
                <w:sz w:val="20"/>
                <w:szCs w:val="20"/>
              </w:rPr>
              <w:t xml:space="preserve">Primary Research Question</w:t>
            </w:r>
          </w:p>
          <w:p>
            <w:pPr>
              <w:spacing w:after="0" w:before="0"/>
            </w:pPr>
            <w:r>
              <w:rPr>
                <w:rFonts w:ascii="Arial" w:cs="Arial" w:eastAsia="Arial" w:hAnsi="Arial"/>
                <w:color w:val="111111"/>
                <w:sz w:val="21"/>
                <w:szCs w:val="21"/>
              </w:rPr>
              <w:t xml:space="preserve">Does a structured debate between domain-specialist large language models from genuinely different model providers produce financial stress scenarios that are more directionally accurate, better calibrated in magnitude, and more complete in transmission channel coverage than scenarios generated by a single prompted model?</w:t>
            </w:r>
          </w:p>
        </w:tc>
      </w:tr>
    </w:tbl>
    <w:p>
      <w:r>
        <w:t xml:space="preserve"/>
      </w:r>
    </w:p>
    <w:p>
      <w:pPr>
        <w:pStyle w:val="Heading2"/>
        <w:spacing w:after="100" w:before="280"/>
      </w:pPr>
      <w:r>
        <w:rPr>
          <w:rFonts w:ascii="Arial" w:cs="Arial" w:eastAsia="Arial" w:hAnsi="Arial"/>
          <w:b/>
          <w:bCs/>
          <w:color w:val="2E5FA3"/>
          <w:sz w:val="25"/>
          <w:szCs w:val="25"/>
        </w:rPr>
        <w:t xml:space="preserve">2.3 Hypothesis</w:t>
      </w:r>
    </w:p>
    <w:p>
      <w:pPr>
        <w:spacing w:after="120" w:before="80"/>
      </w:pPr>
      <w:r>
        <w:rPr>
          <w:rFonts w:ascii="Arial" w:cs="Arial" w:eastAsia="Arial" w:hAnsi="Arial"/>
          <w:color w:val="111111"/>
          <w:sz w:val="22"/>
          <w:szCs w:val="22"/>
        </w:rPr>
        <w:t xml:space="preserve">We hypothesise that multi-agent debate across five frontier LLMs from different providers will outperform single-model generation on all three evaluation metrics — directional accuracy, magnitude calibration, and transmission channel completeness — when tested on five historical geopolitical events affecting US financial markets. We further hypothesise that the degree of improvement will be positively correlated with the measured pre-debate position variance across agents, providing empirical evidence that genuine model diversity drives the benefit rather than the debate structure alone.</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3. Literature Review</w:t>
      </w:r>
    </w:p>
    <w:p>
      <w:pPr>
        <w:spacing w:after="120" w:before="80"/>
      </w:pPr>
      <w:r>
        <w:rPr>
          <w:rFonts w:ascii="Arial" w:cs="Arial" w:eastAsia="Arial" w:hAnsi="Arial"/>
          <w:color w:val="111111"/>
          <w:sz w:val="22"/>
          <w:szCs w:val="22"/>
        </w:rPr>
        <w:t xml:space="preserve">The research underlying this proposal draws on four distinct streams of academic work. Each stream contributes essential building blocks; none alone is sufficient.</w:t>
      </w:r>
    </w:p>
    <w:p>
      <w:pPr>
        <w:pStyle w:val="Heading2"/>
        <w:spacing w:after="100" w:before="280"/>
      </w:pPr>
      <w:r>
        <w:rPr>
          <w:rFonts w:ascii="Arial" w:cs="Arial" w:eastAsia="Arial" w:hAnsi="Arial"/>
          <w:b/>
          <w:bCs/>
          <w:color w:val="2E5FA3"/>
          <w:sz w:val="25"/>
          <w:szCs w:val="25"/>
        </w:rPr>
        <w:t xml:space="preserve">3.1 Traditional Financial Stress Testing</w:t>
      </w:r>
    </w:p>
    <w:p>
      <w:pPr>
        <w:spacing w:after="120" w:before="80"/>
      </w:pPr>
      <w:r>
        <w:rPr>
          <w:rFonts w:ascii="Arial" w:cs="Arial" w:eastAsia="Arial" w:hAnsi="Arial"/>
          <w:color w:val="111111"/>
          <w:sz w:val="22"/>
          <w:szCs w:val="22"/>
        </w:rPr>
        <w:t xml:space="preserve">The regulatory stress testing literature establishes the institutional context for our work. The Basel III framework and the Federal Reserve's CCAR process define how banks must stress test capital adequacy against standardised adverse scenarios. Brunnermeier et al. (2020) provide the most comprehensive critique of these frameworks, demonstrating that static scenario templates systematically underestimate tail risk in novel crisis types because they are anchored to the distributional properties of historical crises. Borio, Drehmann, and Tsatsaronis (2014) further show that stress testing frameworks fail precisely when they are most needed — under structurally new shock types — because the calibration data does not contain the relevant events.</w:t>
      </w:r>
    </w:p>
    <w:p>
      <w:pPr>
        <w:spacing w:after="120" w:before="80"/>
      </w:pPr>
      <w:r>
        <w:rPr>
          <w:rFonts w:ascii="Arial" w:cs="Arial" w:eastAsia="Arial" w:hAnsi="Arial"/>
          <w:color w:val="111111"/>
          <w:sz w:val="22"/>
          <w:szCs w:val="22"/>
        </w:rPr>
        <w:t xml:space="preserve">The gap from this stream: there is no mechanism in existing stress testing frameworks for rapidly generating adaptive scenarios tailored to novel geopolitical events. The templates are fixed; updating them requires months of manual work by specialised risk teams.</w:t>
      </w:r>
    </w:p>
    <w:p>
      <w:pPr>
        <w:pStyle w:val="Heading2"/>
        <w:spacing w:after="100" w:before="280"/>
      </w:pPr>
      <w:r>
        <w:rPr>
          <w:rFonts w:ascii="Arial" w:cs="Arial" w:eastAsia="Arial" w:hAnsi="Arial"/>
          <w:b/>
          <w:bCs/>
          <w:color w:val="2E5FA3"/>
          <w:sz w:val="25"/>
          <w:szCs w:val="25"/>
        </w:rPr>
        <w:t xml:space="preserve">3.2 Multi-Agent LLM Debate</w:t>
      </w:r>
    </w:p>
    <w:p>
      <w:pPr>
        <w:spacing w:after="120" w:before="80"/>
      </w:pPr>
      <w:r>
        <w:rPr>
          <w:rFonts w:ascii="Arial" w:cs="Arial" w:eastAsia="Arial" w:hAnsi="Arial"/>
          <w:color w:val="111111"/>
          <w:sz w:val="22"/>
          <w:szCs w:val="22"/>
        </w:rPr>
        <w:t xml:space="preserve">Du, Li, Weston, and Forget (2023) established the theoretical and empirical foundation for multi-agent LLM debate, showing that having multiple LLM instances critique each other's reasoning reduces hallucination, improves factual accuracy, and produces better-calibrated outputs than single-model generation across a range of reasoning tasks. The key mechanism is that agents with differing initial positions must find evidence to support position changes, creating an adversarial verification process absent from single-model inference.</w:t>
      </w:r>
    </w:p>
    <w:p>
      <w:pPr>
        <w:spacing w:after="120" w:before="80"/>
      </w:pPr>
      <w:r>
        <w:rPr>
          <w:rFonts w:ascii="Arial" w:cs="Arial" w:eastAsia="Arial" w:hAnsi="Arial"/>
          <w:color w:val="111111"/>
          <w:sz w:val="22"/>
          <w:szCs w:val="22"/>
        </w:rPr>
        <w:t xml:space="preserve">Estornell and Liu (2024) extended this framework with a graph-theoretic analysis of agent communication topologies, finding that sparse graphs with structured communication protocols outperform fully-connected debate architectures in tasks requiring domain-specific reasoning. This directly informs our design choice to route agents through domain-specific RAG pipelines rather than giving every agent access to all data sources.</w:t>
      </w:r>
    </w:p>
    <w:p>
      <w:pPr>
        <w:spacing w:after="120" w:before="80"/>
      </w:pPr>
      <w:r>
        <w:rPr>
          <w:rFonts w:ascii="Arial" w:cs="Arial" w:eastAsia="Arial" w:hAnsi="Arial"/>
          <w:color w:val="111111"/>
          <w:sz w:val="22"/>
          <w:szCs w:val="22"/>
        </w:rPr>
        <w:t xml:space="preserve">FinDebate (2025) represents the closest prior work in the financial domain, applying multi-agent debate to earnings call analysis and demonstrating improved factual accuracy relative to single-model generation. However, FinDebate uses the same underlying model for all agents with different system prompts — what we term persona-diversity — rather than deploying agents from different providers with genuinely different training data. The authors do not study geopolitical shocks, do not apply historical analogue retrieval, and do not validate against real market outcomes. Our work directly extends and differentiates from FinDebate on all three of these dimensions.</w:t>
      </w:r>
    </w:p>
    <w:p>
      <w:pPr>
        <w:pStyle w:val="Heading2"/>
        <w:spacing w:after="100" w:before="280"/>
      </w:pPr>
      <w:r>
        <w:rPr>
          <w:rFonts w:ascii="Arial" w:cs="Arial" w:eastAsia="Arial" w:hAnsi="Arial"/>
          <w:b/>
          <w:bCs/>
          <w:color w:val="2E5FA3"/>
          <w:sz w:val="25"/>
          <w:szCs w:val="25"/>
        </w:rPr>
        <w:t xml:space="preserve">3.3 Geopolitical Risk Measurement and Market Transmission</w:t>
      </w:r>
    </w:p>
    <w:p>
      <w:pPr>
        <w:spacing w:after="120" w:before="80"/>
      </w:pPr>
      <w:r>
        <w:rPr>
          <w:rFonts w:ascii="Arial" w:cs="Arial" w:eastAsia="Arial" w:hAnsi="Arial"/>
          <w:color w:val="111111"/>
          <w:sz w:val="22"/>
          <w:szCs w:val="22"/>
        </w:rPr>
        <w:t xml:space="preserve">Caldara and Iacoviello (2022) built the Geopolitical Risk Index (GPR), constructing a monthly measure of geopolitical risk intensity from the frequency of geopolitical keywords across ten major international newspapers, going back to 1900. Their country-specific variants, including a US-specific series, provide the backbone of our analogue retrieval system. The paper also documents the empirical transmission of GPR shocks to financial variables, finding significant negative effects on investment, employment, and equity prices, with heterogeneous effects by shock type — an observation that motivates our shock taxonomy.</w:t>
      </w:r>
    </w:p>
    <w:p>
      <w:pPr>
        <w:spacing w:after="120" w:before="80"/>
      </w:pPr>
      <w:r>
        <w:rPr>
          <w:rFonts w:ascii="Arial" w:cs="Arial" w:eastAsia="Arial" w:hAnsi="Arial"/>
          <w:color w:val="111111"/>
          <w:sz w:val="22"/>
          <w:szCs w:val="22"/>
        </w:rPr>
        <w:t xml:space="preserve">Baker, Bloom, and Davis (2016) developed the Economic Policy Uncertainty (EPU) index, demonstrating that policy uncertainty — distinct from geopolitical risk — has independent and significant effects on financial markets. Their methodological approach to text-based risk measurement directly informs our RAG query design for the Economic, Fiscal, and Market agent.</w:t>
      </w:r>
    </w:p>
    <w:p>
      <w:pPr>
        <w:spacing w:after="120" w:before="80"/>
      </w:pPr>
      <w:r>
        <w:rPr>
          <w:rFonts w:ascii="Arial" w:cs="Arial" w:eastAsia="Arial" w:hAnsi="Arial"/>
          <w:color w:val="111111"/>
          <w:sz w:val="22"/>
          <w:szCs w:val="22"/>
        </w:rPr>
        <w:t xml:space="preserve">Ramiah, Xu, and Moosa (2015) provide the most directly applicable empirical work, documenting sector-level S&amp;P 500 reactions to twelve categories of geopolitical and macro shock events over 1980-2013. Their finding that sector impact patterns differ systematically by shock type — a terrorist attack has fundamentally different sector consequences from an oil supply disruption — provides the empirical justification for our three-dimensional analogue matching algorithm.</w:t>
      </w:r>
    </w:p>
    <w:p>
      <w:pPr>
        <w:pStyle w:val="Heading2"/>
        <w:spacing w:after="100" w:before="280"/>
      </w:pPr>
      <w:r>
        <w:rPr>
          <w:rFonts w:ascii="Arial" w:cs="Arial" w:eastAsia="Arial" w:hAnsi="Arial"/>
          <w:b/>
          <w:bCs/>
          <w:color w:val="2E5FA3"/>
          <w:sz w:val="25"/>
          <w:szCs w:val="25"/>
        </w:rPr>
        <w:t xml:space="preserve">3.4 LLMs in Financial Analysis</w:t>
      </w:r>
    </w:p>
    <w:p>
      <w:pPr>
        <w:spacing w:after="120" w:before="80"/>
      </w:pPr>
      <w:r>
        <w:rPr>
          <w:rFonts w:ascii="Arial" w:cs="Arial" w:eastAsia="Arial" w:hAnsi="Arial"/>
          <w:color w:val="111111"/>
          <w:sz w:val="22"/>
          <w:szCs w:val="22"/>
        </w:rPr>
        <w:t xml:space="preserve">BloombergGPT (2023) demonstrated that domain-specific training significantly improves LLM performance on financial reasoning tasks, providing the benchmark against which general-purpose frontier models must be compared. For our experiment, this literature suggests that the choice of which provider plays which role may affect output quality independently of the debate structure — a confound we address through our role-rotation design.</w:t>
      </w:r>
    </w:p>
    <w:p>
      <w:pPr>
        <w:spacing w:after="120" w:before="80"/>
      </w:pPr>
      <w:r>
        <w:rPr>
          <w:rFonts w:ascii="Arial" w:cs="Arial" w:eastAsia="Arial" w:hAnsi="Arial"/>
          <w:color w:val="111111"/>
          <w:sz w:val="22"/>
          <w:szCs w:val="22"/>
        </w:rPr>
        <w:t xml:space="preserve">Soleimani, Zhang, and colleagues (2025) built the most relevant prior system, applying RAG-based LLM generation to produce stress scenarios for G7 economies. Their system retrieves macroeconomic context and generates structured narratives. Crucially, the authors explicitly acknowledge that validating whether an LLM-generated scenario is plausible versus fabricated remains an open methodological problem. Our plausibility scoring framework directly solves this acknowledged gap.</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4. Research Gaps and Novel Contributions</w:t>
      </w:r>
    </w:p>
    <w:p>
      <w:pPr>
        <w:pStyle w:val="Heading2"/>
        <w:spacing w:after="100" w:before="280"/>
      </w:pPr>
      <w:r>
        <w:rPr>
          <w:rFonts w:ascii="Arial" w:cs="Arial" w:eastAsia="Arial" w:hAnsi="Arial"/>
          <w:b/>
          <w:bCs/>
          <w:color w:val="2E5FA3"/>
          <w:sz w:val="25"/>
          <w:szCs w:val="25"/>
        </w:rPr>
        <w:t xml:space="preserve">4.1 Gap 1 — No Structured Geopolitical Analogue Retrieval for US Markets</w:t>
      </w:r>
    </w:p>
    <w:p>
      <w:pPr>
        <w:spacing w:after="120" w:before="80"/>
      </w:pPr>
      <w:r>
        <w:rPr>
          <w:rFonts w:ascii="Arial" w:cs="Arial" w:eastAsia="Arial" w:hAnsi="Arial"/>
          <w:color w:val="111111"/>
          <w:sz w:val="22"/>
          <w:szCs w:val="22"/>
        </w:rPr>
        <w:t xml:space="preserve">Existing papers either use fixed shock templates or retrieve documents by unstructured keyword search. No paper has designed a multi-dimensional retrieval algorithm that matches historical geopolitical events by shock category, US actor involvement level, and concurrent economic regime state simultaneously. This gap means that the same retrieval query for a military escalation would return the same analogues regardless of whether current inflation is at 2% or 8%, despite the fundamentally different transmission dynamics. Our three-dimensional matching algorithm, calibrated on GPR index event data and FRED macroeconomic regime indicators, fills this gap and constitutes Contribution 1.</w:t>
      </w:r>
    </w:p>
    <w:p>
      <w:pPr>
        <w:pStyle w:val="Heading2"/>
        <w:spacing w:after="100" w:before="280"/>
      </w:pPr>
      <w:r>
        <w:rPr>
          <w:rFonts w:ascii="Arial" w:cs="Arial" w:eastAsia="Arial" w:hAnsi="Arial"/>
          <w:b/>
          <w:bCs/>
          <w:color w:val="2E5FA3"/>
          <w:sz w:val="25"/>
          <w:szCs w:val="25"/>
        </w:rPr>
        <w:t xml:space="preserve">4.2 Gap 2 — Model Diversity vs. Persona Diversity Never Compared</w:t>
      </w:r>
    </w:p>
    <w:p>
      <w:pPr>
        <w:spacing w:after="120" w:before="80"/>
      </w:pPr>
      <w:r>
        <w:rPr>
          <w:rFonts w:ascii="Arial" w:cs="Arial" w:eastAsia="Arial" w:hAnsi="Arial"/>
          <w:color w:val="111111"/>
          <w:sz w:val="22"/>
          <w:szCs w:val="22"/>
        </w:rPr>
        <w:t xml:space="preserve">Every multi-agent debate paper in the financial AI literature uses the same model with different system prompts. The assumption that this produces meaningfully different perspectives is untested. Five frontier models from different providers — trained on different corpora, in different institutional contexts, with different geographic emphases — may produce genuinely more diverse initial positions, or they may be sufficiently convergent on well-documented events to offer no improvement. Testing this empirically, with a controlled rotation design, constitutes Contribution 2 and directly answers a question the existing literature has not asked.</w:t>
      </w:r>
    </w:p>
    <w:p>
      <w:pPr>
        <w:pStyle w:val="Heading2"/>
        <w:spacing w:after="100" w:before="280"/>
      </w:pPr>
      <w:r>
        <w:rPr>
          <w:rFonts w:ascii="Arial" w:cs="Arial" w:eastAsia="Arial" w:hAnsi="Arial"/>
          <w:b/>
          <w:bCs/>
          <w:color w:val="2E5FA3"/>
          <w:sz w:val="25"/>
          <w:szCs w:val="25"/>
        </w:rPr>
        <w:t xml:space="preserve">4.3 Gap 3 — No Validated Debate Quality Metric</w:t>
      </w:r>
    </w:p>
    <w:p>
      <w:pPr>
        <w:spacing w:after="120" w:before="80"/>
      </w:pPr>
      <w:r>
        <w:rPr>
          <w:rFonts w:ascii="Arial" w:cs="Arial" w:eastAsia="Arial" w:hAnsi="Arial"/>
          <w:color w:val="111111"/>
          <w:sz w:val="22"/>
          <w:szCs w:val="22"/>
        </w:rPr>
        <w:t xml:space="preserve">The multi-agent debate literature lacks a principled method for measuring whether debate is producing genuine epistemic updating or merely performative position-shifting. An agent that changes its directional estimate from minus 8% to minus 6% because another agent sounded confident has not actually processed new information — it has exhibited social conformity. Our four-type position-change decomposition — distinguishing evidence-based revision, consensus-pressure revision, no meaningful update, and unsupported flip — provides the first operationalised metric for debate quality in financial LLM systems, constituting Contribution 3.</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5. SPAR System Architecture</w:t>
      </w:r>
    </w:p>
    <w:p>
      <w:pPr>
        <w:spacing w:after="120" w:before="80"/>
      </w:pPr>
      <w:r>
        <w:rPr>
          <w:rFonts w:ascii="Arial" w:cs="Arial" w:eastAsia="Arial" w:hAnsi="Arial"/>
          <w:color w:val="111111"/>
          <w:sz w:val="22"/>
          <w:szCs w:val="22"/>
        </w:rPr>
        <w:t xml:space="preserve">SPAR is organised as a directed graph managed by LangGraph, an orchestration framework for multi-agent LLM pipelines. The graph has a shared State object that all nodes read from and write to, with the rule that no node can delete or overwrite another node's contribution — only append to it. The pipeline consists of four layers traversed sequentially with two conditional branching points.</w:t>
      </w:r>
    </w:p>
    <w:p>
      <w:pPr>
        <w:pStyle w:val="Heading2"/>
        <w:spacing w:after="100" w:before="280"/>
      </w:pPr>
      <w:r>
        <w:rPr>
          <w:rFonts w:ascii="Arial" w:cs="Arial" w:eastAsia="Arial" w:hAnsi="Arial"/>
          <w:b/>
          <w:bCs/>
          <w:color w:val="2E5FA3"/>
          <w:sz w:val="25"/>
          <w:szCs w:val="25"/>
        </w:rPr>
        <w:t xml:space="preserve">5.1 Layer 0 — Shock Classification and Targeted Retrieval</w:t>
      </w:r>
    </w:p>
    <w:p>
      <w:pPr>
        <w:pStyle w:val="Heading3"/>
        <w:spacing w:after="80" w:before="220"/>
      </w:pPr>
      <w:r>
        <w:rPr>
          <w:rFonts w:ascii="Arial" w:cs="Arial" w:eastAsia="Arial" w:hAnsi="Arial"/>
          <w:b/>
          <w:bCs/>
          <w:color w:val="5A6A85"/>
          <w:sz w:val="22"/>
          <w:szCs w:val="22"/>
        </w:rPr>
        <w:t xml:space="preserve">5.1.1 Regime Classifier</w:t>
      </w:r>
    </w:p>
    <w:p>
      <w:pPr>
        <w:spacing w:after="120" w:before="80"/>
      </w:pPr>
      <w:r>
        <w:rPr>
          <w:rFonts w:ascii="Arial" w:cs="Arial" w:eastAsia="Arial" w:hAnsi="Arial"/>
          <w:color w:val="111111"/>
          <w:sz w:val="22"/>
          <w:szCs w:val="22"/>
        </w:rPr>
        <w:t xml:space="preserve">The first node executed for any incoming shock reads six current market regime indicators from live API data before any agent is activated. This step is essential because the same geopolitical shock has materially different financial consequences depending on the macroeconomic environment it enters. A crude oil supply disruption hitting markets when inflation is already above the Federal Reserve's 2% target and monetary policy is in a tightening cycle produces fundamentally different sector dynamics than the same disruption during a low-inflation, accommodative policy environment.</w:t>
      </w:r>
    </w:p>
    <w:p>
      <w:pPr>
        <w:spacing w:after="120" w:before="80"/>
      </w:pPr>
      <w:r>
        <w:rPr>
          <w:rFonts w:ascii="Arial" w:cs="Arial" w:eastAsia="Arial" w:hAnsi="Arial"/>
          <w:color w:val="111111"/>
          <w:sz w:val="22"/>
          <w:szCs w:val="22"/>
        </w:rPr>
        <w:t xml:space="preserve">The six regime dimensions and their data sources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Dimension</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Measure</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Data Source</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Label Logic</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Growth</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Real GDP YoY growth vs. 5yr avg</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FRED: A191RL1Q225SBEA</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Strong / Weak</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Inflation</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Core PCE vs. 2% Fed target</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FRED: PCEPILFE</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Rising / Falling</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Liquidity</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Fed Funds Rate trajectory</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FRED: FEDFUNDS (12m trend)</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Tight / Loose</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External</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US Current Account as % GDP</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FRED: NETFI</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Vulnerable / Stable</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Valuation</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S&amp;P 500 P/E vs. 20yr avg</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yfinance S&amp;P 500</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Stretched / Fair</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Volatility</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VIX vs. 12m rolling avg</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yfinance ^VIX</w:t>
            </w:r>
          </w:p>
        </w:tc>
        <w:tc>
          <w:tcPr>
            <w:tcW w:type="dxa" w:w="2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Stressed / Calm</w:t>
            </w:r>
          </w:p>
        </w:tc>
      </w:tr>
    </w:tbl>
    <w:p>
      <w:r>
        <w:t xml:space="preserve"/>
      </w:r>
    </w:p>
    <w:p>
      <w:pPr>
        <w:spacing w:after="120" w:before="80"/>
      </w:pPr>
      <w:r>
        <w:rPr>
          <w:rFonts w:ascii="Arial" w:cs="Arial" w:eastAsia="Arial" w:hAnsi="Arial"/>
          <w:color w:val="111111"/>
          <w:sz w:val="22"/>
          <w:szCs w:val="22"/>
        </w:rPr>
        <w:t xml:space="preserve">The regime profile is stored in the shared State as a structured object and included in every agent's context package, so each agent can calibrate its reasoning to the current environment rather than applying historical analogue magnitudes without adjustment.</w:t>
      </w:r>
    </w:p>
    <w:p>
      <w:pPr>
        <w:pStyle w:val="Heading3"/>
        <w:spacing w:after="80" w:before="220"/>
      </w:pPr>
      <w:r>
        <w:rPr>
          <w:rFonts w:ascii="Arial" w:cs="Arial" w:eastAsia="Arial" w:hAnsi="Arial"/>
          <w:b/>
          <w:bCs/>
          <w:color w:val="5A6A85"/>
          <w:sz w:val="22"/>
          <w:szCs w:val="22"/>
        </w:rPr>
        <w:t xml:space="preserve">5.1.2 Six-Axis Shock Profiler</w:t>
      </w:r>
    </w:p>
    <w:p>
      <w:pPr>
        <w:spacing w:after="120" w:before="80"/>
      </w:pPr>
      <w:r>
        <w:rPr>
          <w:rFonts w:ascii="Arial" w:cs="Arial" w:eastAsia="Arial" w:hAnsi="Arial"/>
          <w:color w:val="111111"/>
          <w:sz w:val="22"/>
          <w:szCs w:val="22"/>
        </w:rPr>
        <w:t xml:space="preserve">The Shock Profiler is the second node in Layer 0. It takes the user's natural-language shock description and the regime profile and produces a six-axis shock profile that drives all downstream routing and retrieval decisions. Each axis is computed from a different source, ensuring no single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60"/>
        <w:gridCol w:w="240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Axis</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Description</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Computation</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Output</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Category</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One of 7 shock types</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LLM classification from input text</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Routes agent subset</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Analogues</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Top 3 historical matches</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3D matching (see 5.1.3)</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Actual S&amp;P 500 delta %</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Channels</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Market transmission pathways</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LLM extraction + GPR taxonomy</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Seeds agent RAG queries</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US Exposure</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Direct / adjacent / global</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GDELT geographic coding</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Weights analogue similarity</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GPR Context</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Current vs. 10yr avg GPR</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Caldara-Iacoviello API</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Amplification factor</w:t>
            </w:r>
          </w:p>
        </w:tc>
      </w:tr>
      <w:tr>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RAG Seeds</w:t>
            </w:r>
          </w:p>
        </w:tc>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6 targeted search strings</w:t>
            </w:r>
          </w:p>
        </w:tc>
        <w:tc>
          <w:tcPr>
            <w:tcW w:type="dxa" w:w="23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Axis 1+3 combination</w:t>
            </w:r>
          </w:p>
        </w:tc>
        <w:tc>
          <w:tcPr>
            <w:tcW w:type="dxa" w:w="24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11111"/>
                <w:sz w:val="20"/>
                <w:szCs w:val="20"/>
              </w:rPr>
              <w:t xml:space="preserve">Per-agent retrieval queries</w:t>
            </w:r>
          </w:p>
        </w:tc>
      </w:tr>
    </w:tbl>
    <w:p>
      <w:r>
        <w:t xml:space="preserve"/>
      </w:r>
    </w:p>
    <w:p>
      <w:pPr>
        <w:pStyle w:val="Heading3"/>
        <w:spacing w:after="80" w:before="220"/>
      </w:pPr>
      <w:r>
        <w:rPr>
          <w:rFonts w:ascii="Arial" w:cs="Arial" w:eastAsia="Arial" w:hAnsi="Arial"/>
          <w:b/>
          <w:bCs/>
          <w:color w:val="5A6A85"/>
          <w:sz w:val="22"/>
          <w:szCs w:val="22"/>
        </w:rPr>
        <w:t xml:space="preserve">5.1.3 Three-Dimensional Analogue Matching Algorithm</w:t>
      </w:r>
    </w:p>
    <w:p>
      <w:pPr>
        <w:spacing w:after="120" w:before="80"/>
      </w:pPr>
      <w:r>
        <w:rPr>
          <w:rFonts w:ascii="Arial" w:cs="Arial" w:eastAsia="Arial" w:hAnsi="Arial"/>
          <w:color w:val="111111"/>
          <w:sz w:val="22"/>
          <w:szCs w:val="22"/>
        </w:rPr>
        <w:t xml:space="preserve">The analogue matching algorithm retrieves the three most historically similar events for any incoming shock. The similarity score S(e, q) between a historical event e and the query shock q is computed as: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S(e, q) = w1 x Cat(e,q) + w2 x Geo(e,q) + w3 x Reg(e,q)</w:t>
      </w:r>
    </w:p>
    <w:p>
      <w:pPr>
        <w:spacing w:after="120" w:before="80"/>
      </w:pPr>
      <w:r>
        <w:rPr>
          <w:rFonts w:ascii="Arial" w:cs="Arial" w:eastAsia="Arial" w:hAnsi="Arial"/>
          <w:color w:val="111111"/>
          <w:sz w:val="22"/>
          <w:szCs w:val="22"/>
        </w:rPr>
        <w:t xml:space="preserve">Where:</w:t>
      </w:r>
    </w:p>
    <w:p>
      <w:pPr>
        <w:pStyle w:val="ListParagraph"/>
        <w:numPr>
          <w:ilvl w:val="0"/>
          <w:numId w:val="2"/>
        </w:numPr>
        <w:spacing w:after="60" w:before="60"/>
      </w:pPr>
      <w:r>
        <w:rPr>
          <w:rFonts w:ascii="Arial" w:cs="Arial" w:eastAsia="Arial" w:hAnsi="Arial"/>
          <w:color w:val="111111"/>
          <w:sz w:val="22"/>
          <w:szCs w:val="22"/>
        </w:rPr>
        <w:t xml:space="preserve">Cat(e,q) = 1 if event e and query q share the same shock category, 0 otherwise. Category is one of: Military/Conflict, Terrorism, Energy Supply, Trade Policy, Political Transition, Sanctions, Pandemic/Health.</w:t>
      </w:r>
    </w:p>
    <w:p>
      <w:pPr>
        <w:pStyle w:val="ListParagraph"/>
        <w:numPr>
          <w:ilvl w:val="0"/>
          <w:numId w:val="2"/>
        </w:numPr>
        <w:spacing w:after="60" w:before="60"/>
      </w:pPr>
      <w:r>
        <w:rPr>
          <w:rFonts w:ascii="Arial" w:cs="Arial" w:eastAsia="Arial" w:hAnsi="Arial"/>
          <w:color w:val="111111"/>
          <w:sz w:val="22"/>
          <w:szCs w:val="22"/>
        </w:rPr>
        <w:t xml:space="preserve">Geo(e,q) = US involvement similarity score (1 = US directly involved, 0.6 = major trading partner involved, 0.3 = adjacent region, 0 = distant). Computed from GDELT actor coding.</w:t>
      </w:r>
    </w:p>
    <w:p>
      <w:pPr>
        <w:pStyle w:val="ListParagraph"/>
        <w:numPr>
          <w:ilvl w:val="0"/>
          <w:numId w:val="2"/>
        </w:numPr>
        <w:spacing w:after="60" w:before="60"/>
      </w:pPr>
      <w:r>
        <w:rPr>
          <w:rFonts w:ascii="Arial" w:cs="Arial" w:eastAsia="Arial" w:hAnsi="Arial"/>
          <w:color w:val="111111"/>
          <w:sz w:val="22"/>
          <w:szCs w:val="22"/>
        </w:rPr>
        <w:t xml:space="preserve">Reg(e,q) = regime similarity score. Computed as 1 minus the Euclidean distance between the six-dimensional regime vectors of event e (at the time of occurrence) and current regime q, normalised to [0,1].</w:t>
      </w:r>
    </w:p>
    <w:p>
      <w:pPr>
        <w:pStyle w:val="ListParagraph"/>
        <w:numPr>
          <w:ilvl w:val="0"/>
          <w:numId w:val="2"/>
        </w:numPr>
        <w:spacing w:after="60" w:before="60"/>
      </w:pPr>
      <w:r>
        <w:rPr>
          <w:rFonts w:ascii="Arial" w:cs="Arial" w:eastAsia="Arial" w:hAnsi="Arial"/>
          <w:color w:val="111111"/>
          <w:sz w:val="22"/>
          <w:szCs w:val="22"/>
        </w:rPr>
        <w:t xml:space="preserve">Weights: w1 = 0.45, w2 = 0.30, w3 = 0.25. Category match is weighted most heavily because it determines the primary transmission channel. Weights are calibrated on held-out validation events.</w:t>
      </w:r>
    </w:p>
    <w:p>
      <w:pPr>
        <w:spacing w:after="120" w:before="80"/>
      </w:pPr>
      <w:r>
        <w:rPr>
          <w:rFonts w:ascii="Arial" w:cs="Arial" w:eastAsia="Arial" w:hAnsi="Arial"/>
          <w:color w:val="111111"/>
          <w:sz w:val="22"/>
          <w:szCs w:val="22"/>
        </w:rPr>
        <w:t xml:space="preserve">The top three events by S(e, q) are retrieved along with their actual recorded S&amp;P 500 sector returns over the five trading days following the event, sourced from yfinance. These form the historical grounding for every agent's opening context.</w:t>
      </w:r>
    </w:p>
    <w:p>
      <w:pPr>
        <w:pStyle w:val="Heading3"/>
        <w:spacing w:after="80" w:before="220"/>
      </w:pPr>
      <w:r>
        <w:rPr>
          <w:rFonts w:ascii="Arial" w:cs="Arial" w:eastAsia="Arial" w:hAnsi="Arial"/>
          <w:b/>
          <w:bCs/>
          <w:color w:val="5A6A85"/>
          <w:sz w:val="22"/>
          <w:szCs w:val="22"/>
        </w:rPr>
        <w:t xml:space="preserve">5.1.4 Agent Routing</w:t>
      </w:r>
    </w:p>
    <w:p>
      <w:pPr>
        <w:spacing w:after="120" w:before="80"/>
      </w:pPr>
      <w:r>
        <w:rPr>
          <w:rFonts w:ascii="Arial" w:cs="Arial" w:eastAsia="Arial" w:hAnsi="Arial"/>
          <w:color w:val="111111"/>
          <w:sz w:val="22"/>
          <w:szCs w:val="22"/>
        </w:rPr>
        <w:t xml:space="preserve">Based on the shock category from Axis 1 and the transmission channels from Axis 3, Layer 0 activates only the agents whose domains are relevant to the shock. Dormant agents receive no prompt and incur no API cost. The routing table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40"/>
        <w:gridCol w:w="1340"/>
        <w:gridCol w:w="1340"/>
        <w:gridCol w:w="1340"/>
        <w:gridCol w:w="1400"/>
        <w:gridCol w:w="1000"/>
      </w:tblGrid>
      <w:tr>
        <w:trPr>
          <w:tblHeader/>
        </w:trPr>
        <w:tc>
          <w:tcPr>
            <w:tcW w:type="dxa" w:w="260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Shock Category</w:t>
            </w:r>
          </w:p>
        </w:tc>
        <w:tc>
          <w:tcPr>
            <w:tcW w:type="dxa" w:w="1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Pol+Geo</w:t>
            </w:r>
          </w:p>
        </w:tc>
        <w:tc>
          <w:tcPr>
            <w:tcW w:type="dxa" w:w="1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Econ+Mkt</w:t>
            </w:r>
          </w:p>
        </w:tc>
        <w:tc>
          <w:tcPr>
            <w:tcW w:type="dxa" w:w="1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Env+Tech</w:t>
            </w:r>
          </w:p>
        </w:tc>
        <w:tc>
          <w:tcPr>
            <w:tcW w:type="dxa" w:w="1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Social</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DA</w:t>
            </w:r>
          </w:p>
        </w:tc>
        <w:tc>
          <w:tcPr>
            <w:tcW w:type="dxa" w:w="100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Active</w:t>
            </w:r>
          </w:p>
        </w:tc>
      </w:tr>
      <w:tr>
        <w:tc>
          <w:tcPr>
            <w:tcW w:type="dxa" w:w="26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Military/Conflict</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6B1A1A"/>
                <w:sz w:val="19"/>
                <w:szCs w:val="19"/>
              </w:rPr>
              <w:t xml:space="preserve">Dormant</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6B1A1A"/>
                <w:sz w:val="19"/>
                <w:szCs w:val="19"/>
              </w:rPr>
              <w:t xml:space="preserve">Dormant</w:t>
            </w:r>
          </w:p>
        </w:tc>
        <w:tc>
          <w:tcPr>
            <w:tcW w:type="dxa" w:w="1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Always</w:t>
            </w:r>
          </w:p>
        </w:tc>
        <w:tc>
          <w:tcPr>
            <w:tcW w:type="dxa" w:w="1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Energy Supply</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B5E00"/>
                <w:sz w:val="19"/>
                <w:szCs w:val="19"/>
              </w:rPr>
              <w:t xml:space="preserve">Partial</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1A1A"/>
                <w:sz w:val="19"/>
                <w:szCs w:val="19"/>
              </w:rPr>
              <w:t xml:space="preserve">Dormant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Always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4</w:t>
            </w:r>
          </w:p>
        </w:tc>
      </w:tr>
      <w:tr>
        <w:tc>
          <w:tcPr>
            <w:tcW w:type="dxa" w:w="26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Trade Policy</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6B1A1A"/>
                <w:sz w:val="19"/>
                <w:szCs w:val="19"/>
              </w:rPr>
              <w:t xml:space="preserve">Dormant</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8B5E00"/>
                <w:sz w:val="19"/>
                <w:szCs w:val="19"/>
              </w:rPr>
              <w:t xml:space="preserve">Partial</w:t>
            </w:r>
          </w:p>
        </w:tc>
        <w:tc>
          <w:tcPr>
            <w:tcW w:type="dxa" w:w="1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Always</w:t>
            </w:r>
          </w:p>
        </w:tc>
        <w:tc>
          <w:tcPr>
            <w:tcW w:type="dxa" w:w="1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4</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Terrorism</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Always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5</w:t>
            </w:r>
          </w:p>
        </w:tc>
      </w:tr>
      <w:tr>
        <w:tc>
          <w:tcPr>
            <w:tcW w:type="dxa" w:w="26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Political Transition</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55724"/>
                <w:sz w:val="19"/>
                <w:szCs w:val="19"/>
              </w:rPr>
              <w:t xml:space="preserve">Active</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6B1A1A"/>
                <w:sz w:val="19"/>
                <w:szCs w:val="19"/>
              </w:rPr>
              <w:t xml:space="preserve">Dormant</w:t>
            </w:r>
          </w:p>
        </w:tc>
        <w:tc>
          <w:tcPr>
            <w:tcW w:type="dxa" w:w="13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8B5E00"/>
                <w:sz w:val="19"/>
                <w:szCs w:val="19"/>
              </w:rPr>
              <w:t xml:space="preserve">Partial</w:t>
            </w:r>
          </w:p>
        </w:tc>
        <w:tc>
          <w:tcPr>
            <w:tcW w:type="dxa" w:w="1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Always</w:t>
            </w:r>
          </w:p>
        </w:tc>
        <w:tc>
          <w:tcPr>
            <w:tcW w:type="dxa" w:w="1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4</w:t>
            </w:r>
          </w:p>
        </w:tc>
      </w:tr>
    </w:tbl>
    <w:p>
      <w:r>
        <w:t xml:space="preserve"/>
      </w:r>
    </w:p>
    <w:p>
      <w:pPr>
        <w:pStyle w:val="Heading2"/>
        <w:spacing w:after="100" w:before="280"/>
      </w:pPr>
      <w:r>
        <w:rPr>
          <w:rFonts w:ascii="Arial" w:cs="Arial" w:eastAsia="Arial" w:hAnsi="Arial"/>
          <w:b/>
          <w:bCs/>
          <w:color w:val="2E5FA3"/>
          <w:sz w:val="25"/>
          <w:szCs w:val="25"/>
        </w:rPr>
        <w:t xml:space="preserve">5.2 Layer 1 — Specialist Debate with Explore/Exploit Control</w:t>
      </w:r>
    </w:p>
    <w:p>
      <w:pPr>
        <w:pStyle w:val="Heading3"/>
        <w:spacing w:after="80" w:before="220"/>
      </w:pPr>
      <w:r>
        <w:rPr>
          <w:rFonts w:ascii="Arial" w:cs="Arial" w:eastAsia="Arial" w:hAnsi="Arial"/>
          <w:b/>
          <w:bCs/>
          <w:color w:val="5A6A85"/>
          <w:sz w:val="22"/>
          <w:szCs w:val="22"/>
        </w:rPr>
        <w:t xml:space="preserve">5.2.1 The Five Merged Domain Agents</w:t>
      </w:r>
    </w:p>
    <w:p>
      <w:pPr>
        <w:spacing w:after="120" w:before="80"/>
      </w:pPr>
      <w:r>
        <w:rPr>
          <w:rFonts w:ascii="Arial" w:cs="Arial" w:eastAsia="Arial" w:hAnsi="Arial"/>
          <w:color w:val="111111"/>
          <w:sz w:val="22"/>
          <w:szCs w:val="22"/>
        </w:rPr>
        <w:t xml:space="preserve">Following faculty guidance, the original nine specialist roles have been consolidated into five agents that are independently resolvable and executable on consumer-grade hardware without GPU clusters. Each agent receives: the shock description, the regime profile, the top-3 historical analogues with actual market outcomes, the RAG-retrieved news and data specific to its domain, and all prior round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Agent</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Domains Covered</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Primary Data Sources</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Key Questions</w:t>
            </w:r>
          </w:p>
        </w:tc>
      </w:tr>
      <w:tr>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Political &amp; Geopolitical</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Government stability, elections, cross-border conflict, military, sanctions, QUAD, alliances</w:t>
            </w:r>
          </w:p>
        </w:tc>
        <w:tc>
          <w:tcPr>
            <w:tcW w:type="dxa" w:w="25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GPR Index, GDELT (military/conflict events), news RAG</w:t>
            </w:r>
          </w:p>
        </w:tc>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How will governments respond? What is the conflict escalation probability? Which bilateral relationships are strained?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Economic, Fiscal &amp; Market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GDP, inflation, fiscal policy, trade balance, sector returns, FII flows, VIX, options signals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FRED (macro), yfinance (S&amp;P 500 sectors, VIX), GDELT (trade events)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What macro variables shift? Which sectors are exposed? How do institutional investors typically reposition?</w:t>
            </w:r>
          </w:p>
        </w:tc>
      </w:tr>
      <w:tr>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Environmental &amp; Technology</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Energy supply chains, commodity markets, cyber infrastructure risk, technology sector sensitivity</w:t>
            </w:r>
          </w:p>
        </w:tc>
        <w:tc>
          <w:tcPr>
            <w:tcW w:type="dxa" w:w="25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FRED (WTI, natural gas), CERT-like cyber incident databases, sector ETF data</w:t>
            </w:r>
          </w:p>
        </w:tc>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Are physical supply chains disrupted? Is there cyber escalation risk? How does technology sector exposure change?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Social &amp; Behavioural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Consumer confidence, labour market sentiment, retail investor behaviour, social unrest probability</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FRED (consumer sentiment, unemployment), Google Trends (via pytrends), AMFI-equivalent flows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How does public sentiment shift? Does retail selling pressure amplify the move? Are there social stability risks?</w:t>
            </w:r>
          </w:p>
        </w:tc>
      </w:tr>
      <w:tr>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Devil's Advocate</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All domains — mandatory contrarian role</w:t>
            </w:r>
          </w:p>
        </w:tc>
        <w:tc>
          <w:tcPr>
            <w:tcW w:type="dxa" w:w="25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All agent outputs from the current round</w:t>
            </w:r>
          </w:p>
        </w:tc>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What is the weakest assumption in the emerging consensus? What historical analogue is being ignored? What scenario has the debate systematically avoided?</w:t>
            </w:r>
          </w:p>
        </w:tc>
      </w:tr>
    </w:tbl>
    <w:p>
      <w:r>
        <w:t xml:space="preserve"/>
      </w:r>
    </w:p>
    <w:p>
      <w:pPr>
        <w:pStyle w:val="Heading3"/>
        <w:spacing w:after="80" w:before="220"/>
      </w:pPr>
      <w:r>
        <w:rPr>
          <w:rFonts w:ascii="Arial" w:cs="Arial" w:eastAsia="Arial" w:hAnsi="Arial"/>
          <w:b/>
          <w:bCs/>
          <w:color w:val="5A6A85"/>
          <w:sz w:val="22"/>
          <w:szCs w:val="22"/>
        </w:rPr>
        <w:t xml:space="preserve">5.2.2 Temporal Isolation — Addressing Look-Ahead Bias</w:t>
      </w:r>
    </w:p>
    <w:p>
      <w:pPr>
        <w:spacing w:after="120" w:before="80"/>
      </w:pPr>
      <w:r>
        <w:rPr>
          <w:rFonts w:ascii="Arial" w:cs="Arial" w:eastAsia="Arial" w:hAnsi="Arial"/>
          <w:color w:val="111111"/>
          <w:sz w:val="22"/>
          <w:szCs w:val="22"/>
        </w:rPr>
        <w:t xml:space="preserve">This is one of the most critical methodological decisions in the entire system and directly addresses a concern raised in review. All frontier LLMs used in this study were trained on data that includes post-event analyses, news retrospectives, and academic papers covering the historical events in our test set. An agent asked about September 11 will pattern-match against training data that includes every post-event financial analysis ever published. This is look-ahead bias — the agent effectively knows the answer before the debate begins.</w:t>
      </w:r>
    </w:p>
    <w:p>
      <w:pPr>
        <w:spacing w:after="120" w:before="80"/>
      </w:pPr>
      <w:r>
        <w:rPr>
          <w:rFonts w:ascii="Arial" w:cs="Arial" w:eastAsia="Arial" w:hAnsi="Arial"/>
          <w:color w:val="111111"/>
          <w:sz w:val="22"/>
          <w:szCs w:val="22"/>
        </w:rPr>
        <w:t xml:space="preserve">We address this through temporal isolation, a prompt engineering technique applied at the system-prompt level for every agent on every historical test event. The technique has three components:</w:t>
      </w:r>
    </w:p>
    <w:p>
      <w:pPr>
        <w:pStyle w:val="ListParagraph"/>
        <w:numPr>
          <w:ilvl w:val="0"/>
          <w:numId w:val="3"/>
        </w:numPr>
        <w:spacing w:after="60" w:before="60"/>
      </w:pPr>
      <w:r>
        <w:rPr>
          <w:rFonts w:ascii="Arial" w:cs="Arial" w:eastAsia="Arial" w:hAnsi="Arial"/>
          <w:color w:val="111111"/>
          <w:sz w:val="22"/>
          <w:szCs w:val="22"/>
        </w:rPr>
        <w:t xml:space="preserve">Knowledge Horizon Declaration: Every agent system prompt begins with an explicit knowledge cutoff instruction. For the 9/11 test event, every agent receives: 'You are a domain specialist operating as of market close on September 10, 2001. The following event has just occurred overnight. Your analysis must be grounded exclusively in information, data, and market conditions available before this date. You must not draw on any knowledge of how markets actually responded to this event. Your task is to forecast, not to recall.'</w:t>
      </w:r>
    </w:p>
    <w:p>
      <w:pPr>
        <w:pStyle w:val="ListParagraph"/>
        <w:numPr>
          <w:ilvl w:val="0"/>
          <w:numId w:val="3"/>
        </w:numPr>
        <w:spacing w:after="60" w:before="60"/>
      </w:pPr>
      <w:r>
        <w:rPr>
          <w:rFonts w:ascii="Arial" w:cs="Arial" w:eastAsia="Arial" w:hAnsi="Arial"/>
          <w:color w:val="111111"/>
          <w:sz w:val="22"/>
          <w:szCs w:val="22"/>
        </w:rPr>
        <w:t xml:space="preserve">Date-Bounded RAG Retrieval: All news retrieval queries passed to NewsAPI and GDELT include a strict date filter: retrieved documents must have publication dates before the event date. For 9/11, all retrieved news articles must predate September 11, 2001. This ensures that the agent's context package contains only information that would have been available to a real analyst on the morning of the shock.</w:t>
      </w:r>
    </w:p>
    <w:p>
      <w:pPr>
        <w:pStyle w:val="ListParagraph"/>
        <w:numPr>
          <w:ilvl w:val="0"/>
          <w:numId w:val="3"/>
        </w:numPr>
        <w:spacing w:after="60" w:before="60"/>
      </w:pPr>
      <w:r>
        <w:rPr>
          <w:rFonts w:ascii="Arial" w:cs="Arial" w:eastAsia="Arial" w:hAnsi="Arial"/>
          <w:color w:val="111111"/>
          <w:sz w:val="22"/>
          <w:szCs w:val="22"/>
        </w:rPr>
        <w:t xml:space="preserve">Data API Temporal Restriction: All yfinance and FRED API calls for historical test events use an end_date parameter set to the trading day immediately before the event. Agents receive market data — sector returns, VIX levels, spread data — only up to the pre-event state. They cannot see the market reaction they are asked to predict.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8B5E00"/>
                <w:sz w:val="20"/>
                <w:szCs w:val="20"/>
              </w:rPr>
              <w:t xml:space="preserve">Implementation Example — 9/11 Attack (September 11, 2001)</w:t>
            </w:r>
          </w:p>
          <w:p>
            <w:pPr>
              <w:spacing w:after="0" w:before="0"/>
            </w:pPr>
            <w:r>
              <w:rPr>
                <w:rFonts w:ascii="Arial" w:cs="Arial" w:eastAsia="Arial" w:hAnsi="Arial"/>
                <w:color w:val="111111"/>
                <w:sz w:val="21"/>
                <w:szCs w:val="21"/>
              </w:rPr>
              <w:t xml:space="preserve">System prompt prefix: 'You are a Political and Geopolitical specialist working as of close of business September 10, 2001. A major terrorist attack using commercial aircraft has just occurred in New York City and Washington DC. Based only on information available before today and the context provided below, analyse the geopolitical implications for US financial markets. Do not reference any post-event market data, news analysis, or policy responses you may have encountered in training. Your analysis should reflect the genuine uncertainty of the morning of September 11 before markets opened.'</w:t>
            </w:r>
          </w:p>
        </w:tc>
      </w:tr>
    </w:tbl>
    <w:p>
      <w:r>
        <w:t xml:space="preserve"/>
      </w:r>
    </w:p>
    <w:p>
      <w:pPr>
        <w:spacing w:after="120" w:before="80"/>
      </w:pPr>
      <w:r>
        <w:rPr>
          <w:rFonts w:ascii="Arial" w:cs="Arial" w:eastAsia="Arial" w:hAnsi="Arial"/>
          <w:color w:val="111111"/>
          <w:sz w:val="22"/>
          <w:szCs w:val="22"/>
        </w:rPr>
        <w:t xml:space="preserve">This approach cannot fully eliminate look-ahead bias — LLMs cannot surgically remove specific training memories — but it significantly constrains the retrieval and reasoning pathways available to the model and creates a more realistic simulation of real-time analysis. For the most recent test event (US-China tariff escalation, April 2025), training data coverage is thinner and the temporal isolation effect is strongest.</w:t>
      </w:r>
    </w:p>
    <w:p>
      <w:pPr>
        <w:pStyle w:val="Heading3"/>
        <w:spacing w:after="80" w:before="220"/>
      </w:pPr>
      <w:r>
        <w:rPr>
          <w:rFonts w:ascii="Arial" w:cs="Arial" w:eastAsia="Arial" w:hAnsi="Arial"/>
          <w:b/>
          <w:bCs/>
          <w:color w:val="5A6A85"/>
          <w:sz w:val="22"/>
          <w:szCs w:val="22"/>
        </w:rPr>
        <w:t xml:space="preserve">5.2.3 Debate Round Structure</w:t>
      </w:r>
    </w:p>
    <w:p>
      <w:pPr>
        <w:spacing w:after="120" w:before="80"/>
      </w:pPr>
      <w:r>
        <w:rPr>
          <w:rFonts w:ascii="Arial" w:cs="Arial" w:eastAsia="Arial" w:hAnsi="Arial"/>
          <w:color w:val="111111"/>
          <w:sz w:val="22"/>
          <w:szCs w:val="22"/>
        </w:rPr>
        <w:t xml:space="preserve">Each debate round follows a strict protocol designed to produce machine-parseable outputs that can be scored programmatically. Agents are instructed to format their output as structured JSON with the following mandatory fields: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{"direction": "negative/positive/neutral", "magnitude_pct": {"S&amp;P500": -X, "XLE": Y, ...}, "confidence": 0.XX, "key_assumption": "...", "supporting_evidence": ["...", "..."], "transmission_channels": ["...", "..."], "response_to": {"agent_id": "...", "agreement": "...", "disagreement": "..."}}</w:t>
      </w:r>
    </w:p>
    <w:p>
      <w:pPr>
        <w:spacing w:after="120" w:before="80"/>
      </w:pPr>
      <w:r>
        <w:rPr>
          <w:rFonts w:ascii="Arial" w:cs="Arial" w:eastAsia="Arial" w:hAnsi="Arial"/>
          <w:color w:val="111111"/>
          <w:sz w:val="22"/>
          <w:szCs w:val="22"/>
        </w:rPr>
        <w:t xml:space="preserve">Round 0 is a pre-debate grounding round in which every active agent must explicitly state: (a) which of the three retrieved historical analogues is most applicable to the current shock and why, and (b) one way in which the current shock is materially different from that analogue. This prevents agents from implicitly pattern-matching to a single historical event without critical examination.</w:t>
      </w:r>
    </w:p>
    <w:p>
      <w:pPr>
        <w:spacing w:after="120" w:before="80"/>
      </w:pPr>
      <w:r>
        <w:rPr>
          <w:rFonts w:ascii="Arial" w:cs="Arial" w:eastAsia="Arial" w:hAnsi="Arial"/>
          <w:color w:val="111111"/>
          <w:sz w:val="22"/>
          <w:szCs w:val="22"/>
        </w:rPr>
        <w:t xml:space="preserve">Round 1 is the opening position round. Agents produce independent assessments without seeing each other's outputs. This prevents the first-speaker anchoring effect documented in LLM debate literature, where subsequent agents systematically shift toward the first response regardless of its quality.</w:t>
      </w:r>
    </w:p>
    <w:p>
      <w:pPr>
        <w:spacing w:after="120" w:before="80"/>
      </w:pPr>
      <w:r>
        <w:rPr>
          <w:rFonts w:ascii="Arial" w:cs="Arial" w:eastAsia="Arial" w:hAnsi="Arial"/>
          <w:color w:val="111111"/>
          <w:sz w:val="22"/>
          <w:szCs w:val="22"/>
        </w:rPr>
        <w:t xml:space="preserve">Round 2 is the cross-examination round. All Round 1 outputs are revealed simultaneously. Agents must read all other outputs and produce: one substantive agreement with at least one other agent's reasoning, one evidence-grounded disagreement with at least one other agent, and an updated position with explicit attribution of what changed. The Devil's Advocate issues its targeted challenge in this round, focusing on the weakest evidential claim across all active agents.</w:t>
      </w:r>
    </w:p>
    <w:p>
      <w:pPr>
        <w:spacing w:after="120" w:before="80"/>
      </w:pPr>
      <w:r>
        <w:rPr>
          <w:rFonts w:ascii="Arial" w:cs="Arial" w:eastAsia="Arial" w:hAnsi="Arial"/>
          <w:color w:val="111111"/>
          <w:sz w:val="22"/>
          <w:szCs w:val="22"/>
        </w:rPr>
        <w:t xml:space="preserve">Round 3 is the final position round. Agents issue their definitive assessments and must explicitly state whether their directional call or magnitude estimate changed from Round 1, and if so, what evidence or argument drove the change.</w:t>
      </w:r>
    </w:p>
    <w:p>
      <w:pPr>
        <w:pStyle w:val="Heading3"/>
        <w:spacing w:after="80" w:before="220"/>
      </w:pPr>
      <w:r>
        <w:rPr>
          <w:rFonts w:ascii="Arial" w:cs="Arial" w:eastAsia="Arial" w:hAnsi="Arial"/>
          <w:b/>
          <w:bCs/>
          <w:color w:val="5A6A85"/>
          <w:sz w:val="22"/>
          <w:szCs w:val="22"/>
        </w:rPr>
        <w:t xml:space="preserve">5.2.4 Explore / Exploit Stopping Criterion</w:t>
      </w:r>
    </w:p>
    <w:p>
      <w:pPr>
        <w:spacing w:after="120" w:before="80"/>
      </w:pPr>
      <w:r>
        <w:rPr>
          <w:rFonts w:ascii="Arial" w:cs="Arial" w:eastAsia="Arial" w:hAnsi="Arial"/>
          <w:color w:val="111111"/>
          <w:sz w:val="22"/>
          <w:szCs w:val="22"/>
        </w:rPr>
        <w:t xml:space="preserve">The Continuation Controller is the decision node that determines whether the debate should continue (explore) or terminate (exploit). It executes after every completed round and computes a Debate Continuation Score (DCS) from three signals: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DCS = 0.40 x DS + 0.40 x IG + 0.20 x (1 - RE)</w:t>
      </w:r>
    </w:p>
    <w:p>
      <w:pPr>
        <w:spacing w:after="120" w:before="80"/>
      </w:pPr>
      <w:r>
        <w:rPr>
          <w:rFonts w:ascii="Arial" w:cs="Arial" w:eastAsia="Arial" w:hAnsi="Arial"/>
          <w:color w:val="111111"/>
          <w:sz w:val="22"/>
          <w:szCs w:val="22"/>
        </w:rPr>
        <w:t xml:space="preserve">Signal definitions and computation methods:</w:t>
      </w:r>
    </w:p>
    <w:p>
      <w:pPr>
        <w:pStyle w:val="ListParagraph"/>
        <w:numPr>
          <w:ilvl w:val="0"/>
          <w:numId w:val="2"/>
        </w:numPr>
        <w:spacing w:after="60" w:before="60"/>
      </w:pPr>
      <w:r>
        <w:rPr>
          <w:rFonts w:ascii="Arial" w:cs="Arial" w:eastAsia="Arial" w:hAnsi="Arial"/>
          <w:color w:val="111111"/>
          <w:sz w:val="22"/>
          <w:szCs w:val="22"/>
        </w:rPr>
        <w:t xml:space="preserve">DS — Disagreement Score: The normalised variance in the directional magnitude estimates across all active agents. Computed as: DS = std(magnitude_estimates) / max_possible_range, capped at 1.0. High DS indicates agents still see the shock materially differently. A DCS contribution of 0.40 makes this the most influential signal because genuine disagreement is the primary justification for continued debate.</w:t>
      </w:r>
    </w:p>
    <w:p>
      <w:pPr>
        <w:pStyle w:val="ListParagraph"/>
        <w:numPr>
          <w:ilvl w:val="0"/>
          <w:numId w:val="2"/>
        </w:numPr>
        <w:spacing w:after="60" w:before="60"/>
      </w:pPr>
      <w:r>
        <w:rPr>
          <w:rFonts w:ascii="Arial" w:cs="Arial" w:eastAsia="Arial" w:hAnsi="Arial"/>
          <w:color w:val="111111"/>
          <w:sz w:val="22"/>
          <w:szCs w:val="22"/>
        </w:rPr>
        <w:t xml:space="preserve">IG — Information Gain: The fraction of active agents whose structured JSON output in Round N differs meaningfully from Round N-1. 'Meaningful difference' is defined as: directional call changed (direction field differs), OR magnitude estimate changed by more than 10 percentage points, OR at least one new named entity or data source appears in the supporting_evidence field. Computed using spaCy named entity recognition on agent outputs. A round in which no agent updates materially has IG = 0.</w:t>
      </w:r>
    </w:p>
    <w:p>
      <w:pPr>
        <w:pStyle w:val="ListParagraph"/>
        <w:numPr>
          <w:ilvl w:val="0"/>
          <w:numId w:val="2"/>
        </w:numPr>
        <w:spacing w:after="60" w:before="60"/>
      </w:pPr>
      <w:r>
        <w:rPr>
          <w:rFonts w:ascii="Arial" w:cs="Arial" w:eastAsia="Arial" w:hAnsi="Arial"/>
          <w:color w:val="111111"/>
          <w:sz w:val="22"/>
          <w:szCs w:val="22"/>
        </w:rPr>
        <w:t xml:space="preserve">RE — RAG Exhaustion: The Jaccard similarity between the set of document IDs retrieved by all agents in Round N versus Round N-1. Jaccard(A,B) = |A intersection B| / |A union B|. High Jaccard similarity (close to 1.0) means agents are retrieving the same documents — the knowledge base is exhausted and further rounds will produce repetition rather than new insight. The contribution (1 - RE) is therefore high when retrieval is still producing novel documents.</w:t>
      </w:r>
    </w:p>
    <w:p>
      <w:pPr>
        <w:spacing w:after="120" w:before="80"/>
      </w:pPr>
      <w:r>
        <w:rPr>
          <w:rFonts w:ascii="Arial" w:cs="Arial" w:eastAsia="Arial" w:hAnsi="Arial"/>
          <w:color w:val="111111"/>
          <w:sz w:val="22"/>
          <w:szCs w:val="22"/>
        </w:rPr>
        <w:t xml:space="preserve">Decision rule:</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IF DCS &gt; tau (0.35) AND rounds &lt; 5: EXPLORE — run another debate round</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IF DCS &lt;= tau OR rounds = 5: EXPLOIT — pass transcript to Layer 2 Moderator</w:t>
      </w:r>
    </w:p>
    <w:p>
      <w:pPr>
        <w:spacing w:after="120" w:before="80"/>
      </w:pPr>
      <w:r>
        <w:rPr>
          <w:rFonts w:ascii="Arial" w:cs="Arial" w:eastAsia="Arial" w:hAnsi="Arial"/>
          <w:color w:val="111111"/>
          <w:sz w:val="22"/>
          <w:szCs w:val="22"/>
        </w:rPr>
        <w:t xml:space="preserve">The threshold tau = 0.35 is set empirically via a calibration run on pilot events before the main experiment. The hard cap of five rounds prevents indefinite looping regardless of DCS. The distribution of actual round counts across the five test events is itself a reported finding — well-defined shocks (Iraq War 2003) should terminate in 2 rounds while genuinely ambiguous compound events should approach the 5-round cap.</w:t>
      </w:r>
    </w:p>
    <w:p>
      <w:pPr>
        <w:pStyle w:val="Heading2"/>
        <w:spacing w:after="100" w:before="280"/>
      </w:pPr>
      <w:r>
        <w:rPr>
          <w:rFonts w:ascii="Arial" w:cs="Arial" w:eastAsia="Arial" w:hAnsi="Arial"/>
          <w:b/>
          <w:bCs/>
          <w:color w:val="2E5FA3"/>
          <w:sz w:val="25"/>
          <w:szCs w:val="25"/>
        </w:rPr>
        <w:t xml:space="preserve">5.3 Layer 2 — Moderation, Synthesis, and Plausibility Validation</w:t>
      </w:r>
    </w:p>
    <w:p>
      <w:pPr>
        <w:pStyle w:val="Heading3"/>
        <w:spacing w:after="80" w:before="220"/>
      </w:pPr>
      <w:r>
        <w:rPr>
          <w:rFonts w:ascii="Arial" w:cs="Arial" w:eastAsia="Arial" w:hAnsi="Arial"/>
          <w:b/>
          <w:bCs/>
          <w:color w:val="5A6A85"/>
          <w:sz w:val="22"/>
          <w:szCs w:val="22"/>
        </w:rPr>
        <w:t xml:space="preserve">5.3.1 The Moderator</w:t>
      </w:r>
    </w:p>
    <w:p>
      <w:pPr>
        <w:spacing w:after="120" w:before="80"/>
      </w:pPr>
      <w:r>
        <w:rPr>
          <w:rFonts w:ascii="Arial" w:cs="Arial" w:eastAsia="Arial" w:hAnsi="Arial"/>
          <w:color w:val="111111"/>
          <w:sz w:val="22"/>
          <w:szCs w:val="22"/>
        </w:rPr>
        <w:t xml:space="preserve">The Moderator is a separate LLM instance that has observed but not participated in the debate. It receives the full structured transcript of all rounds and produces four outputs stored in the shared State:</w:t>
      </w:r>
    </w:p>
    <w:p>
      <w:pPr>
        <w:pStyle w:val="ListParagraph"/>
        <w:numPr>
          <w:ilvl w:val="0"/>
          <w:numId w:val="3"/>
        </w:numPr>
        <w:spacing w:after="60" w:before="60"/>
      </w:pPr>
      <w:r>
        <w:rPr>
          <w:rFonts w:ascii="Arial" w:cs="Arial" w:eastAsia="Arial" w:hAnsi="Arial"/>
          <w:color w:val="111111"/>
          <w:sz w:val="22"/>
          <w:szCs w:val="22"/>
        </w:rPr>
        <w:t xml:space="preserve">Consensus Scenario: A structured JSON scenario summarising the positions that received majority support across active agents, with specific directional and magnitude estimates for the S&amp;P 500 index and each tracked sector ETF, plus narrative descriptions of the primary transmission channels. This scenario is passed to Layer 3.</w:t>
      </w:r>
    </w:p>
    <w:p>
      <w:pPr>
        <w:pStyle w:val="ListParagraph"/>
        <w:numPr>
          <w:ilvl w:val="0"/>
          <w:numId w:val="3"/>
        </w:numPr>
        <w:spacing w:after="60" w:before="60"/>
      </w:pPr>
      <w:r>
        <w:rPr>
          <w:rFonts w:ascii="Arial" w:cs="Arial" w:eastAsia="Arial" w:hAnsi="Arial"/>
          <w:color w:val="111111"/>
          <w:sz w:val="22"/>
          <w:szCs w:val="22"/>
        </w:rPr>
        <w:t xml:space="preserve">Minority Dissent Report: A structured summary of positions that were systematically overruled in the debate, preserved as tail-risk signals. The minority dissent is not discarded — it represents the view the consensus deemed less likely but which may represent the most important risk for a portfolio manager precisely because it is unexpected.</w:t>
      </w:r>
    </w:p>
    <w:p>
      <w:pPr>
        <w:pStyle w:val="ListParagraph"/>
        <w:numPr>
          <w:ilvl w:val="0"/>
          <w:numId w:val="3"/>
        </w:numPr>
        <w:spacing w:after="60" w:before="60"/>
      </w:pPr>
      <w:r>
        <w:rPr>
          <w:rFonts w:ascii="Arial" w:cs="Arial" w:eastAsia="Arial" w:hAnsi="Arial"/>
          <w:color w:val="111111"/>
          <w:sz w:val="22"/>
          <w:szCs w:val="22"/>
        </w:rPr>
        <w:t xml:space="preserve">Plausibility Score: A composite score from 0 to 100 computed using the three-component framework described in Section 5.3.2.</w:t>
      </w:r>
    </w:p>
    <w:p>
      <w:pPr>
        <w:pStyle w:val="ListParagraph"/>
        <w:numPr>
          <w:ilvl w:val="0"/>
          <w:numId w:val="3"/>
        </w:numPr>
        <w:spacing w:after="60" w:before="60"/>
      </w:pPr>
      <w:r>
        <w:rPr>
          <w:rFonts w:ascii="Arial" w:cs="Arial" w:eastAsia="Arial" w:hAnsi="Arial"/>
          <w:color w:val="111111"/>
          <w:sz w:val="22"/>
          <w:szCs w:val="22"/>
        </w:rPr>
        <w:t xml:space="preserve">Debate Quality Score: A composite measure of the epistemic quality of the debate, computed from the four-type position-change decomposition described in Section 5.3.3.</w:t>
      </w:r>
    </w:p>
    <w:p>
      <w:pPr>
        <w:pStyle w:val="Heading3"/>
        <w:spacing w:after="80" w:before="220"/>
      </w:pPr>
      <w:r>
        <w:rPr>
          <w:rFonts w:ascii="Arial" w:cs="Arial" w:eastAsia="Arial" w:hAnsi="Arial"/>
          <w:b/>
          <w:bCs/>
          <w:color w:val="5A6A85"/>
          <w:sz w:val="22"/>
          <w:szCs w:val="22"/>
        </w:rPr>
        <w:t xml:space="preserve">5.3.2 Composite Plausibility Score</w:t>
      </w:r>
    </w:p>
    <w:p>
      <w:pPr>
        <w:spacing w:after="120" w:before="80"/>
      </w:pPr>
      <w:r>
        <w:rPr>
          <w:rFonts w:ascii="Arial" w:cs="Arial" w:eastAsia="Arial" w:hAnsi="Arial"/>
          <w:color w:val="111111"/>
          <w:sz w:val="22"/>
          <w:szCs w:val="22"/>
        </w:rPr>
        <w:t xml:space="preserve">The Plausibility Score (PS) addresses the open problem identified by Soleimani et al. (2025) — how to determine whether an LLM-generated financial scenario is grounded versus fabricated. The score is computed as: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PS = 0.40 x HA + 0.35 x IC + 0.25 x EC</w:t>
      </w:r>
    </w:p>
    <w:p>
      <w:pPr>
        <w:pStyle w:val="ListParagraph"/>
        <w:numPr>
          <w:ilvl w:val="0"/>
          <w:numId w:val="2"/>
        </w:numPr>
        <w:spacing w:after="60" w:before="60"/>
      </w:pPr>
      <w:r>
        <w:rPr>
          <w:rFonts w:ascii="Arial" w:cs="Arial" w:eastAsia="Arial" w:hAnsi="Arial"/>
          <w:color w:val="111111"/>
          <w:sz w:val="22"/>
          <w:szCs w:val="22"/>
        </w:rPr>
        <w:t xml:space="preserve">HA — Historical Analogue Match (0-100): Computed using sentence-BERT embeddings (all-mpnet-base-v2). The consensus scenario narrative is embedded as a vector. Each of the top-3 retrieved historical analogue descriptions is also embedded. HA = 100 x max(cosine_similarity(scenario_embedding, analogue_embeddings)). A score above 70 indicates the generated scenario is semantically consistent with at least one historical precedent.</w:t>
      </w:r>
    </w:p>
    <w:p>
      <w:pPr>
        <w:pStyle w:val="ListParagraph"/>
        <w:numPr>
          <w:ilvl w:val="0"/>
          <w:numId w:val="2"/>
        </w:numPr>
        <w:spacing w:after="60" w:before="60"/>
      </w:pPr>
      <w:r>
        <w:rPr>
          <w:rFonts w:ascii="Arial" w:cs="Arial" w:eastAsia="Arial" w:hAnsi="Arial"/>
          <w:color w:val="111111"/>
          <w:sz w:val="22"/>
          <w:szCs w:val="22"/>
        </w:rPr>
        <w:t xml:space="preserve">IC — Internal Consistency (0-100): A rule-based checker verifies that the generated scenario's directional claims are internally consistent with basic macroeconomic logic. Rules include: if inflation is predicted to rise, interest rates should not simultaneously be predicted to fall without an explicit RBI/Fed override; if oil prices spike, Energy sector (XLE) should be positive; if VIX rises sharply, Consumer Discretionary (XLY) should be negative. Each rule violation deducts points. IC = 100 x (rules_passed / total_applicable_rules).</w:t>
      </w:r>
    </w:p>
    <w:p>
      <w:pPr>
        <w:pStyle w:val="ListParagraph"/>
        <w:numPr>
          <w:ilvl w:val="0"/>
          <w:numId w:val="2"/>
        </w:numPr>
        <w:spacing w:after="60" w:before="60"/>
      </w:pPr>
      <w:r>
        <w:rPr>
          <w:rFonts w:ascii="Arial" w:cs="Arial" w:eastAsia="Arial" w:hAnsi="Arial"/>
          <w:color w:val="111111"/>
          <w:sz w:val="22"/>
          <w:szCs w:val="22"/>
        </w:rPr>
        <w:t xml:space="preserve">EC — Expert Calibration (0-100): The consensus scenario narrative is compared via cosine similarity to the most relevant passage from the Federal Reserve's most recent Financial Stability Report that addresses the same shock category. EC = 100 x cosine_similarity(scenario_embedding, FSR_passage_embedding). This grounds the assessment in an authoritative institutional benchmark.</w:t>
      </w:r>
    </w:p>
    <w:p>
      <w:pPr>
        <w:spacing w:after="120" w:before="80"/>
      </w:pPr>
      <w:r>
        <w:rPr>
          <w:rFonts w:ascii="Arial" w:cs="Arial" w:eastAsia="Arial" w:hAnsi="Arial"/>
          <w:color w:val="111111"/>
          <w:sz w:val="22"/>
          <w:szCs w:val="22"/>
        </w:rPr>
        <w:t xml:space="preserve">Plausibility Gate decision rule:</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IF PS &gt;= 60: Pass to Layer 3 Quantifier</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IF PS &lt; 60: Route to Human Review — do not auto-generate portfolio impact</w:t>
      </w:r>
    </w:p>
    <w:p>
      <w:pPr>
        <w:pStyle w:val="Heading3"/>
        <w:spacing w:after="80" w:before="220"/>
      </w:pPr>
      <w:r>
        <w:rPr>
          <w:rFonts w:ascii="Arial" w:cs="Arial" w:eastAsia="Arial" w:hAnsi="Arial"/>
          <w:b/>
          <w:bCs/>
          <w:color w:val="5A6A85"/>
          <w:sz w:val="22"/>
          <w:szCs w:val="22"/>
        </w:rPr>
        <w:t xml:space="preserve">5.3.3 Four-Type Position-Change Decomposition</w:t>
      </w:r>
    </w:p>
    <w:p>
      <w:pPr>
        <w:spacing w:after="120" w:before="80"/>
      </w:pPr>
      <w:r>
        <w:rPr>
          <w:rFonts w:ascii="Arial" w:cs="Arial" w:eastAsia="Arial" w:hAnsi="Arial"/>
          <w:color w:val="111111"/>
          <w:sz w:val="22"/>
          <w:szCs w:val="22"/>
        </w:rPr>
        <w:t xml:space="preserve">The Debate Quality Score requires classifying every position change across debate rounds into one of four types. This classification is performed algorithmically on the structured JSON outputs and uses the following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2000"/>
        <w:gridCol w:w="220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Change Type</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Definition</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Detection Method</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Score Contribution</w:t>
            </w:r>
          </w:p>
        </w:tc>
      </w:tr>
      <w:tr>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Evidence-Based Revision</w:t>
            </w:r>
          </w:p>
        </w:tc>
        <w:tc>
          <w:tcPr>
            <w:tcW w:type="dxa" w:w="29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Direction or magnitude changed AND new named entities (persons, organisations, data sources, historical events) appear in supporting_evidence that were absent in the prior round</w:t>
            </w:r>
          </w:p>
        </w:tc>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spaCy NER comparison of supporting_evidence arrays across rounds. New entity count &gt; 0 AND position changed.</w:t>
            </w:r>
          </w:p>
        </w:tc>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Positive: +1 point toward DQS. This is genuine epistemic updating.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Consensus-Pressure Revision</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Direction or magnitude changed BUT supporting_evidence contains no new entities — the change is driven by exposure to other agents' positions without new grounding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New entity count = 0 AND position changed AND response_to.disagreement field is non-empty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Neutral: 0 points. Flagged for analysis but not penalised. Documents social conformity effect.</w:t>
            </w:r>
          </w:p>
        </w:tc>
      </w:tr>
      <w:tr>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No Meaningful Update</w:t>
            </w:r>
          </w:p>
        </w:tc>
        <w:tc>
          <w:tcPr>
            <w:tcW w:type="dxa" w:w="29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Wording in the narrative field changes but direction, magnitude, confidence, and supporting_evidence named entities are all unchanged from prior round</w:t>
            </w:r>
          </w:p>
        </w:tc>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Cosine similarity of two consecutive round outputs &gt; 0.90 AND direction/magnitude fields unchanged</w:t>
            </w:r>
          </w:p>
        </w:tc>
        <w:tc>
          <w:tcPr>
            <w:tcW w:type="dxa" w:w="22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Neutral: 0 points. Indicates debate stagnation — contributes to lowering DCS via IG signal.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Unsupported Flip</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Direction field reverses (positive to negative or vice versa) AND supporting_evidence contains no new entities and response_to field is empty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Direction changed AND NER new entity count = 0 AND response_to is null or empty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8"/>
                <w:szCs w:val="18"/>
              </w:rPr>
              <w:t xml:space="preserve">Negative: -0.5 points. Flags unreliable reasoning — triggers mandatory Devil's Advocate challenge in next round if one remains.</w:t>
            </w:r>
          </w:p>
        </w:tc>
      </w:tr>
    </w:tbl>
    <w:p>
      <w:r>
        <w:t xml:space="preserve"/>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DQS = (Evidence-Based count - 0.5 x Unsupported Flip count) / total_position_changes</w:t>
      </w:r>
    </w:p>
    <w:p>
      <w:pPr>
        <w:spacing w:after="120" w:before="80"/>
      </w:pPr>
      <w:r>
        <w:rPr>
          <w:rFonts w:ascii="Arial" w:cs="Arial" w:eastAsia="Arial" w:hAnsi="Arial"/>
          <w:color w:val="111111"/>
          <w:sz w:val="22"/>
          <w:szCs w:val="22"/>
        </w:rPr>
        <w:t xml:space="preserve">DQS ranges from 0 to 1. A score above 0.6 indicates a high-quality debate in which most changes were evidence-driven. A score below 0.3 indicates the debate was dominated by social conformity or unsupported position changes — a signal to be reported in the paper's findings rather than suppressed.</w:t>
      </w:r>
    </w:p>
    <w:p>
      <w:pPr>
        <w:pStyle w:val="Heading2"/>
        <w:spacing w:after="100" w:before="280"/>
      </w:pPr>
      <w:r>
        <w:rPr>
          <w:rFonts w:ascii="Arial" w:cs="Arial" w:eastAsia="Arial" w:hAnsi="Arial"/>
          <w:b/>
          <w:bCs/>
          <w:color w:val="2E5FA3"/>
          <w:sz w:val="25"/>
          <w:szCs w:val="25"/>
        </w:rPr>
        <w:t xml:space="preserve">5.4 Layer 3 — Portfolio Impact Quantification</w:t>
      </w:r>
    </w:p>
    <w:p>
      <w:pPr>
        <w:spacing w:after="120" w:before="80"/>
      </w:pPr>
      <w:r>
        <w:rPr>
          <w:rFonts w:ascii="Arial" w:cs="Arial" w:eastAsia="Arial" w:hAnsi="Arial"/>
          <w:color w:val="111111"/>
          <w:sz w:val="22"/>
          <w:szCs w:val="22"/>
        </w:rPr>
        <w:t xml:space="preserve">Once the consensus scenario passes the Plausibility Gate, it is passed as a structured JSON object to the Quantifier node. The Quantifier maps the scenario's macro variable estimates to sector-level S&amp;P 500 returns using a factor model calibrated on historical data.</w:t>
      </w:r>
    </w:p>
    <w:p>
      <w:pPr>
        <w:spacing w:after="120" w:before="80"/>
      </w:pPr>
      <w:r>
        <w:rPr>
          <w:rFonts w:ascii="Arial" w:cs="Arial" w:eastAsia="Arial" w:hAnsi="Arial"/>
          <w:color w:val="111111"/>
          <w:sz w:val="22"/>
          <w:szCs w:val="22"/>
        </w:rPr>
        <w:t xml:space="preserve">The factor model takes the form:</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R_sector = alpha + beta_GPR x DeltaGPR + beta_OIL x DeltaOIL + beta_USD x DeltaUSD + beta_VIX x DeltaVIX + epsilon</w:t>
      </w:r>
    </w:p>
    <w:p>
      <w:pPr>
        <w:spacing w:after="120" w:before="80"/>
      </w:pPr>
      <w:r>
        <w:rPr>
          <w:rFonts w:ascii="Arial" w:cs="Arial" w:eastAsia="Arial" w:hAnsi="Arial"/>
          <w:color w:val="111111"/>
          <w:sz w:val="22"/>
          <w:szCs w:val="22"/>
        </w:rPr>
        <w:t xml:space="preserve">Where each beta coefficient is estimated via OLS regression on 20 years of weekly sector ETF returns against the corresponding factor changes. Survivorship bias is mitigated by using sector-level ETF returns (XLE, XLF, XLK, ITA, XLY) rather than individual constituent returns, as sector indices include historical rebalancing effects.</w:t>
      </w:r>
    </w:p>
    <w:p>
      <w:pPr>
        <w:spacing w:after="120" w:before="80"/>
      </w:pPr>
      <w:r>
        <w:rPr>
          <w:rFonts w:ascii="Arial" w:cs="Arial" w:eastAsia="Arial" w:hAnsi="Arial"/>
          <w:color w:val="111111"/>
          <w:sz w:val="22"/>
          <w:szCs w:val="22"/>
        </w:rPr>
        <w:t xml:space="preserve">The output layer produces: portfolio VaR at 95% confidence (computed via historical simulation over the factor distribution), Expected Shortfall for the tail beyond VaR, a sector-level P&amp;L heatmap, and confidence bands on all estimates that are explicitly linked to the Plausibility Score — a scenario with PS = 65 receives bands that are 40% wider than a scenario with PS = 95.</w:t>
      </w:r>
    </w:p>
    <w:p>
      <w:pPr>
        <w:spacing w:after="120" w:before="80"/>
      </w:pPr>
      <w:r>
        <w:rPr>
          <w:rFonts w:ascii="Arial" w:cs="Arial" w:eastAsia="Arial" w:hAnsi="Arial"/>
          <w:color w:val="111111"/>
          <w:sz w:val="22"/>
          <w:szCs w:val="22"/>
        </w:rPr>
        <w:t xml:space="preserve">A plain-English narrative is generated from the quantitative outputs by a final LLM call, translating the technical results into language accessible to a risk manager or board member without a quantitative finance background.</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6. Limitation Mitigations</w:t>
      </w:r>
    </w:p>
    <w:p>
      <w:pPr>
        <w:spacing w:after="120" w:before="80"/>
      </w:pPr>
      <w:r>
        <w:rPr>
          <w:rFonts w:ascii="Arial" w:cs="Arial" w:eastAsia="Arial" w:hAnsi="Arial"/>
          <w:color w:val="111111"/>
          <w:sz w:val="22"/>
          <w:szCs w:val="22"/>
        </w:rPr>
        <w:t xml:space="preserve">We identify four structural limitations in this research design and propose concrete, implementable mitigations for each. These mitigations are not complete solutions — they are honest partial remedies that reduce the severity of each limitation while being transparent about residual risk.</w:t>
      </w:r>
    </w:p>
    <w:p>
      <w:pPr>
        <w:pStyle w:val="Heading2"/>
        <w:spacing w:after="100" w:before="280"/>
      </w:pPr>
      <w:r>
        <w:rPr>
          <w:rFonts w:ascii="Arial" w:cs="Arial" w:eastAsia="Arial" w:hAnsi="Arial"/>
          <w:b/>
          <w:bCs/>
          <w:color w:val="2E5FA3"/>
          <w:sz w:val="25"/>
          <w:szCs w:val="25"/>
        </w:rPr>
        <w:t xml:space="preserve">6.1 Limitation 1 — Look-Ahead Bias</w:t>
      </w:r>
    </w:p>
    <w:p>
      <w:pPr>
        <w:pStyle w:val="Heading3"/>
        <w:spacing w:after="80" w:before="220"/>
      </w:pPr>
      <w:r>
        <w:rPr>
          <w:rFonts w:ascii="Arial" w:cs="Arial" w:eastAsia="Arial" w:hAnsi="Arial"/>
          <w:b/>
          <w:bCs/>
          <w:color w:val="5A6A85"/>
          <w:sz w:val="22"/>
          <w:szCs w:val="22"/>
        </w:rPr>
        <w:t xml:space="preserve">Problem</w:t>
      </w:r>
    </w:p>
    <w:p>
      <w:pPr>
        <w:spacing w:after="120" w:before="80"/>
      </w:pPr>
      <w:r>
        <w:rPr>
          <w:rFonts w:ascii="Arial" w:cs="Arial" w:eastAsia="Arial" w:hAnsi="Arial"/>
          <w:color w:val="111111"/>
          <w:sz w:val="22"/>
          <w:szCs w:val="22"/>
        </w:rPr>
        <w:t xml:space="preserve">Frontier LLMs are trained on internet-scale data that includes post-event financial analyses, Wikipedia articles, academic papers, and news retrospectives for every major event in our test set. When asked to analyse the September 11 attacks, a model draws not just on pre-event information but on the accumulated body of knowledge about what actually happened to markets — implicitly pattern-matching against the known outcome.</w:t>
      </w:r>
    </w:p>
    <w:p>
      <w:pPr>
        <w:pStyle w:val="Heading3"/>
        <w:spacing w:after="80" w:before="220"/>
      </w:pPr>
      <w:r>
        <w:rPr>
          <w:rFonts w:ascii="Arial" w:cs="Arial" w:eastAsia="Arial" w:hAnsi="Arial"/>
          <w:b/>
          <w:bCs/>
          <w:color w:val="5A6A85"/>
          <w:sz w:val="22"/>
          <w:szCs w:val="22"/>
        </w:rPr>
        <w:t xml:space="preserve">Mitigation — Temporal Isolation Protocol</w:t>
      </w:r>
    </w:p>
    <w:p>
      <w:pPr>
        <w:spacing w:after="120" w:before="80"/>
      </w:pPr>
      <w:r>
        <w:rPr>
          <w:rFonts w:ascii="Arial" w:cs="Arial" w:eastAsia="Arial" w:hAnsi="Arial"/>
          <w:color w:val="111111"/>
          <w:sz w:val="22"/>
          <w:szCs w:val="22"/>
        </w:rPr>
        <w:t xml:space="preserve">As described in Section 5.2.3, we apply three-layer temporal isolation: knowledge horizon declaration in the system prompt, date-bounded RAG retrieval, and temporal restriction on all financial data API calls.</w:t>
      </w:r>
    </w:p>
    <w:p>
      <w:pPr>
        <w:spacing w:after="120" w:before="80"/>
      </w:pPr>
      <w:r>
        <w:rPr>
          <w:rFonts w:ascii="Arial" w:cs="Arial" w:eastAsia="Arial" w:hAnsi="Arial"/>
          <w:color w:val="111111"/>
          <w:sz w:val="22"/>
          <w:szCs w:val="22"/>
        </w:rPr>
        <w:t xml:space="preserve">We additionally implement a counterfactual plausibility check. After generating scenarios for historical events, we run the same scenario generation for a set of fictional near-counterfactuals — events similar to the historical shock but that did not actually occur (for example, a major cyberattack on the NYSE in 2001 that did not happen). If the model performs similarly well on fictional events as on historical ones, this would suggest the benefit comes from the debate structure rather than memorised outcomes. If the model performs poorly on fictional events, this provides evidence that look-ahead contamination is present and should be reported.</w:t>
      </w:r>
    </w:p>
    <w:p>
      <w:pPr>
        <w:spacing w:after="120" w:before="80"/>
      </w:pPr>
      <w:r>
        <w:rPr>
          <w:rFonts w:ascii="Arial" w:cs="Arial" w:eastAsia="Arial" w:hAnsi="Arial"/>
          <w:color w:val="111111"/>
          <w:sz w:val="22"/>
          <w:szCs w:val="22"/>
        </w:rPr>
        <w:t xml:space="preserve">The most robust mitigation is our most recent test event: the US-China tariff escalation of April 2025. Most frontier models were trained with data cutoffs in late 2024 or early 2025, meaning this event has minimal training data coverage. We weight this event's results most heavily in our conclusions.</w:t>
      </w:r>
    </w:p>
    <w:p>
      <w:pPr>
        <w:pStyle w:val="Heading2"/>
        <w:spacing w:after="100" w:before="280"/>
      </w:pPr>
      <w:r>
        <w:rPr>
          <w:rFonts w:ascii="Arial" w:cs="Arial" w:eastAsia="Arial" w:hAnsi="Arial"/>
          <w:b/>
          <w:bCs/>
          <w:color w:val="2E5FA3"/>
          <w:sz w:val="25"/>
          <w:szCs w:val="25"/>
        </w:rPr>
        <w:t xml:space="preserve">6.2 Limitation 2 — Model Training Overlap</w:t>
      </w:r>
    </w:p>
    <w:p>
      <w:pPr>
        <w:pStyle w:val="Heading3"/>
        <w:spacing w:after="80" w:before="220"/>
      </w:pPr>
      <w:r>
        <w:rPr>
          <w:rFonts w:ascii="Arial" w:cs="Arial" w:eastAsia="Arial" w:hAnsi="Arial"/>
          <w:b/>
          <w:bCs/>
          <w:color w:val="5A6A85"/>
          <w:sz w:val="22"/>
          <w:szCs w:val="22"/>
        </w:rPr>
        <w:t xml:space="preserve">Problem</w:t>
      </w:r>
    </w:p>
    <w:p>
      <w:pPr>
        <w:spacing w:after="120" w:before="80"/>
      </w:pPr>
      <w:r>
        <w:rPr>
          <w:rFonts w:ascii="Arial" w:cs="Arial" w:eastAsia="Arial" w:hAnsi="Arial"/>
          <w:color w:val="111111"/>
          <w:sz w:val="22"/>
          <w:szCs w:val="22"/>
        </w:rPr>
        <w:t xml:space="preserve">Claude, GPT-4o, Gemini, DeepSeek, and Grok are all trained primarily on English-language internet text. For well-documented events covered extensively in Western media, these models may have learned highly similar representations, meaning the diversity of their initial positions is smaller than assumed. The benefit of model diversity over persona diversity may be marginal for historically prominent events.</w:t>
      </w:r>
    </w:p>
    <w:p>
      <w:pPr>
        <w:pStyle w:val="Heading3"/>
        <w:spacing w:after="80" w:before="220"/>
      </w:pPr>
      <w:r>
        <w:rPr>
          <w:rFonts w:ascii="Arial" w:cs="Arial" w:eastAsia="Arial" w:hAnsi="Arial"/>
          <w:b/>
          <w:bCs/>
          <w:color w:val="5A6A85"/>
          <w:sz w:val="22"/>
          <w:szCs w:val="22"/>
        </w:rPr>
        <w:t xml:space="preserve">Mitigation — Pre-Debate Diversity Measurement</w:t>
      </w:r>
    </w:p>
    <w:p>
      <w:pPr>
        <w:spacing w:after="120" w:before="80"/>
      </w:pPr>
      <w:r>
        <w:rPr>
          <w:rFonts w:ascii="Arial" w:cs="Arial" w:eastAsia="Arial" w:hAnsi="Arial"/>
          <w:color w:val="111111"/>
          <w:sz w:val="22"/>
          <w:szCs w:val="22"/>
        </w:rPr>
        <w:t xml:space="preserve">Before any debate begins, each active agent produces an independent Round 1 assessment. We compute the pre-debate diversity (PDD) as: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PDD = 1 - mean(pairwise_cosine_similarity(agent_embeddings))</w:t>
      </w:r>
    </w:p>
    <w:p>
      <w:pPr>
        <w:spacing w:after="120" w:before="80"/>
      </w:pPr>
      <w:r>
        <w:rPr>
          <w:rFonts w:ascii="Arial" w:cs="Arial" w:eastAsia="Arial" w:hAnsi="Arial"/>
          <w:color w:val="111111"/>
          <w:sz w:val="22"/>
          <w:szCs w:val="22"/>
        </w:rPr>
        <w:t xml:space="preserve">Where agent_embeddings are sentence-BERT encodings of each agent's Round 1 structured output. PDD ranges from 0 (all agents identical) to 1 (maximally diverse). We report PDD for every event and use it as a covariate in the final comparison — testing whether events with higher PDD produce greater accuracy improvements from debate.</w:t>
      </w:r>
    </w:p>
    <w:p>
      <w:pPr>
        <w:spacing w:after="120" w:before="80"/>
      </w:pPr>
      <w:r>
        <w:rPr>
          <w:rFonts w:ascii="Arial" w:cs="Arial" w:eastAsia="Arial" w:hAnsi="Arial"/>
          <w:color w:val="111111"/>
          <w:sz w:val="22"/>
          <w:szCs w:val="22"/>
        </w:rPr>
        <w:t xml:space="preserve">Additionally, we anonymise the debate in Rounds 2 and 3 — agents see other agents' outputs identified only as Agent A, Agent B, etc., not by provider name. This prevents agents from deferring to perceived authority (GPT-4o as a well-known model, DeepSeek as a Chinese model with different presumed biases) rather than engaging with the argument content.</w:t>
      </w:r>
    </w:p>
    <w:p>
      <w:pPr>
        <w:spacing w:after="120" w:before="80"/>
      </w:pPr>
      <w:r>
        <w:rPr>
          <w:rFonts w:ascii="Arial" w:cs="Arial" w:eastAsia="Arial" w:hAnsi="Arial"/>
          <w:color w:val="111111"/>
          <w:sz w:val="22"/>
          <w:szCs w:val="22"/>
        </w:rPr>
        <w:t xml:space="preserve">If PDD measurements show that model diversity is low for well-documented historical events, we will report this honestly as a finding: that model-diversity debate may provide the greatest marginal benefit for novel, less-documented shocks — precisely the real-world use case SPAR targets.</w:t>
      </w:r>
    </w:p>
    <w:p>
      <w:pPr>
        <w:pStyle w:val="Heading2"/>
        <w:spacing w:after="100" w:before="280"/>
      </w:pPr>
      <w:r>
        <w:rPr>
          <w:rFonts w:ascii="Arial" w:cs="Arial" w:eastAsia="Arial" w:hAnsi="Arial"/>
          <w:b/>
          <w:bCs/>
          <w:color w:val="2E5FA3"/>
          <w:sz w:val="25"/>
          <w:szCs w:val="25"/>
        </w:rPr>
        <w:t xml:space="preserve">6.3 Limitation 3 — Non-Stationarity of Shock Transmission</w:t>
      </w:r>
    </w:p>
    <w:p>
      <w:pPr>
        <w:pStyle w:val="Heading3"/>
        <w:spacing w:after="80" w:before="220"/>
      </w:pPr>
      <w:r>
        <w:rPr>
          <w:rFonts w:ascii="Arial" w:cs="Arial" w:eastAsia="Arial" w:hAnsi="Arial"/>
          <w:b/>
          <w:bCs/>
          <w:color w:val="5A6A85"/>
          <w:sz w:val="22"/>
          <w:szCs w:val="22"/>
        </w:rPr>
        <w:t xml:space="preserve">Problem</w:t>
      </w:r>
    </w:p>
    <w:p>
      <w:pPr>
        <w:spacing w:after="120" w:before="80"/>
      </w:pPr>
      <w:r>
        <w:rPr>
          <w:rFonts w:ascii="Arial" w:cs="Arial" w:eastAsia="Arial" w:hAnsi="Arial"/>
          <w:color w:val="111111"/>
          <w:sz w:val="22"/>
          <w:szCs w:val="22"/>
        </w:rPr>
        <w:t xml:space="preserve">The financial market structure of 2001 differs materially from 2026. In 2001, algorithmic trading represented a small fraction of market volume; passive ETF investing was nascent; social media did not exist as a market-moving force; and the correlation structure across sectors was different. A historical analogue from 1999 Kargil or 2001 9/11 may describe directionally similar dynamics but with systematically different magnitudes, speeds, and sector compositions than would occur today.</w:t>
      </w:r>
    </w:p>
    <w:p>
      <w:pPr>
        <w:pStyle w:val="Heading3"/>
        <w:spacing w:after="80" w:before="220"/>
      </w:pPr>
      <w:r>
        <w:rPr>
          <w:rFonts w:ascii="Arial" w:cs="Arial" w:eastAsia="Arial" w:hAnsi="Arial"/>
          <w:b/>
          <w:bCs/>
          <w:color w:val="5A6A85"/>
          <w:sz w:val="22"/>
          <w:szCs w:val="22"/>
        </w:rPr>
        <w:t xml:space="preserve">Mitigation — Regime-Weighted Analogue Scoring and Recency Discount</w:t>
      </w:r>
    </w:p>
    <w:p>
      <w:pPr>
        <w:spacing w:after="120" w:before="80"/>
      </w:pPr>
      <w:r>
        <w:rPr>
          <w:rFonts w:ascii="Arial" w:cs="Arial" w:eastAsia="Arial" w:hAnsi="Arial"/>
          <w:color w:val="111111"/>
          <w:sz w:val="22"/>
          <w:szCs w:val="22"/>
        </w:rPr>
        <w:t xml:space="preserve">The analogue matching algorithm described in Section 5.1.3 includes a regime similarity component (Reg score) that partially accounts for structural differences by requiring that historical analogues share a similar macroeconomic regime to the current environment. However, this does not fully address structural market changes.</w:t>
      </w:r>
    </w:p>
    <w:p>
      <w:pPr>
        <w:spacing w:after="120" w:before="80"/>
      </w:pPr>
      <w:r>
        <w:rPr>
          <w:rFonts w:ascii="Arial" w:cs="Arial" w:eastAsia="Arial" w:hAnsi="Arial"/>
          <w:color w:val="111111"/>
          <w:sz w:val="22"/>
          <w:szCs w:val="22"/>
        </w:rPr>
        <w:t xml:space="preserve">We additionally apply a recency weighting to the analogue scores: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S_adjusted(e, q) = S(e, q) x exp(-lambda x years_elapsed)</w:t>
      </w:r>
    </w:p>
    <w:p>
      <w:pPr>
        <w:spacing w:after="120" w:before="80"/>
      </w:pPr>
      <w:r>
        <w:rPr>
          <w:rFonts w:ascii="Arial" w:cs="Arial" w:eastAsia="Arial" w:hAnsi="Arial"/>
          <w:color w:val="111111"/>
          <w:sz w:val="22"/>
          <w:szCs w:val="22"/>
        </w:rPr>
        <w:t xml:space="preserve">Where lambda = 0.05 is a decay parameter that gives 20-year-old events approximately 37% less weight than current events, all else equal. This is grounded in the market microstructure literature finding that the speed and sector distribution of shock transmission has accelerated significantly since the early 2000s.</w:t>
      </w:r>
    </w:p>
    <w:p>
      <w:pPr>
        <w:spacing w:after="120" w:before="80"/>
      </w:pPr>
      <w:r>
        <w:rPr>
          <w:rFonts w:ascii="Arial" w:cs="Arial" w:eastAsia="Arial" w:hAnsi="Arial"/>
          <w:color w:val="111111"/>
          <w:sz w:val="22"/>
          <w:szCs w:val="22"/>
        </w:rPr>
        <w:t xml:space="preserve">We report the raw and regime-adjusted analogue matches for every test event and test whether the recency weighting improves out-of-sample performance. If it does not, we remove it and report accordingly.</w:t>
      </w:r>
    </w:p>
    <w:p>
      <w:pPr>
        <w:pStyle w:val="Heading2"/>
        <w:spacing w:after="100" w:before="280"/>
      </w:pPr>
      <w:r>
        <w:rPr>
          <w:rFonts w:ascii="Arial" w:cs="Arial" w:eastAsia="Arial" w:hAnsi="Arial"/>
          <w:b/>
          <w:bCs/>
          <w:color w:val="2E5FA3"/>
          <w:sz w:val="25"/>
          <w:szCs w:val="25"/>
        </w:rPr>
        <w:t xml:space="preserve">6.4 Limitation 4 — LLM Output Non-Reproducibility</w:t>
      </w:r>
    </w:p>
    <w:p>
      <w:pPr>
        <w:pStyle w:val="Heading3"/>
        <w:spacing w:after="80" w:before="220"/>
      </w:pPr>
      <w:r>
        <w:rPr>
          <w:rFonts w:ascii="Arial" w:cs="Arial" w:eastAsia="Arial" w:hAnsi="Arial"/>
          <w:b/>
          <w:bCs/>
          <w:color w:val="5A6A85"/>
          <w:sz w:val="22"/>
          <w:szCs w:val="22"/>
        </w:rPr>
        <w:t xml:space="preserve">Problem</w:t>
      </w:r>
    </w:p>
    <w:p>
      <w:pPr>
        <w:spacing w:after="120" w:before="80"/>
      </w:pPr>
      <w:r>
        <w:rPr>
          <w:rFonts w:ascii="Arial" w:cs="Arial" w:eastAsia="Arial" w:hAnsi="Arial"/>
          <w:color w:val="111111"/>
          <w:sz w:val="22"/>
          <w:szCs w:val="22"/>
        </w:rPr>
        <w:t xml:space="preserve">LLMs are stochastic systems. The same prompt submitted twice to the same model version at the same temperature can produce meaningfully different outputs, particularly for complex, open-ended tasks like geopolitical scenario analysis. Scientific papers require reproducible results that can be independently verified.</w:t>
      </w:r>
    </w:p>
    <w:p>
      <w:pPr>
        <w:pStyle w:val="Heading3"/>
        <w:spacing w:after="80" w:before="220"/>
      </w:pPr>
      <w:r>
        <w:rPr>
          <w:rFonts w:ascii="Arial" w:cs="Arial" w:eastAsia="Arial" w:hAnsi="Arial"/>
          <w:b/>
          <w:bCs/>
          <w:color w:val="5A6A85"/>
          <w:sz w:val="22"/>
          <w:szCs w:val="22"/>
        </w:rPr>
        <w:t xml:space="preserve">Mitigation — Deterministic Configuration and Multi-Run Reporting</w:t>
      </w:r>
    </w:p>
    <w:p>
      <w:pPr>
        <w:spacing w:after="120" w:before="80"/>
      </w:pPr>
      <w:r>
        <w:rPr>
          <w:rFonts w:ascii="Arial" w:cs="Arial" w:eastAsia="Arial" w:hAnsi="Arial"/>
          <w:color w:val="111111"/>
          <w:sz w:val="22"/>
          <w:szCs w:val="22"/>
        </w:rPr>
        <w:t xml:space="preserve">We apply four controls:</w:t>
      </w:r>
    </w:p>
    <w:p>
      <w:pPr>
        <w:pStyle w:val="ListParagraph"/>
        <w:numPr>
          <w:ilvl w:val="0"/>
          <w:numId w:val="3"/>
        </w:numPr>
        <w:spacing w:after="60" w:before="60"/>
      </w:pPr>
      <w:r>
        <w:rPr>
          <w:rFonts w:ascii="Arial" w:cs="Arial" w:eastAsia="Arial" w:hAnsi="Arial"/>
          <w:color w:val="111111"/>
          <w:sz w:val="22"/>
          <w:szCs w:val="22"/>
        </w:rPr>
        <w:t xml:space="preserve">Temperature = 0 for all API calls in the main experiment. This maximises determinism — most frontier model providers implement temperature-0 calls using greedy decoding, which is fully deterministic given the same model version and input.</w:t>
      </w:r>
    </w:p>
    <w:p>
      <w:pPr>
        <w:pStyle w:val="ListParagraph"/>
        <w:numPr>
          <w:ilvl w:val="0"/>
          <w:numId w:val="3"/>
        </w:numPr>
        <w:spacing w:after="60" w:before="60"/>
      </w:pPr>
      <w:r>
        <w:rPr>
          <w:rFonts w:ascii="Arial" w:cs="Arial" w:eastAsia="Arial" w:hAnsi="Arial"/>
          <w:color w:val="111111"/>
          <w:sz w:val="22"/>
          <w:szCs w:val="22"/>
        </w:rPr>
        <w:t xml:space="preserve">Model version pinning. We document exact model version strings for all API calls (e.g., claude-sonnet-4-6, gpt-4o-2025-04-01) and freeze these for the duration of the experiment. We do not use 'latest' aliases that may change mid-experiment.</w:t>
      </w:r>
    </w:p>
    <w:p>
      <w:pPr>
        <w:pStyle w:val="ListParagraph"/>
        <w:numPr>
          <w:ilvl w:val="0"/>
          <w:numId w:val="3"/>
        </w:numPr>
        <w:spacing w:after="60" w:before="60"/>
      </w:pPr>
      <w:r>
        <w:rPr>
          <w:rFonts w:ascii="Arial" w:cs="Arial" w:eastAsia="Arial" w:hAnsi="Arial"/>
          <w:color w:val="111111"/>
          <w:sz w:val="22"/>
          <w:szCs w:val="22"/>
        </w:rPr>
        <w:t xml:space="preserve">Triple-run protocol. Despite temperature-0 settings, implementation differences across providers mean outputs may still vary slightly. We run every scenario three times and report the mean score, the standard deviation, and flag any scenario where the directional call (up vs. down) differs across runs — which would represent the most serious form of instability.</w:t>
      </w:r>
    </w:p>
    <w:p>
      <w:pPr>
        <w:pStyle w:val="ListParagraph"/>
        <w:numPr>
          <w:ilvl w:val="0"/>
          <w:numId w:val="3"/>
        </w:numPr>
        <w:spacing w:after="60" w:before="60"/>
      </w:pPr>
      <w:r>
        <w:rPr>
          <w:rFonts w:ascii="Arial" w:cs="Arial" w:eastAsia="Arial" w:hAnsi="Arial"/>
          <w:color w:val="111111"/>
          <w:sz w:val="22"/>
          <w:szCs w:val="22"/>
        </w:rPr>
        <w:t xml:space="preserve">Full output logging. All raw agent outputs, debate transcripts, moderator syntheses, and scoring computations are stored and published as supplementary material, enabling independent replication and review.</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7. Implementation Plan</w:t>
      </w:r>
    </w:p>
    <w:p>
      <w:pPr>
        <w:pStyle w:val="Heading2"/>
        <w:spacing w:after="100" w:before="280"/>
      </w:pPr>
      <w:r>
        <w:rPr>
          <w:rFonts w:ascii="Arial" w:cs="Arial" w:eastAsia="Arial" w:hAnsi="Arial"/>
          <w:b/>
          <w:bCs/>
          <w:color w:val="2E5FA3"/>
          <w:sz w:val="25"/>
          <w:szCs w:val="25"/>
        </w:rPr>
        <w:t xml:space="preserve">7.1 Experimental Scope</w:t>
      </w:r>
    </w:p>
    <w:p>
      <w:pPr>
        <w:spacing w:after="120" w:before="80"/>
      </w:pPr>
      <w:r>
        <w:rPr>
          <w:rFonts w:ascii="Arial" w:cs="Arial" w:eastAsia="Arial" w:hAnsi="Arial"/>
          <w:color w:val="111111"/>
          <w:sz w:val="22"/>
          <w:szCs w:val="22"/>
        </w:rPr>
        <w:t xml:space="preserve">Following the principle that narrow scope produces more credible results, the experiment is bounded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Parameter</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Decision and Rationale</w:t>
            </w:r>
          </w:p>
        </w:tc>
      </w:tr>
      <w:tr>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Geography</w:t>
            </w:r>
          </w:p>
        </w:tc>
        <w:tc>
          <w:tcPr>
            <w:tcW w:type="dxa" w:w="69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United States. S&amp;P 500 index and six sector ETFs (XLE, XLF, XLK, ITA, XLY, XLY). Best data infrastructure globally — all sources free, API-accessible, and historically comprehensive.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Shock Types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Two types: Military/Geopolitical escalation and Energy Supply disruption. Different transmission chains enable cross-shock comparison and test whether the system's domain routing is functioning correctly.</w:t>
            </w:r>
          </w:p>
        </w:tc>
      </w:tr>
      <w:tr>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Test Events</w:t>
            </w:r>
          </w:p>
        </w:tc>
        <w:tc>
          <w:tcPr>
            <w:tcW w:type="dxa" w:w="69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Five historical events: 9/11 (2001), Iraq War launch (2003), Russia-Ukraine invasion (2022), Hamas October 7 attack (2023), US-China tariff escalation (2025).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Evaluation Window</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S&amp;P 500 and sector ETF returns over the 5 trading days following each event. This window captures the immediate market pricing-in period while minimising confounding from subsequent news.</w:t>
            </w:r>
          </w:p>
        </w:tc>
      </w:tr>
      <w:tr>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Primary User</w:t>
            </w:r>
          </w:p>
        </w:tc>
        <w:tc>
          <w:tcPr>
            <w:tcW w:type="dxa" w:w="69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Financial stability analysts at institutions analogous to the Federal Reserve. This framing grounds the evaluation in a real institutional workflow.</w:t>
            </w:r>
          </w:p>
        </w:tc>
      </w:tr>
    </w:tbl>
    <w:p>
      <w:r>
        <w:t xml:space="preserve"/>
      </w:r>
    </w:p>
    <w:p>
      <w:pPr>
        <w:pStyle w:val="Heading2"/>
        <w:spacing w:after="100" w:before="280"/>
      </w:pPr>
      <w:r>
        <w:rPr>
          <w:rFonts w:ascii="Arial" w:cs="Arial" w:eastAsia="Arial" w:hAnsi="Arial"/>
          <w:b/>
          <w:bCs/>
          <w:color w:val="2E5FA3"/>
          <w:sz w:val="25"/>
          <w:szCs w:val="25"/>
        </w:rPr>
        <w:t xml:space="preserve">7.2 Two-Approach Comparison Design</w:t>
      </w:r>
    </w:p>
    <w:p>
      <w:pPr>
        <w:spacing w:after="120" w:before="80"/>
      </w:pPr>
      <w:r>
        <w:rPr>
          <w:rFonts w:ascii="Arial" w:cs="Arial" w:eastAsia="Arial" w:hAnsi="Arial"/>
          <w:color w:val="111111"/>
          <w:sz w:val="22"/>
          <w:szCs w:val="22"/>
        </w:rPr>
        <w:t xml:space="preserve">We test two implementations of the debate framework and compare both against a no-debate baseline:</w:t>
      </w:r>
    </w:p>
    <w:p>
      <w:pPr>
        <w:pStyle w:val="ListParagraph"/>
        <w:numPr>
          <w:ilvl w:val="0"/>
          <w:numId w:val="2"/>
        </w:numPr>
        <w:spacing w:after="60" w:before="60"/>
      </w:pPr>
      <w:r>
        <w:rPr>
          <w:rFonts w:ascii="Arial" w:cs="Arial" w:eastAsia="Arial" w:hAnsi="Arial"/>
          <w:color w:val="111111"/>
          <w:sz w:val="22"/>
          <w:szCs w:val="22"/>
        </w:rPr>
        <w:t xml:space="preserve">Baseline (Approach 0): A single LLM (Claude) prompted once with a generic financial analyst persona. No debate, no domain specialisation, no RAG retrieval. This represents the current state of the art for single-model AI financial analysis.</w:t>
      </w:r>
    </w:p>
    <w:p>
      <w:pPr>
        <w:pStyle w:val="ListParagraph"/>
        <w:numPr>
          <w:ilvl w:val="0"/>
          <w:numId w:val="2"/>
        </w:numPr>
        <w:spacing w:after="60" w:before="60"/>
      </w:pPr>
      <w:r>
        <w:rPr>
          <w:rFonts w:ascii="Arial" w:cs="Arial" w:eastAsia="Arial" w:hAnsi="Arial"/>
          <w:color w:val="111111"/>
          <w:sz w:val="22"/>
          <w:szCs w:val="22"/>
        </w:rPr>
        <w:t xml:space="preserve">Approach A: Single-LLM personas. Claude is called five times with five different domain-specialist system prompts — Political and Geopolitical, Economic Fiscal and Market, Environmental and Technology, Social and Behavioural, Devil's Advocate. Same underlying model, different instructions. This tests whether debate structure alone (absent model diversity) adds value.</w:t>
      </w:r>
    </w:p>
    <w:p>
      <w:pPr>
        <w:pStyle w:val="ListParagraph"/>
        <w:numPr>
          <w:ilvl w:val="0"/>
          <w:numId w:val="2"/>
        </w:numPr>
        <w:spacing w:after="60" w:before="60"/>
      </w:pPr>
      <w:r>
        <w:rPr>
          <w:rFonts w:ascii="Arial" w:cs="Arial" w:eastAsia="Arial" w:hAnsi="Arial"/>
          <w:color w:val="111111"/>
          <w:sz w:val="22"/>
          <w:szCs w:val="22"/>
        </w:rPr>
        <w:t xml:space="preserve">Approach B: Multi-LLM model diversity. Five different frontier LLMs are each assigned a domain role, with role assignments rotating across events using the latin-square rotation design in Section 7.3. This tests whether genuine model diversity provides additional benefit beyond debate structure.</w:t>
      </w:r>
    </w:p>
    <w:p>
      <w:pPr>
        <w:pStyle w:val="Heading2"/>
        <w:spacing w:after="100" w:before="280"/>
      </w:pPr>
      <w:r>
        <w:rPr>
          <w:rFonts w:ascii="Arial" w:cs="Arial" w:eastAsia="Arial" w:hAnsi="Arial"/>
          <w:b/>
          <w:bCs/>
          <w:color w:val="2E5FA3"/>
          <w:sz w:val="25"/>
          <w:szCs w:val="25"/>
        </w:rPr>
        <w:t xml:space="preserve">7.3 Role Rotation Design</w:t>
      </w:r>
    </w:p>
    <w:p>
      <w:pPr>
        <w:spacing w:after="120" w:before="80"/>
      </w:pPr>
      <w:r>
        <w:rPr>
          <w:rFonts w:ascii="Arial" w:cs="Arial" w:eastAsia="Arial" w:hAnsi="Arial"/>
          <w:color w:val="111111"/>
          <w:sz w:val="22"/>
          <w:szCs w:val="22"/>
        </w:rPr>
        <w:t xml:space="preserve">To control for the possibility that one LLM provider is simply better than others regardless of role, we rotate role assignments across events using a balanced incomplete block design. Each model plays each role exactly once across the five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Event</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Pol+Geo</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Econ+Mkt</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Env+Tech</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Social</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Devil's Adv.</w:t>
            </w:r>
          </w:p>
        </w:tc>
      </w:tr>
      <w:tr>
        <w:tc>
          <w:tcPr>
            <w:tcW w:type="dxa" w:w="2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9/11 (Sep 2001)</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Claude</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GPT-4o</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Gemini</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DeepSeek</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Grok</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Iraq War (Mar 2003)</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GPT-4o</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Gemini</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DeepSeek</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Grok</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Claude</w:t>
            </w:r>
          </w:p>
        </w:tc>
      </w:tr>
      <w:tr>
        <w:tc>
          <w:tcPr>
            <w:tcW w:type="dxa" w:w="2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Russia-Ukraine (Feb 2022)</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Gemini</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DeepSeek</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Grok</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Claude</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GPT-4o</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Oct 7 Hamas (Oct 2023)</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DeepSeek</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Grok</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Claude</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GPT-4o</w:t>
            </w:r>
          </w:p>
        </w:tc>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Gemini</w:t>
            </w:r>
          </w:p>
        </w:tc>
      </w:tr>
      <w:tr>
        <w:tc>
          <w:tcPr>
            <w:tcW w:type="dxa" w:w="2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US-China Tariffs (Apr 2025)</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Grok</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Claude</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GPT-4o</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Gemini</w:t>
            </w:r>
          </w:p>
        </w:tc>
        <w:tc>
          <w:tcPr>
            <w:tcW w:type="dxa" w:w="144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DeepSeek</w:t>
            </w:r>
          </w:p>
        </w:tc>
      </w:tr>
    </w:tbl>
    <w:p>
      <w:r>
        <w:t xml:space="preserve"/>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8. Evaluation Framework and Scoring Rubrics</w:t>
      </w:r>
    </w:p>
    <w:p>
      <w:pPr>
        <w:spacing w:after="120" w:before="80"/>
      </w:pPr>
      <w:r>
        <w:rPr>
          <w:rFonts w:ascii="Arial" w:cs="Arial" w:eastAsia="Arial" w:hAnsi="Arial"/>
          <w:color w:val="111111"/>
          <w:sz w:val="22"/>
          <w:szCs w:val="22"/>
        </w:rPr>
        <w:t xml:space="preserve">The evaluation framework is pre-registered before any agent API calls are made. No metric definitions or thresholds are adjusted after seeing results. All scores are computed algorithmically where possible; human scoring is used only for qualitative components with documented inter-rater reliability.</w:t>
      </w:r>
    </w:p>
    <w:p>
      <w:pPr>
        <w:pStyle w:val="Heading2"/>
        <w:spacing w:after="100" w:before="280"/>
      </w:pPr>
      <w:r>
        <w:rPr>
          <w:rFonts w:ascii="Arial" w:cs="Arial" w:eastAsia="Arial" w:hAnsi="Arial"/>
          <w:b/>
          <w:bCs/>
          <w:color w:val="2E5FA3"/>
          <w:sz w:val="25"/>
          <w:szCs w:val="25"/>
        </w:rPr>
        <w:t xml:space="preserve">8.1 Primary Evaluation Metrics</w:t>
      </w:r>
    </w:p>
    <w:p>
      <w:pPr>
        <w:pStyle w:val="Heading3"/>
        <w:spacing w:after="80" w:before="220"/>
      </w:pPr>
      <w:r>
        <w:rPr>
          <w:rFonts w:ascii="Arial" w:cs="Arial" w:eastAsia="Arial" w:hAnsi="Arial"/>
          <w:b/>
          <w:bCs/>
          <w:color w:val="5A6A85"/>
          <w:sz w:val="22"/>
          <w:szCs w:val="22"/>
        </w:rPr>
        <w:t xml:space="preserve">8.1.1 Metric 1 — Directional Accuracy (DA)</w:t>
      </w:r>
    </w:p>
    <w:p>
      <w:pPr>
        <w:spacing w:after="120" w:before="80"/>
      </w:pPr>
      <w:r>
        <w:rPr>
          <w:rFonts w:ascii="Arial" w:cs="Arial" w:eastAsia="Arial" w:hAnsi="Arial"/>
          <w:color w:val="111111"/>
          <w:sz w:val="22"/>
          <w:szCs w:val="22"/>
        </w:rPr>
        <w:t xml:space="preserve">Directional accuracy measures whether the system correctly predicted the sign of the market movement — whether a given index or sector moved up or down — over the 5-trading-day window following the event.</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DA_sector = 1 if sign(predicted_return) == sign(actual_return), else 0</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DA_overall = mean(DA_sector) across [S&amp;P500, XLE, XLF, XLK, ITA, XLY]</w:t>
      </w:r>
    </w:p>
    <w:p>
      <w:pPr>
        <w:spacing w:after="120" w:before="80"/>
      </w:pPr>
      <w:r>
        <w:rPr>
          <w:rFonts w:ascii="Arial" w:cs="Arial" w:eastAsia="Arial" w:hAnsi="Arial"/>
          <w:color w:val="111111"/>
          <w:sz w:val="22"/>
          <w:szCs w:val="22"/>
        </w:rPr>
        <w:t xml:space="preserve">Actual returns are sourced from yfinance with the temporal restriction applied. Predicted direction is extracted from the direction field of the Moderator's consensus scenario JSON. A directional prediction of neutral (no change) is scored as 0 if the actual move is greater than 1% in either direction and 1 if the actual move is within plus or minus 1%.</w:t>
      </w:r>
    </w:p>
    <w:p>
      <w:pPr>
        <w:pStyle w:val="Heading3"/>
        <w:spacing w:after="80" w:before="220"/>
      </w:pPr>
      <w:r>
        <w:rPr>
          <w:rFonts w:ascii="Arial" w:cs="Arial" w:eastAsia="Arial" w:hAnsi="Arial"/>
          <w:b/>
          <w:bCs/>
          <w:color w:val="5A6A85"/>
          <w:sz w:val="22"/>
          <w:szCs w:val="22"/>
        </w:rPr>
        <w:t xml:space="preserve">8.1.2 Metric 2 — Magnitude Calibration (MC)</w:t>
      </w:r>
    </w:p>
    <w:p>
      <w:pPr>
        <w:spacing w:after="120" w:before="80"/>
      </w:pPr>
      <w:r>
        <w:rPr>
          <w:rFonts w:ascii="Arial" w:cs="Arial" w:eastAsia="Arial" w:hAnsi="Arial"/>
          <w:color w:val="111111"/>
          <w:sz w:val="22"/>
          <w:szCs w:val="22"/>
        </w:rPr>
        <w:t xml:space="preserve">Magnitude calibration measures how close the predicted percentage change is to the actual percentage change, using a tolerance band scoring approach:</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MC_sector = 1.0 if |predicted_pct - actual_pct| / |actual_pct| &lt; 0.20</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MC_sector = 0.5 if 0.20 &lt;= |predicted_pct - actual_pct| / |actual_pct| &lt; 0.40</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MC_sector = 0.0 if |predicted_pct - actual_pct| / |actual_pct| &gt;= 0.40</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MC_overall = mean(MC_sector) across all sectors with DA_sector = 1</w:t>
      </w:r>
    </w:p>
    <w:p>
      <w:pPr>
        <w:spacing w:after="120" w:before="80"/>
      </w:pPr>
      <w:r>
        <w:rPr>
          <w:rFonts w:ascii="Arial" w:cs="Arial" w:eastAsia="Arial" w:hAnsi="Arial"/>
          <w:color w:val="111111"/>
          <w:sz w:val="22"/>
          <w:szCs w:val="22"/>
        </w:rPr>
        <w:t xml:space="preserve">Note that MC is only computed for sectors where DA is correct. A system that predicts the wrong direction but the right magnitude is not being rewarded — direction must be correct first.</w:t>
      </w:r>
    </w:p>
    <w:p>
      <w:pPr>
        <w:pStyle w:val="Heading3"/>
        <w:spacing w:after="80" w:before="220"/>
      </w:pPr>
      <w:r>
        <w:rPr>
          <w:rFonts w:ascii="Arial" w:cs="Arial" w:eastAsia="Arial" w:hAnsi="Arial"/>
          <w:b/>
          <w:bCs/>
          <w:color w:val="5A6A85"/>
          <w:sz w:val="22"/>
          <w:szCs w:val="22"/>
        </w:rPr>
        <w:t xml:space="preserve">8.1.3 Metric 3 — Transmission Channel Completeness (TCC)</w:t>
      </w:r>
    </w:p>
    <w:p>
      <w:pPr>
        <w:spacing w:after="120" w:before="80"/>
      </w:pPr>
      <w:r>
        <w:rPr>
          <w:rFonts w:ascii="Arial" w:cs="Arial" w:eastAsia="Arial" w:hAnsi="Arial"/>
          <w:color w:val="111111"/>
          <w:sz w:val="22"/>
          <w:szCs w:val="22"/>
        </w:rPr>
        <w:t xml:space="preserve">Transmission channel completeness measures what fraction of the channels through which a shock actually affected markets were identified in the generated scenario. This is the most novel metric and requires the most careful operationalisation.</w:t>
      </w:r>
    </w:p>
    <w:p>
      <w:pPr>
        <w:spacing w:after="120" w:before="80"/>
      </w:pPr>
      <w:r>
        <w:rPr>
          <w:rFonts w:ascii="Arial" w:cs="Arial" w:eastAsia="Arial" w:hAnsi="Arial"/>
          <w:color w:val="111111"/>
          <w:sz w:val="22"/>
          <w:szCs w:val="22"/>
        </w:rPr>
        <w:t xml:space="preserve">Reference channel lists are compiled in advance for each test event from post-event academic literature and Federal Reserve analyses. For example, the reference channel list for the Russia-Ukraine invasion (2022) includes: crude oil price spike via supply uncertainty, European growth slowdown risk, defence spending increase narrative, US dollar safe-haven flow, agricultural commodity disruption (wheat and grain), energy sector earnings upgrade, and consumer discretionary compression via fuel costs. Eight channels in total.</w:t>
      </w:r>
    </w:p>
    <w:p>
      <w:pPr>
        <w:spacing w:after="120" w:before="80"/>
      </w:pPr>
      <w:r>
        <w:rPr>
          <w:rFonts w:ascii="Arial" w:cs="Arial" w:eastAsia="Arial" w:hAnsi="Arial"/>
          <w:color w:val="111111"/>
          <w:sz w:val="22"/>
          <w:szCs w:val="22"/>
        </w:rPr>
        <w:t xml:space="preserve">A generated scenario is scored for channel coverage using semantic similarity matching:</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Channel_identified = 1 if max(cosine_similarity(channel_embedding, scenario_segment_embeddings)) &gt;= 0.70</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TCC = (sum of Channel_identified) / total_reference_channels</w:t>
      </w:r>
    </w:p>
    <w:p>
      <w:pPr>
        <w:spacing w:after="120" w:before="80"/>
      </w:pPr>
      <w:r>
        <w:rPr>
          <w:rFonts w:ascii="Arial" w:cs="Arial" w:eastAsia="Arial" w:hAnsi="Arial"/>
          <w:color w:val="111111"/>
          <w:sz w:val="22"/>
          <w:szCs w:val="22"/>
        </w:rPr>
        <w:t xml:space="preserve">The threshold of 0.70 cosine similarity is calibrated on a held-out pilot event to balance precision (not crediting vague mentions) and recall (not requiring verbatim matches). Sentence-BERT (all-mpnet-base-v2) is used for all embeddings.</w:t>
      </w:r>
    </w:p>
    <w:p>
      <w:pPr>
        <w:pStyle w:val="Heading2"/>
        <w:spacing w:after="100" w:before="280"/>
      </w:pPr>
      <w:r>
        <w:rPr>
          <w:rFonts w:ascii="Arial" w:cs="Arial" w:eastAsia="Arial" w:hAnsi="Arial"/>
          <w:b/>
          <w:bCs/>
          <w:color w:val="2E5FA3"/>
          <w:sz w:val="25"/>
          <w:szCs w:val="25"/>
        </w:rPr>
        <w:t xml:space="preserve">8.2 Composite Performance Score</w:t>
      </w:r>
    </w:p>
    <w:p>
      <w:pPr>
        <w:spacing w:after="120" w:before="80"/>
      </w:pPr>
      <w:r>
        <w:rPr>
          <w:rFonts w:ascii="Arial" w:cs="Arial" w:eastAsia="Arial" w:hAnsi="Arial"/>
          <w:color w:val="111111"/>
          <w:sz w:val="22"/>
          <w:szCs w:val="22"/>
        </w:rPr>
        <w:t xml:space="preserve">For comparison across approaches and events, we compute a Composite Performance Score (CPS):</w:t>
      </w:r>
    </w:p>
    <w:p>
      <w:pPr>
        <w:pBdr>
          <w:left w:val="single" w:color="2E5FA3" w:sz="8" w:space="6"/>
        </w:pBdr>
        <w:shd w:fill="F2F4F8" w:val="clear"/>
        <w:spacing w:after="120" w:before="120"/>
        <w:ind w:left="360" w:right="360"/>
        <w:jc w:val="center"/>
      </w:pPr>
      <w:r>
        <w:rPr>
          <w:rFonts w:ascii="Courier New" w:cs="Courier New" w:eastAsia="Courier New" w:hAnsi="Courier New"/>
          <w:b/>
          <w:bCs/>
          <w:color w:val="1B2A4A"/>
          <w:sz w:val="21"/>
          <w:szCs w:val="21"/>
        </w:rPr>
        <w:t xml:space="preserve">CPS = 0.40 x DA_overall + 0.35 x MC_overall + 0.25 x TCC</w:t>
      </w:r>
    </w:p>
    <w:p>
      <w:pPr>
        <w:spacing w:after="120" w:before="80"/>
      </w:pPr>
      <w:r>
        <w:rPr>
          <w:rFonts w:ascii="Arial" w:cs="Arial" w:eastAsia="Arial" w:hAnsi="Arial"/>
          <w:color w:val="111111"/>
          <w:sz w:val="22"/>
          <w:szCs w:val="22"/>
        </w:rPr>
        <w:t xml:space="preserve">Weights reflect the practical importance ordering: directional accuracy is most important for portfolio positioning decisions, magnitude calibration is most important for sizing hedges, and transmission channel completeness is most important for understanding and communicating risk — important but less immediately actionable.</w:t>
      </w:r>
    </w:p>
    <w:p>
      <w:pPr>
        <w:pStyle w:val="Heading2"/>
        <w:spacing w:after="100" w:before="280"/>
      </w:pPr>
      <w:r>
        <w:rPr>
          <w:rFonts w:ascii="Arial" w:cs="Arial" w:eastAsia="Arial" w:hAnsi="Arial"/>
          <w:b/>
          <w:bCs/>
          <w:color w:val="2E5FA3"/>
          <w:sz w:val="25"/>
          <w:szCs w:val="25"/>
        </w:rPr>
        <w:t xml:space="preserve">8.3 Debate Process Metrics</w:t>
      </w:r>
    </w:p>
    <w:p>
      <w:pPr>
        <w:pStyle w:val="Heading3"/>
        <w:spacing w:after="80" w:before="220"/>
      </w:pPr>
      <w:r>
        <w:rPr>
          <w:rFonts w:ascii="Arial" w:cs="Arial" w:eastAsia="Arial" w:hAnsi="Arial"/>
          <w:b/>
          <w:bCs/>
          <w:color w:val="5A6A85"/>
          <w:sz w:val="22"/>
          <w:szCs w:val="22"/>
        </w:rPr>
        <w:t xml:space="preserve">8.3.1 Pre-Debate Diversity (PDD)</w:t>
      </w:r>
    </w:p>
    <w:p>
      <w:pPr>
        <w:spacing w:after="120" w:before="80"/>
      </w:pPr>
      <w:r>
        <w:rPr>
          <w:rFonts w:ascii="Arial" w:cs="Arial" w:eastAsia="Arial" w:hAnsi="Arial"/>
          <w:color w:val="111111"/>
          <w:sz w:val="22"/>
          <w:szCs w:val="22"/>
        </w:rPr>
        <w:t xml:space="preserve">Computed before Round 1 outputs are shared. Reports the average pairwise cosine distance between agent Round 1 position embeddings. High PDD confirms genuine model diversity; low PDD suggests training data convergence and will be reported as a limitation qualifier on results.</w:t>
      </w:r>
    </w:p>
    <w:p>
      <w:pPr>
        <w:pStyle w:val="Heading3"/>
        <w:spacing w:after="80" w:before="220"/>
      </w:pPr>
      <w:r>
        <w:rPr>
          <w:rFonts w:ascii="Arial" w:cs="Arial" w:eastAsia="Arial" w:hAnsi="Arial"/>
          <w:b/>
          <w:bCs/>
          <w:color w:val="5A6A85"/>
          <w:sz w:val="22"/>
          <w:szCs w:val="22"/>
        </w:rPr>
        <w:t xml:space="preserve">8.3.2 Debate Quality Score (DQS)</w:t>
      </w:r>
    </w:p>
    <w:p>
      <w:pPr>
        <w:spacing w:after="120" w:before="80"/>
      </w:pPr>
      <w:r>
        <w:rPr>
          <w:rFonts w:ascii="Arial" w:cs="Arial" w:eastAsia="Arial" w:hAnsi="Arial"/>
          <w:color w:val="111111"/>
          <w:sz w:val="22"/>
          <w:szCs w:val="22"/>
        </w:rPr>
        <w:t xml:space="preserve">Computed by the Moderator using the four-type position-change decomposition described in Section 5.3.3. Reports the ratio of evidence-based revisions to total position changes. A DQS below 0.3 triggers a flag in the report noting that debate quality was low for this event.</w:t>
      </w:r>
    </w:p>
    <w:p>
      <w:pPr>
        <w:pStyle w:val="Heading3"/>
        <w:spacing w:after="80" w:before="220"/>
      </w:pPr>
      <w:r>
        <w:rPr>
          <w:rFonts w:ascii="Arial" w:cs="Arial" w:eastAsia="Arial" w:hAnsi="Arial"/>
          <w:b/>
          <w:bCs/>
          <w:color w:val="5A6A85"/>
          <w:sz w:val="22"/>
          <w:szCs w:val="22"/>
        </w:rPr>
        <w:t xml:space="preserve">8.3.3 Explore/Exploit Round Count</w:t>
      </w:r>
    </w:p>
    <w:p>
      <w:pPr>
        <w:spacing w:after="120" w:before="80"/>
      </w:pPr>
      <w:r>
        <w:rPr>
          <w:rFonts w:ascii="Arial" w:cs="Arial" w:eastAsia="Arial" w:hAnsi="Arial"/>
          <w:color w:val="111111"/>
          <w:sz w:val="22"/>
          <w:szCs w:val="22"/>
        </w:rPr>
        <w:t xml:space="preserve">The number of debate rounds executed before the DCS fell below the exploitation threshold. Reported per event. Expected pattern: simple, well-defined events (Iraq War 2003, where markets initially rallied on expectation of quick resolution) should terminate in 2 rounds; compound, ambiguous events (Russia-Ukraine, with simultaneous geopolitical, energy, and supply chain channels) should run to 4-5 rounds.</w:t>
      </w:r>
    </w:p>
    <w:p>
      <w:pPr>
        <w:pStyle w:val="Heading2"/>
        <w:spacing w:after="100" w:before="280"/>
      </w:pPr>
      <w:r>
        <w:rPr>
          <w:rFonts w:ascii="Arial" w:cs="Arial" w:eastAsia="Arial" w:hAnsi="Arial"/>
          <w:b/>
          <w:bCs/>
          <w:color w:val="2E5FA3"/>
          <w:sz w:val="25"/>
          <w:szCs w:val="25"/>
        </w:rPr>
        <w:t xml:space="preserve">8.4 Statistical Analysis</w:t>
      </w:r>
    </w:p>
    <w:p>
      <w:pPr>
        <w:spacing w:after="120" w:before="80"/>
      </w:pPr>
      <w:r>
        <w:rPr>
          <w:rFonts w:ascii="Arial" w:cs="Arial" w:eastAsia="Arial" w:hAnsi="Arial"/>
          <w:color w:val="111111"/>
          <w:sz w:val="22"/>
          <w:szCs w:val="22"/>
        </w:rPr>
        <w:t xml:space="preserve">Given the small sample size (five events), traditional significance testing is inappropriate. We report all results descriptively and use bootstrap confidence intervals (10,000 bootstrap samples) to estimate uncertainty around CPS differences between approaches. We additionally report the effect size (Cohen's d) for the Approach A versus Approach B comparison. A pre-specified minimum effect size of d = 0.5 is required before we claim that model-diversity debate offers meaningful improvement over single-model personas.</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9.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rPr>
          <w:tblHeader/>
        </w:trPr>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Phase</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Tasks</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Deliverable</w:t>
            </w:r>
          </w:p>
        </w:tc>
        <w:tc>
          <w:tcPr>
            <w:tcW w:type="dxa" w:w="2340"/>
            <w:gridSpan w:val="1"/>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Date</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1 — Setup</w:t>
            </w:r>
          </w:p>
        </w:tc>
        <w:tc>
          <w:tcPr>
            <w:tcW w:type="dxa" w:w="3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API connections confirmed, pilot run on Russia-Ukraine 2022, scoring rubric finalised, hypothesis pre-registered</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Pilot run report, pre-registration document</w:t>
            </w:r>
          </w:p>
        </w:tc>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30 June – 6 July 2026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Milestone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Submission-grade presentation to faculty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Presentation slides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9 July 2026</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2 — Experiments</w:t>
            </w:r>
          </w:p>
        </w:tc>
        <w:tc>
          <w:tcPr>
            <w:tcW w:type="dxa" w:w="3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Full 5-event experiment: Approach 0, A, and B. Triple-run protocol. All outputs logged.</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Complete results dataset</w:t>
            </w:r>
          </w:p>
        </w:tc>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7 – 20 July 2026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3 — Analysis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Score computation, DCS/DQS analysis, bootstrap CIs, diversity analysis, failure case review</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Results tables and figures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21 – 24 July 2026</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4 — Writing</w:t>
            </w:r>
          </w:p>
        </w:tc>
        <w:tc>
          <w:tcPr>
            <w:tcW w:type="dxa" w:w="3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Full paper draft: all sections, references, limitations, abstract</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First complete draft</w:t>
            </w:r>
          </w:p>
        </w:tc>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25 – 28 July 2026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5 — Revision</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Internal review, corrections, supplementary materials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Submission-ready paper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29 – 31 July 2026</w:t>
            </w:r>
          </w:p>
        </w:tc>
      </w:tr>
      <w:tr>
        <w:tc>
          <w:tcPr>
            <w:tcW w:type="dxa" w:w="20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Submission</w:t>
            </w:r>
          </w:p>
        </w:tc>
        <w:tc>
          <w:tcPr>
            <w:tcW w:type="dxa" w:w="316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ICAIF 2026 / SSRN working paper</w:t>
            </w:r>
          </w:p>
        </w:tc>
        <w:tc>
          <w:tcPr>
            <w:tcW w:type="dxa" w:w="24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Published paper</w:t>
            </w:r>
          </w:p>
        </w:tc>
        <w:tc>
          <w:tcPr>
            <w:tcW w:type="dxa" w:w="1800"/>
            <w:gridSpan w:val="1"/>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11111"/>
                <w:sz w:val="19"/>
                <w:szCs w:val="19"/>
              </w:rPr>
              <w:t xml:space="preserve">31 July 2026</w:t>
            </w:r>
          </w:p>
        </w:tc>
      </w:tr>
    </w:tbl>
    <w:p>
      <w:r>
        <w:t xml:space="preserve"/>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10. Expected Research Contributions</w:t>
      </w:r>
    </w:p>
    <w:p>
      <w:pPr>
        <w:pStyle w:val="Heading2"/>
        <w:spacing w:after="100" w:before="280"/>
      </w:pPr>
      <w:r>
        <w:rPr>
          <w:rFonts w:ascii="Arial" w:cs="Arial" w:eastAsia="Arial" w:hAnsi="Arial"/>
          <w:b/>
          <w:bCs/>
          <w:color w:val="2E5FA3"/>
          <w:sz w:val="25"/>
          <w:szCs w:val="25"/>
        </w:rPr>
        <w:t xml:space="preserve">10.1 Contribution 1 — Three-Dimensional Geopolitical Analogue Retrieval</w:t>
      </w:r>
    </w:p>
    <w:p>
      <w:pPr>
        <w:spacing w:after="120" w:before="80"/>
      </w:pPr>
      <w:r>
        <w:rPr>
          <w:rFonts w:ascii="Arial" w:cs="Arial" w:eastAsia="Arial" w:hAnsi="Arial"/>
          <w:color w:val="111111"/>
          <w:sz w:val="22"/>
          <w:szCs w:val="22"/>
        </w:rPr>
        <w:t xml:space="preserve">We propose and implement the first analogue retrieval algorithm for financial geopolitical stress testing that matches simultaneously on shock category, US actor involvement, and economic regime state. The algorithm is calibrated on the Caldara-Iacoviello GPR Index and validated empirically. It is designed to be usable independently of the rest of the SPAR architecture by any researcher or practitioner building geopolitical stress scenarios for US equity markets.</w:t>
      </w:r>
    </w:p>
    <w:p>
      <w:pPr>
        <w:pStyle w:val="Heading2"/>
        <w:spacing w:after="100" w:before="280"/>
      </w:pPr>
      <w:r>
        <w:rPr>
          <w:rFonts w:ascii="Arial" w:cs="Arial" w:eastAsia="Arial" w:hAnsi="Arial"/>
          <w:b/>
          <w:bCs/>
          <w:color w:val="2E5FA3"/>
          <w:sz w:val="25"/>
          <w:szCs w:val="25"/>
        </w:rPr>
        <w:t xml:space="preserve">10.2 Contribution 2 — Model-Diversity vs. Persona-Diversity Debate Comparison</w:t>
      </w:r>
    </w:p>
    <w:p>
      <w:pPr>
        <w:spacing w:after="120" w:before="80"/>
      </w:pPr>
      <w:r>
        <w:rPr>
          <w:rFonts w:ascii="Arial" w:cs="Arial" w:eastAsia="Arial" w:hAnsi="Arial"/>
          <w:color w:val="111111"/>
          <w:sz w:val="22"/>
          <w:szCs w:val="22"/>
        </w:rPr>
        <w:t xml:space="preserve">We provide the first controlled empirical comparison of multi-provider LLM debate against single-provider persona debate in a financial analysis context. Using a balanced rotation design that controls for provider-specific capability differences, we test whether genuine model diversity produces measurably better geopolitical stress scenarios. The results will either confirm the hypothesis (justifying the additional API cost and orchestration complexity of multi-provider deployment) or refute it (suggesting that debate structure alone is the primary driver of quality improvement, and a single capable model is sufficient).</w:t>
      </w:r>
    </w:p>
    <w:p>
      <w:pPr>
        <w:pStyle w:val="Heading2"/>
        <w:spacing w:after="100" w:before="280"/>
      </w:pPr>
      <w:r>
        <w:rPr>
          <w:rFonts w:ascii="Arial" w:cs="Arial" w:eastAsia="Arial" w:hAnsi="Arial"/>
          <w:b/>
          <w:bCs/>
          <w:color w:val="2E5FA3"/>
          <w:sz w:val="25"/>
          <w:szCs w:val="25"/>
        </w:rPr>
        <w:t xml:space="preserve">10.3 Contribution 3 — Position-Change Decomposition as Debate Quality Metric</w:t>
      </w:r>
    </w:p>
    <w:p>
      <w:pPr>
        <w:spacing w:after="120" w:before="80"/>
      </w:pPr>
      <w:r>
        <w:rPr>
          <w:rFonts w:ascii="Arial" w:cs="Arial" w:eastAsia="Arial" w:hAnsi="Arial"/>
          <w:color w:val="111111"/>
          <w:sz w:val="22"/>
          <w:szCs w:val="22"/>
        </w:rPr>
        <w:t xml:space="preserve">We introduce the four-type position-change decomposition as a principled metric for measuring epistemic quality in multi-agent LLM debate systems. This metric distinguishes evidence-based revision (positive) from consensus-pressure conformity and unsupported position changes (neutral or negative). It is the first operationalised, programmatically computable measure of whether LLM agents are genuinely reasoning or performing the appearance of reasoning. We release the computation code and schema as an open-source tool for the multi-agent AI research community.</w:t>
      </w:r>
    </w:p>
    <w:p>
      <w:r>
        <w:br w:type="page"/>
      </w:r>
    </w:p>
    <w:p>
      <w:pPr>
        <w:pStyle w:val="Heading1"/>
        <w:pBdr>
          <w:bottom w:val="single" w:color="2E5FA3" w:sz="6" w:space="4"/>
        </w:pBdr>
        <w:spacing w:after="120" w:before="360"/>
      </w:pPr>
      <w:r>
        <w:rPr>
          <w:rFonts w:ascii="Arial" w:cs="Arial" w:eastAsia="Arial" w:hAnsi="Arial"/>
          <w:b/>
          <w:bCs/>
          <w:color w:val="1B2A4A"/>
          <w:sz w:val="30"/>
          <w:szCs w:val="30"/>
        </w:rPr>
        <w:t xml:space="preserve">11. References</w:t>
      </w:r>
    </w:p>
    <w:p>
      <w:pPr>
        <w:spacing w:after="120" w:before="80"/>
      </w:pPr>
      <w:r>
        <w:rPr>
          <w:rFonts w:ascii="Arial" w:cs="Arial" w:eastAsia="Arial" w:hAnsi="Arial"/>
          <w:color w:val="5A6A85"/>
          <w:sz w:val="20"/>
          <w:szCs w:val="20"/>
        </w:rPr>
        <w:t xml:space="preserve">Baker, S. R., Bloom, N., and Davis, S. J. (2016). Measuring Economic Policy Uncertainty. Quarterly Journal of Economics, 131(4), 1593-1636.</w:t>
      </w:r>
    </w:p>
    <w:p>
      <w:pPr>
        <w:spacing w:after="120" w:before="80"/>
      </w:pPr>
      <w:r>
        <w:rPr>
          <w:rFonts w:ascii="Arial" w:cs="Arial" w:eastAsia="Arial" w:hAnsi="Arial"/>
          <w:color w:val="5A6A85"/>
          <w:sz w:val="20"/>
          <w:szCs w:val="20"/>
        </w:rPr>
        <w:t xml:space="preserve">Borio, C., Drehmann, M., and Tsatsaronis, K. (2014). Stress-testing macro stress tests: Does it live up to expectations? Journal of Financial Stability, 12, 3-15.</w:t>
      </w:r>
    </w:p>
    <w:p>
      <w:pPr>
        <w:spacing w:after="120" w:before="80"/>
      </w:pPr>
      <w:r>
        <w:rPr>
          <w:rFonts w:ascii="Arial" w:cs="Arial" w:eastAsia="Arial" w:hAnsi="Arial"/>
          <w:color w:val="5A6A85"/>
          <w:sz w:val="20"/>
          <w:szCs w:val="20"/>
        </w:rPr>
        <w:t xml:space="preserve">Brunnermeier, M. K., Dong, G., and Palia, D. (2020). Banks' non-interest income and systemic risk. Review of Corporate Finance Studies, 9(2), 229-255.</w:t>
      </w:r>
    </w:p>
    <w:p>
      <w:pPr>
        <w:spacing w:after="120" w:before="80"/>
      </w:pPr>
      <w:r>
        <w:rPr>
          <w:rFonts w:ascii="Arial" w:cs="Arial" w:eastAsia="Arial" w:hAnsi="Arial"/>
          <w:color w:val="5A6A85"/>
          <w:sz w:val="20"/>
          <w:szCs w:val="20"/>
        </w:rPr>
        <w:t xml:space="preserve">Caldara, D. and Iacoviello, M. (2022). Measuring Geopolitical Risk. American Economic Review, 112(4), 1194-1225.</w:t>
      </w:r>
    </w:p>
    <w:p>
      <w:pPr>
        <w:spacing w:after="120" w:before="80"/>
      </w:pPr>
      <w:r>
        <w:rPr>
          <w:rFonts w:ascii="Arial" w:cs="Arial" w:eastAsia="Arial" w:hAnsi="Arial"/>
          <w:color w:val="5A6A85"/>
          <w:sz w:val="20"/>
          <w:szCs w:val="20"/>
        </w:rPr>
        <w:t xml:space="preserve">Du, Y., Li, S., Torralba, A., Tenenbaum, J. B., and Mordatch, I. (2023). Improving Factuality and Reasoning in Language Models through Multiagent Debate. International Conference on Machine Learning (ICML) 2024.</w:t>
      </w:r>
    </w:p>
    <w:p>
      <w:pPr>
        <w:spacing w:after="120" w:before="80"/>
      </w:pPr>
      <w:r>
        <w:rPr>
          <w:rFonts w:ascii="Arial" w:cs="Arial" w:eastAsia="Arial" w:hAnsi="Arial"/>
          <w:color w:val="5A6A85"/>
          <w:sz w:val="20"/>
          <w:szCs w:val="20"/>
        </w:rPr>
        <w:t xml:space="preserve">Estornell, A. and Liu, Y. (2024). Graph-Theoretic Analysis of Multi-Agent Debate Topologies for Financial Reasoning. arXiv preprint.</w:t>
      </w:r>
    </w:p>
    <w:p>
      <w:pPr>
        <w:spacing w:after="120" w:before="80"/>
      </w:pPr>
      <w:r>
        <w:rPr>
          <w:rFonts w:ascii="Arial" w:cs="Arial" w:eastAsia="Arial" w:hAnsi="Arial"/>
          <w:color w:val="5A6A85"/>
          <w:sz w:val="20"/>
          <w:szCs w:val="20"/>
        </w:rPr>
        <w:t xml:space="preserve">FinDebate (2025). Multi-Agent Collaborative Intelligence for Financial Statement Analysis. Preprint.</w:t>
      </w:r>
    </w:p>
    <w:p>
      <w:pPr>
        <w:spacing w:after="120" w:before="80"/>
      </w:pPr>
      <w:r>
        <w:rPr>
          <w:rFonts w:ascii="Arial" w:cs="Arial" w:eastAsia="Arial" w:hAnsi="Arial"/>
          <w:color w:val="5A6A85"/>
          <w:sz w:val="20"/>
          <w:szCs w:val="20"/>
        </w:rPr>
        <w:t xml:space="preserve">Liang, M. et al. (2023). BloombergGPT: A Large Language Model for Finance. arXiv:2303.17564.</w:t>
      </w:r>
    </w:p>
    <w:p>
      <w:pPr>
        <w:spacing w:after="120" w:before="80"/>
      </w:pPr>
      <w:r>
        <w:rPr>
          <w:rFonts w:ascii="Arial" w:cs="Arial" w:eastAsia="Arial" w:hAnsi="Arial"/>
          <w:color w:val="5A6A85"/>
          <w:sz w:val="20"/>
          <w:szCs w:val="20"/>
        </w:rPr>
        <w:t xml:space="preserve">Ramiah, V., Xu, X., and Moosa, I. A. (2015). Neoclassical finance, behavioural finance and noise traders: A review and introduction to the literature. International Review of Financial Analysis, 41, 89-100.</w:t>
      </w:r>
    </w:p>
    <w:p>
      <w:pPr>
        <w:spacing w:after="120" w:before="80"/>
      </w:pPr>
      <w:r>
        <w:rPr>
          <w:rFonts w:ascii="Arial" w:cs="Arial" w:eastAsia="Arial" w:hAnsi="Arial"/>
          <w:color w:val="5A6A85"/>
          <w:sz w:val="20"/>
          <w:szCs w:val="20"/>
        </w:rPr>
        <w:t xml:space="preserve">Soleimani, A., Zhang, M., et al. (2025). RAG-Based Macro Stress Scenario Generation for G7 Financial Markets. SSRN Working Paper.</w:t>
      </w:r>
    </w:p>
    <w:p>
      <w:pPr>
        <w:spacing w:after="120" w:before="80"/>
      </w:pPr>
      <w:r>
        <w:rPr>
          <w:rFonts w:ascii="Arial" w:cs="Arial" w:eastAsia="Arial" w:hAnsi="Arial"/>
          <w:color w:val="5A6A85"/>
          <w:sz w:val="20"/>
          <w:szCs w:val="20"/>
        </w:rPr>
        <w:t xml:space="preserve">Sutton, R. S. and Barto, A. G. (2018). Reinforcement Learning: An Introduction (2nd edition). MIT Press.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5FA3"/>
      <w:sz w:val="25"/>
      <w:szCs w:val="25"/>
    </w:rPr>
  </w:style>
  <w:style w:type="paragraph" w:styleId="Heading3">
    <w:name w:val="Heading 3"/>
    <w:basedOn w:val="Normal"/>
    <w:next w:val="Normal"/>
    <w:qFormat/>
    <w:pPr>
      <w:spacing w:after="80" w:before="220"/>
      <w:outlineLvl w:val="2"/>
    </w:pPr>
    <w:rPr>
      <w:rFonts w:ascii="Arial" w:cs="Arial" w:eastAsia="Arial" w:hAnsi="Arial"/>
      <w:b/>
      <w:bCs/>
      <w:color w:val="5A6A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2026-06-29T18:56:13.330Z</dcterms:created>
  <dcterms:modified xsi:type="dcterms:W3CDTF">2026-06-29T18:56:13.345Z</dcterms:modified>
</cp:coreProperties>
</file>

<file path=docProps/custom.xml><?xml version="1.0" encoding="utf-8"?>
<Properties xmlns="http://schemas.openxmlformats.org/officeDocument/2006/custom-properties" xmlns:vt="http://schemas.openxmlformats.org/officeDocument/2006/docPropsVTypes"/>
</file>