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Liberation Serif" w:hAnsi="Liberation Serif"/>
          <w:b/>
          <w:b/>
          <w:bCs/>
          <w:sz w:val="36"/>
          <w:szCs w:val="36"/>
          <w:lang w:val="es-ES"/>
        </w:rPr>
      </w:pPr>
      <w:r>
        <w:rPr>
          <w:rFonts w:ascii="Liberation Serif" w:hAnsi="Liberation Serif"/>
          <w:b/>
          <w:bCs/>
          <w:sz w:val="36"/>
          <w:szCs w:val="36"/>
          <w:lang w:val="es-ES"/>
        </w:rPr>
        <w:t>ZeroCog: Propuesta de activación operativa y financiación temprana</w:t>
      </w:r>
    </w:p>
    <w:p>
      <w:pPr>
        <w:pStyle w:val="Normal"/>
        <w:rPr>
          <w:rFonts w:ascii="Liberation Serif" w:hAnsi="Liberation Serif"/>
          <w:b/>
          <w:b/>
          <w:bCs/>
          <w:sz w:val="36"/>
          <w:szCs w:val="36"/>
          <w:lang w:val="es-ES"/>
        </w:rPr>
      </w:pPr>
      <w:r>
        <w:rPr>
          <w:rFonts w:ascii="Liberation Serif" w:hAnsi="Liberation Serif"/>
          <w:b/>
          <w:bCs/>
          <w:sz w:val="36"/>
          <w:szCs w:val="36"/>
          <w:lang w:val="es-ES"/>
        </w:rPr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b/>
          <w:bCs/>
          <w:sz w:val="28"/>
          <w:szCs w:val="28"/>
          <w:lang w:val="es-ES"/>
        </w:rPr>
        <w:t>1. Resumen ejecutivo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sz w:val="24"/>
          <w:szCs w:val="24"/>
          <w:lang w:val="es-ES"/>
        </w:rPr>
        <w:t>ZeroCog es una arquitectura de contexto persistente y anonimización que permite a sistemas de inteligencia artificial operar con memoria real sin exponer datos sensibles.</w:t>
      </w:r>
    </w:p>
    <w:p>
      <w:pPr>
        <w:pStyle w:val="Normal"/>
        <w:rPr>
          <w:rFonts w:ascii="Liberation Serif" w:hAnsi="Liberation Serif"/>
          <w:sz w:val="24"/>
          <w:szCs w:val="24"/>
          <w:lang w:val="es-ES"/>
        </w:rPr>
      </w:pPr>
      <w:r>
        <w:rPr>
          <w:rFonts w:ascii="Liberation Serif" w:hAnsi="Liberation Serif"/>
          <w:sz w:val="24"/>
          <w:szCs w:val="24"/>
          <w:lang w:val="es-ES"/>
        </w:rPr>
        <w:t>El proyecto se encuentra en fase pre-seed, con especificación técnica completa, arquitectura definida y materiales de presentación desarrollados.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sz w:val="24"/>
          <w:szCs w:val="24"/>
          <w:lang w:val="es-ES"/>
        </w:rPr>
        <w:t>Se plantea una inversión inicial de 15.000 – 30.000 € destinada a activar la fase operativa del proyecto, permitiendo desarrollo continuo, validación técnica y preparación para financiación posterior.</w:t>
      </w:r>
    </w:p>
    <w:p>
      <w:pPr>
        <w:pStyle w:val="Normal"/>
        <w:rPr>
          <w:sz w:val="24"/>
          <w:szCs w:val="24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b/>
          <w:bCs/>
          <w:sz w:val="28"/>
          <w:szCs w:val="28"/>
          <w:lang w:val="es-ES"/>
        </w:rPr>
        <w:t>2. Estado actual</w:t>
      </w:r>
    </w:p>
    <w:p>
      <w:pPr>
        <w:pStyle w:val="Normal"/>
        <w:rPr>
          <w:b/>
          <w:b/>
          <w:bCs/>
          <w:sz w:val="28"/>
          <w:szCs w:val="28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Proyecto: ZeroCog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Fase: Pre-seed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Equipo: Fundador único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Activos: Documentación técnica, arquitectura, web y materiales de inversor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Recursos actuales: Sin capital suficiente para dedicación exclusiva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Localización: Málaga / área metropolitana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b/>
          <w:b/>
          <w:bCs/>
          <w:sz w:val="28"/>
          <w:szCs w:val="28"/>
          <w:lang w:val="es-ES"/>
        </w:rPr>
      </w:pPr>
      <w:r>
        <w:rPr>
          <w:rFonts w:ascii="Liberation Serif" w:hAnsi="Liberation Serif"/>
          <w:b/>
          <w:bCs/>
          <w:sz w:val="28"/>
          <w:szCs w:val="28"/>
          <w:lang w:val="es-ES"/>
        </w:rPr>
        <w:t>3. Necesidad de capital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Coste operativo del fundador: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1.700 – 1.900 € / mes (coste empresa)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Horizonte operativo: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9 – 12 meses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Capital requerido: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Coste fundador: 15.300 – 22.800 €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Costes mínimos del proyecto: 1.500 – 2.000 €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Total operativo: 15.000 – 30.000 €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b/>
          <w:b/>
          <w:bCs/>
          <w:sz w:val="28"/>
          <w:szCs w:val="28"/>
          <w:lang w:val="es-ES"/>
        </w:rPr>
      </w:pPr>
      <w:r>
        <w:rPr>
          <w:rFonts w:ascii="Liberation Serif" w:hAnsi="Liberation Serif"/>
          <w:b/>
          <w:bCs/>
          <w:sz w:val="28"/>
          <w:szCs w:val="28"/>
          <w:lang w:val="es-ES"/>
        </w:rPr>
        <w:t>4. Uso de los fondos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Retribución operativa del fundador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Desarrollo continuo del MVP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Infraestructura y herramientas básicas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Preparación de procesos de financiación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b/>
          <w:b/>
          <w:bCs/>
          <w:sz w:val="28"/>
          <w:szCs w:val="28"/>
          <w:lang w:val="es-ES"/>
        </w:rPr>
      </w:pPr>
      <w:r>
        <w:rPr>
          <w:rFonts w:ascii="Liberation Serif" w:hAnsi="Liberation Serif"/>
          <w:b/>
          <w:bCs/>
          <w:sz w:val="28"/>
          <w:szCs w:val="28"/>
          <w:lang w:val="es-ES"/>
        </w:rPr>
        <w:t>5. Estrategia de desarrollo y financiación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b/>
          <w:b/>
          <w:bCs/>
          <w:lang w:val="es-ES"/>
        </w:rPr>
      </w:pPr>
      <w:r>
        <w:rPr>
          <w:rFonts w:ascii="Liberation Serif" w:hAnsi="Liberation Serif"/>
          <w:b/>
          <w:bCs/>
          <w:lang w:val="es-ES"/>
        </w:rPr>
        <w:t>Fase 1 — Activación operativa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Inversión inicial (15k–30k)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Dedicación exclusiva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Desarrollo continuo del producto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b/>
          <w:b/>
          <w:bCs/>
          <w:lang w:val="es-ES"/>
        </w:rPr>
      </w:pPr>
      <w:r>
        <w:rPr>
          <w:rFonts w:ascii="Liberation Serif" w:hAnsi="Liberation Serif"/>
          <w:b/>
          <w:bCs/>
          <w:lang w:val="es-ES"/>
        </w:rPr>
        <w:t>Fase 2 — Validación y ampliación de capital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Mejora progresiva del MVP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Incremento de calidad de demo y materiales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Captación de nuevos inversores en tickets reducidos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Ampliaciones de capital sucesivas o alternativas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b/>
          <w:b/>
          <w:bCs/>
          <w:lang w:val="es-ES"/>
        </w:rPr>
      </w:pPr>
      <w:r>
        <w:rPr>
          <w:rFonts w:ascii="Liberation Serif" w:hAnsi="Liberation Serif"/>
          <w:b/>
          <w:bCs/>
          <w:lang w:val="es-ES"/>
        </w:rPr>
        <w:t>Fase 3 — Financiación estructurada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Acceso a financiación pública (ENISA, ICO)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Entrada de capital institucional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Ampliación de equipo técnico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b/>
          <w:b/>
          <w:bCs/>
          <w:sz w:val="28"/>
          <w:szCs w:val="28"/>
          <w:lang w:val="es-ES"/>
        </w:rPr>
      </w:pPr>
      <w:r>
        <w:rPr>
          <w:rFonts w:ascii="Liberation Serif" w:hAnsi="Liberation Serif"/>
          <w:b/>
          <w:bCs/>
          <w:sz w:val="28"/>
          <w:szCs w:val="28"/>
          <w:lang w:val="es-ES"/>
        </w:rPr>
        <w:t>6. Hitos previstos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Mes 1: Activación operativa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Mes 2–3: Desarrollo inicial del MVP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Mes 4–6: MVP funcional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Mes 6–9: Validación técnica y mejora del producto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Mes 9–12: Acceso a financiación adicional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b/>
          <w:b/>
          <w:bCs/>
          <w:sz w:val="28"/>
          <w:szCs w:val="28"/>
          <w:lang w:val="es-ES"/>
        </w:rPr>
      </w:pPr>
      <w:r>
        <w:rPr>
          <w:rFonts w:ascii="Liberation Serif" w:hAnsi="Liberation Serif"/>
          <w:b/>
          <w:bCs/>
          <w:sz w:val="28"/>
          <w:szCs w:val="28"/>
          <w:lang w:val="es-ES"/>
        </w:rPr>
        <w:t>7. Propuesta de inversión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Inversión solicitada: 15.000 – 30.000 €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Instrumento: Participación en la futura sociedad.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Naturaleza: Inversión en fase inicial destinada a activación operativa y desarrollo del producto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b/>
          <w:b/>
          <w:bCs/>
          <w:sz w:val="28"/>
          <w:szCs w:val="28"/>
          <w:lang w:val="es-ES"/>
        </w:rPr>
      </w:pPr>
      <w:r>
        <w:rPr>
          <w:rFonts w:ascii="Liberation Serif" w:hAnsi="Liberation Serif"/>
          <w:b/>
          <w:bCs/>
          <w:sz w:val="28"/>
          <w:szCs w:val="28"/>
          <w:lang w:val="es-ES"/>
        </w:rPr>
        <w:t>8. Conclusión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La inversión propuesta permite transformar un proyecto definido a nivel técnico en un proyecto operativo con capacidad de evolución.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El enfoque se basa en: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Bajo capital inicial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Desarrollo progresivo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- Incremento de valor por iteración</w:t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p>
      <w:pPr>
        <w:pStyle w:val="Normal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  <w:t>Esta estructura permite avanzar hacia fases de financiación superiores sin necesidad de una inversión inicial elevada.</w:t>
      </w:r>
    </w:p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erif" w:hAnsi="Liberation Serif"/>
          <w:lang w:val="es-ES"/>
        </w:rPr>
      </w:pPr>
      <w:r>
        <w:rPr>
          <w:rFonts w:ascii="Liberation Serif" w:hAnsi="Liberation Serif"/>
          <w:lang w:val="es-ES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eastAsia="en-US" w:bidi="ar-SA" w:val="es-ES"/>
    </w:rPr>
  </w:style>
  <w:style w:type="paragraph" w:styleId="Ttulo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Ttulo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tulo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Destacado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edepgina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eastAsia="en-US" w:bidi="ar-SA" w:val="es-ES"/>
    </w:rPr>
  </w:style>
  <w:style w:type="paragraph" w:styleId="Ttulogeneral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eastAsia="en-US" w:bidi="ar-SA"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LibreOffice/7.4.7.2$Linux_X86_64 LibreOffice_project/40$Build-2</Application>
  <AppVersion>15.0000</AppVersion>
  <Pages>4</Pages>
  <Words>374</Words>
  <Characters>2227</Characters>
  <CharactersWithSpaces>2549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2026-04-02T12:11:48Z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