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1"/>
        <w:numPr>
          <w:ilvl w:val="0"/>
          <w:numId w:val="0"/>
        </w:numPr>
        <w:bidi w:val="0"/>
        <w:spacing w:before="240" w:after="120"/>
        <w:ind w:left="0" w:hanging="0"/>
        <w:jc w:val="left"/>
        <w:rPr/>
      </w:pPr>
      <w:r>
        <w:rPr>
          <w:rStyle w:val="Strong"/>
          <w:b/>
          <w:sz w:val="40"/>
          <w:szCs w:val="40"/>
        </w:rPr>
        <w:t>Zerocog</w:t>
      </w:r>
      <w:r>
        <w:rPr>
          <w:rStyle w:val="Strong"/>
          <w:b/>
          <w:sz w:val="40"/>
          <w:szCs w:val="40"/>
        </w:rPr>
        <w:t>: Análisis de Riesgos Técnicos y Mitigaciones</w:t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1. Riesgo: Anonimización Insuficiente o Reversible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La transformación ZK-Cog puede no eliminar completamente PII o permitir reconstrucción mediante correlación de patrones.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Media</w:t>
      </w:r>
    </w:p>
    <w:p>
      <w:pPr>
        <w:pStyle w:val="Cuerpodetexto"/>
        <w:numPr>
          <w:ilvl w:val="0"/>
          <w:numId w:val="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Crítico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/>
        <w:t xml:space="preserve">Implementar </w:t>
      </w:r>
      <w:r>
        <w:rPr>
          <w:rStyle w:val="Strong"/>
        </w:rPr>
        <w:t>Private Differential Privacy</w:t>
      </w:r>
      <w:r>
        <w:rPr/>
        <w:t xml:space="preserve"> en capa semántica (ε≤1.0)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Auditoría externa</w:t>
      </w:r>
      <w:r>
        <w:rPr/>
        <w:t xml:space="preserve"> por especialistas en PETs (meses 6 y 12)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Dataset de prueba público</w:t>
      </w:r>
      <w:r>
        <w:rPr/>
        <w:t xml:space="preserve"> para validación continua</w:t>
      </w:r>
    </w:p>
    <w:p>
      <w:pPr>
        <w:pStyle w:val="Cuerpodetexto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Métricas cuantificables:</w:t>
      </w:r>
      <w:r>
        <w:rPr/>
        <w:t xml:space="preserve"> k-anonymity ≥10, l-diversity ≥3</w:t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2. Riesgo: Overhead Computacional Inaceptable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La capa ZK-Cog añade latencia excesiva (&gt;1s por evento).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Alta</w:t>
      </w:r>
    </w:p>
    <w:p>
      <w:pPr>
        <w:pStyle w:val="Cuerpodetexto"/>
        <w:numPr>
          <w:ilvl w:val="0"/>
          <w:numId w:val="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Alto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Benchmark temprano</w:t>
      </w:r>
      <w:r>
        <w:rPr/>
        <w:t xml:space="preserve"> (mes 3) con perfiling detallado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Arquitectura asíncrona</w:t>
      </w:r>
      <w:r>
        <w:rPr/>
        <w:t xml:space="preserve"> (Tokio runtime, colas prioritarias)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Cache agresivo</w:t>
      </w:r>
      <w:r>
        <w:rPr/>
        <w:t xml:space="preserve"> de contextos similares</w:t>
      </w:r>
    </w:p>
    <w:p>
      <w:pPr>
        <w:pStyle w:val="Cuerpodetexto"/>
        <w:numPr>
          <w:ilvl w:val="0"/>
          <w:numId w:val="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Modo degradado</w:t>
      </w:r>
      <w:r>
        <w:rPr/>
        <w:t xml:space="preserve"> para dispositivos limitados</w:t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3. Riesgo: Pérdida de Contexto Semántico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La anonimización destruye significado crítico para modelos IA.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Media</w:t>
      </w:r>
    </w:p>
    <w:p>
      <w:pPr>
        <w:pStyle w:val="Cuerpodetexto"/>
        <w:numPr>
          <w:ilvl w:val="0"/>
          <w:numId w:val="5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Alto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Evaluación continua</w:t>
      </w:r>
      <w:r>
        <w:rPr/>
        <w:t xml:space="preserve"> con métricas BLEU/ROUGE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Múltiples niveles de granularidad</w:t>
      </w:r>
      <w:r>
        <w:rPr/>
        <w:t xml:space="preserve"> configurables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Feedback loop</w:t>
      </w:r>
      <w:r>
        <w:rPr/>
        <w:t xml:space="preserve"> de usuario para calibrar utilidad/privacidad</w:t>
      </w:r>
    </w:p>
    <w:p>
      <w:pPr>
        <w:pStyle w:val="Cuerpodetexto"/>
        <w:numPr>
          <w:ilvl w:val="0"/>
          <w:numId w:val="6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Balance dinámico</w:t>
      </w:r>
      <w:r>
        <w:rPr/>
        <w:t xml:space="preserve"> mediante slider configurable</w:t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4. Riesgo: Vulnerabilidades de Seguridad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Ataques a componentes individuales comprometen el sistema.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Media-Alta</w:t>
      </w:r>
    </w:p>
    <w:p>
      <w:pPr>
        <w:pStyle w:val="Cuerpodetexto"/>
        <w:numPr>
          <w:ilvl w:val="0"/>
          <w:numId w:val="7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Crítico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Sandboxing por componente</w:t>
      </w:r>
      <w:r>
        <w:rPr/>
        <w:t xml:space="preserve"> (gVisor/Firecracker)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Cifrado end-to-end</w:t>
      </w:r>
      <w:r>
        <w:rPr/>
        <w:t xml:space="preserve"> (AES-256-GCM)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Verificación de integridad</w:t>
      </w:r>
      <w:r>
        <w:rPr/>
        <w:t xml:space="preserve"> (secure boot/TPM)</w:t>
      </w:r>
    </w:p>
    <w:p>
      <w:pPr>
        <w:pStyle w:val="Cuerpodetexto"/>
        <w:numPr>
          <w:ilvl w:val="0"/>
          <w:numId w:val="8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Pentesting programado</w:t>
      </w:r>
      <w:r>
        <w:rPr/>
        <w:t xml:space="preserve"> cada 6 meses</w:t>
      </w:r>
    </w:p>
    <w:p>
      <w:pPr>
        <w:pStyle w:val="Cuerpodetexto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5. Riesgo: Incompatibilidad con Modelos Específicos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Algunos modelos no pueden consumir formato UMCI efectivamente.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Baja-Media</w:t>
      </w:r>
    </w:p>
    <w:p>
      <w:pPr>
        <w:pStyle w:val="Cuerpodetexto"/>
        <w:numPr>
          <w:ilvl w:val="0"/>
          <w:numId w:val="9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Medio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Suite de compatibilidad</w:t>
      </w:r>
      <w:r>
        <w:rPr/>
        <w:t xml:space="preserve"> con 10+ modelos populares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Adaptadores específicos</w:t>
      </w:r>
      <w:r>
        <w:rPr/>
        <w:t xml:space="preserve"> para casos problemáticos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Formato alternativo JSON-LD</w:t>
      </w:r>
    </w:p>
    <w:p>
      <w:pPr>
        <w:pStyle w:val="Cuerpodetexto"/>
        <w:numPr>
          <w:ilvl w:val="0"/>
          <w:numId w:val="10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Documentación clara</w:t>
      </w:r>
      <w:r>
        <w:rPr/>
        <w:t xml:space="preserve"> de requerimientos</w:t>
      </w:r>
    </w:p>
    <w:p>
      <w:pPr>
        <w:pStyle w:val="Cuerpodetexto"/>
        <w:numPr>
          <w:ilvl w:val="0"/>
          <w:numId w:val="0"/>
        </w:numPr>
        <w:bidi w:val="0"/>
        <w:ind w:left="0" w:hanging="0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6. Riesgo: Fragilidad del UMCI Listener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Monitor de archivos pierde eventos o causa alto consumo.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Alta</w:t>
      </w:r>
    </w:p>
    <w:p>
      <w:pPr>
        <w:pStyle w:val="Cuerpodetexto"/>
        <w:numPr>
          <w:ilvl w:val="0"/>
          <w:numId w:val="11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Medio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Múltiples backends</w:t>
      </w:r>
      <w:r>
        <w:rPr/>
        <w:t xml:space="preserve"> + fallback polling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Límites de rate-limiting</w:t>
      </w:r>
      <w:r>
        <w:rPr/>
        <w:t xml:space="preserve"> configurables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Modo "batch processing"</w:t>
      </w:r>
      <w:r>
        <w:rPr/>
        <w:t xml:space="preserve"> para sistemas activos</w:t>
      </w:r>
    </w:p>
    <w:p>
      <w:pPr>
        <w:pStyle w:val="Cuerpodetexto"/>
        <w:numPr>
          <w:ilvl w:val="0"/>
          <w:numId w:val="12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Health checks automáticos</w:t>
      </w:r>
    </w:p>
    <w:p>
      <w:pPr>
        <w:pStyle w:val="Cuerpodetexto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7. Riesgo: Complejidad de Despliegue Empresarial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Descripción:</w:t>
      </w:r>
      <w:r>
        <w:rPr/>
        <w:t xml:space="preserve"> Dificultad de integración en entornos existentes.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Probabilidad:</w:t>
      </w:r>
      <w:r>
        <w:rPr/>
        <w:t xml:space="preserve"> Media</w:t>
      </w:r>
    </w:p>
    <w:p>
      <w:pPr>
        <w:pStyle w:val="Cuerpodetexto"/>
        <w:numPr>
          <w:ilvl w:val="0"/>
          <w:numId w:val="13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Impacto:</w:t>
      </w:r>
      <w:r>
        <w:rPr/>
        <w:t xml:space="preserve"> Medio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Mitigaciones: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Containers Docker</w:t>
      </w:r>
      <w:r>
        <w:rPr/>
        <w:t xml:space="preserve"> pre-configurados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Helm charts</w:t>
      </w:r>
      <w:r>
        <w:rPr/>
        <w:t xml:space="preserve"> para Kubernetes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Guías de despliegue</w:t>
      </w:r>
      <w:r>
        <w:rPr/>
        <w:t xml:space="preserve"> para entornos comunes</w:t>
      </w:r>
    </w:p>
    <w:p>
      <w:pPr>
        <w:pStyle w:val="Cuerpodetexto"/>
        <w:numPr>
          <w:ilvl w:val="0"/>
          <w:numId w:val="14"/>
        </w:numPr>
        <w:tabs>
          <w:tab w:val="left" w:pos="709" w:leader="none"/>
        </w:tabs>
        <w:bidi w:val="0"/>
        <w:ind w:left="709" w:hanging="283"/>
        <w:jc w:val="left"/>
        <w:rPr/>
      </w:pPr>
      <w:r>
        <w:rPr>
          <w:rStyle w:val="Strong"/>
        </w:rPr>
        <w:t>Modo "enterprise"</w:t>
      </w:r>
      <w:r>
        <w:rPr/>
        <w:t xml:space="preserve"> con SSO y logging centralizado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Lne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tulo2"/>
        <w:numPr>
          <w:ilvl w:val="0"/>
          <w:numId w:val="0"/>
        </w:numPr>
        <w:bidi w:val="0"/>
        <w:spacing w:before="200" w:after="120"/>
        <w:ind w:left="0" w:hanging="0"/>
        <w:jc w:val="left"/>
        <w:rPr/>
      </w:pPr>
      <w:r>
        <w:rPr>
          <w:rStyle w:val="Strong"/>
          <w:b/>
        </w:rPr>
        <w:t>Plan de Monitorización de Riesgos</w:t>
      </w:r>
    </w:p>
    <w:p>
      <w:pPr>
        <w:pStyle w:val="Cuerpodetexto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tbl>
      <w:tblPr>
        <w:tblW w:w="752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27"/>
        <w:gridCol w:w="1920"/>
        <w:gridCol w:w="3277"/>
      </w:tblGrid>
      <w:tr>
        <w:trPr>
          <w:tblHeader w:val="true"/>
        </w:trPr>
        <w:tc>
          <w:tcPr>
            <w:tcW w:w="2327" w:type="dxa"/>
            <w:tcBorders/>
            <w:vAlign w:val="center"/>
          </w:tcPr>
          <w:p>
            <w:pPr>
              <w:pStyle w:val="Ttulodelatabla"/>
              <w:widowControl w:val="false"/>
              <w:suppressLineNumbers/>
              <w:bidi w:val="0"/>
              <w:jc w:val="center"/>
              <w:rPr/>
            </w:pPr>
            <w:r>
              <w:rPr/>
              <w:t>Métrica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Ttulodelatabla"/>
              <w:widowControl w:val="false"/>
              <w:suppressLineNumbers/>
              <w:bidi w:val="0"/>
              <w:jc w:val="center"/>
              <w:rPr/>
            </w:pPr>
            <w:r>
              <w:rPr/>
              <w:t>Umbral de Alerta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Ttulodelatabla"/>
              <w:widowControl w:val="false"/>
              <w:suppressLineNumbers/>
              <w:bidi w:val="0"/>
              <w:jc w:val="center"/>
              <w:rPr/>
            </w:pPr>
            <w:r>
              <w:rPr/>
              <w:t>Acción Correctiva</w:t>
            </w:r>
          </w:p>
        </w:tc>
      </w:tr>
      <w:tr>
        <w:trPr/>
        <w:tc>
          <w:tcPr>
            <w:tcW w:w="23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Tasa de PII post-ZK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&gt;0.1%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Revisar reglas de anonimización</w:t>
            </w:r>
          </w:p>
        </w:tc>
      </w:tr>
      <w:tr>
        <w:trPr/>
        <w:tc>
          <w:tcPr>
            <w:tcW w:w="23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Latencia p95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&gt;800ms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Optimizar pipeline crítico</w:t>
            </w:r>
          </w:p>
        </w:tc>
      </w:tr>
      <w:tr>
        <w:trPr/>
        <w:tc>
          <w:tcPr>
            <w:tcW w:w="23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Memoria utilizada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&gt;80% disponible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Activar modo degradado</w:t>
            </w:r>
          </w:p>
        </w:tc>
      </w:tr>
      <w:tr>
        <w:trPr/>
        <w:tc>
          <w:tcPr>
            <w:tcW w:w="23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CPU sostenida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&gt;70% por 5min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Escalar horizontalmente</w:t>
            </w:r>
          </w:p>
        </w:tc>
      </w:tr>
      <w:tr>
        <w:trPr/>
        <w:tc>
          <w:tcPr>
            <w:tcW w:w="232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Errores compatibilidad</w:t>
            </w:r>
          </w:p>
        </w:tc>
        <w:tc>
          <w:tcPr>
            <w:tcW w:w="19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&gt;5% requests</w:t>
            </w:r>
          </w:p>
        </w:tc>
        <w:tc>
          <w:tcPr>
            <w:tcW w:w="32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Actualizar adaptadores</w:t>
            </w:r>
          </w:p>
        </w:tc>
      </w:tr>
    </w:tbl>
    <w:p>
      <w:pPr>
        <w:pStyle w:val="Cuerpodetexto"/>
        <w:bidi w:val="0"/>
        <w:spacing w:lineRule="auto" w:line="276" w:before="0" w:after="140"/>
        <w:jc w:val="left"/>
        <w:rPr>
          <w:rStyle w:val="Strong"/>
        </w:rPr>
      </w:pPr>
      <w:r>
        <w:rPr/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>
          <w:rStyle w:val="Strong"/>
        </w:rPr>
        <w:t>Revisión trimestral</w:t>
      </w:r>
      <w:r>
        <w:rPr/>
        <w:t xml:space="preserve"> de riesgos con ajuste basado en datos reales.</w:t>
      </w:r>
    </w:p>
    <w:p>
      <w:pPr>
        <w:pStyle w:val="Cuerpodetexto"/>
        <w:bidi w:val="0"/>
        <w:spacing w:lineRule="auto" w:line="276" w:before="0" w:after="14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Destacado">
    <w:name w:val="Emphasis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LibreOffice/7.4.7.2$Linux_X86_64 LibreOffice_project/40$Build-2</Application>
  <AppVersion>15.0000</AppVersion>
  <Pages>3</Pages>
  <Words>399</Words>
  <Characters>2638</Characters>
  <CharactersWithSpaces>2911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2026-02-08T18:31:44Z</dcterms:created>
  <dc:creator/>
  <dc:description/>
  <dc:language>es-ES</dc:language>
  <cp:lastModifiedBy/>
  <dcterms:modified xsi:type="dcterms:W3CDTF">2026-04-01T21:35:17Z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