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tulo1"/>
        <w:numPr>
          <w:ilvl w:val="0"/>
          <w:numId w:val="0"/>
        </w:numPr>
        <w:bidi w:val="0"/>
        <w:spacing w:before="240" w:after="120"/>
        <w:jc w:val="left"/>
        <w:rPr/>
      </w:pPr>
      <w:r>
        <w:rPr>
          <w:rStyle w:val="Destaquemayor"/>
          <w:b/>
          <w:sz w:val="40"/>
          <w:szCs w:val="40"/>
        </w:rPr>
        <w:t>Simbiotyc: Análisis de Riesgos Técnicos y Mitigaciones</w:t>
      </w:r>
    </w:p>
    <w:p>
      <w:pPr>
        <w:pStyle w:val="Ttulo2"/>
        <w:numPr>
          <w:ilvl w:val="0"/>
          <w:numId w:val="0"/>
        </w:numPr>
        <w:bidi w:val="0"/>
        <w:spacing w:before="200" w:after="120"/>
        <w:jc w:val="left"/>
        <w:rPr/>
      </w:pPr>
      <w:r>
        <w:rPr>
          <w:rStyle w:val="Destaquemayor"/>
          <w:b/>
        </w:rPr>
        <w:t>1. Riesgo: Anonimización Insuficiente o Reversible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>
          <w:rStyle w:val="Destaquemayor"/>
        </w:rPr>
        <w:t>Descripción:</w:t>
      </w:r>
      <w:r>
        <w:rPr/>
        <w:t xml:space="preserve"> La transformación ZK-Cog puede no eliminar completamente PII o permitir reconstrucción mediante correlación de patrones.</w:t>
      </w:r>
    </w:p>
    <w:p>
      <w:pPr>
        <w:pStyle w:val="Cuerpodetexto"/>
        <w:numPr>
          <w:ilvl w:val="0"/>
          <w:numId w:val="2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>
          <w:rStyle w:val="Destaquemayor"/>
        </w:rPr>
        <w:t>Probabilidad:</w:t>
      </w:r>
      <w:r>
        <w:rPr/>
        <w:t xml:space="preserve"> Media</w:t>
      </w:r>
    </w:p>
    <w:p>
      <w:pPr>
        <w:pStyle w:val="Cuerpodetexto"/>
        <w:numPr>
          <w:ilvl w:val="0"/>
          <w:numId w:val="2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>
          <w:rStyle w:val="Destaquemayor"/>
        </w:rPr>
        <w:t>Impacto:</w:t>
      </w:r>
      <w:r>
        <w:rPr/>
        <w:t xml:space="preserve"> Crítico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>
          <w:rStyle w:val="Destaquemayor"/>
        </w:rPr>
        <w:t>Mitigaciones:</w:t>
      </w:r>
    </w:p>
    <w:p>
      <w:pPr>
        <w:pStyle w:val="Cuerpodetexto"/>
        <w:numPr>
          <w:ilvl w:val="0"/>
          <w:numId w:val="3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Implementar </w:t>
      </w:r>
      <w:r>
        <w:rPr>
          <w:rStyle w:val="Destaquemayor"/>
        </w:rPr>
        <w:t>Private Differential Privacy</w:t>
      </w:r>
      <w:r>
        <w:rPr/>
        <w:t xml:space="preserve"> en capa semántica (ε≤1.0)</w:t>
      </w:r>
    </w:p>
    <w:p>
      <w:pPr>
        <w:pStyle w:val="Cuerpodetexto"/>
        <w:numPr>
          <w:ilvl w:val="0"/>
          <w:numId w:val="3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>
          <w:rStyle w:val="Destaquemayor"/>
        </w:rPr>
        <w:t>Auditoría externa</w:t>
      </w:r>
      <w:r>
        <w:rPr/>
        <w:t xml:space="preserve"> por especialistas en PETs (meses 6 y 12)</w:t>
      </w:r>
    </w:p>
    <w:p>
      <w:pPr>
        <w:pStyle w:val="Cuerpodetexto"/>
        <w:numPr>
          <w:ilvl w:val="0"/>
          <w:numId w:val="3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>
          <w:rStyle w:val="Destaquemayor"/>
        </w:rPr>
        <w:t>Dataset de prueba público</w:t>
      </w:r>
      <w:r>
        <w:rPr/>
        <w:t xml:space="preserve"> para validación continua</w:t>
      </w:r>
    </w:p>
    <w:p>
      <w:pPr>
        <w:pStyle w:val="Cuerpodetexto"/>
        <w:numPr>
          <w:ilvl w:val="0"/>
          <w:numId w:val="3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>
          <w:rStyle w:val="Destaquemayor"/>
        </w:rPr>
        <w:t>Métricas cuantificables:</w:t>
      </w:r>
      <w:r>
        <w:rPr/>
        <w:t xml:space="preserve"> k-anonymity ≥10, l-diversity ≥3</w:t>
      </w:r>
    </w:p>
    <w:p>
      <w:pPr>
        <w:pStyle w:val="Ttulo2"/>
        <w:numPr>
          <w:ilvl w:val="0"/>
          <w:numId w:val="0"/>
        </w:numPr>
        <w:bidi w:val="0"/>
        <w:spacing w:before="200" w:after="120"/>
        <w:jc w:val="left"/>
        <w:rPr/>
      </w:pPr>
      <w:r>
        <w:rPr>
          <w:rStyle w:val="Destaquemayor"/>
          <w:b/>
        </w:rPr>
        <w:t>2. Riesgo: Overhead Computacional Inaceptable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>
          <w:rStyle w:val="Destaquemayor"/>
        </w:rPr>
        <w:t>Descripción:</w:t>
      </w:r>
      <w:r>
        <w:rPr/>
        <w:t xml:space="preserve"> La capa ZK-Cog añade latencia excesiva (&gt;1s por evento).</w:t>
      </w:r>
    </w:p>
    <w:p>
      <w:pPr>
        <w:pStyle w:val="Cuerpodetexto"/>
        <w:numPr>
          <w:ilvl w:val="0"/>
          <w:numId w:val="4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>
          <w:rStyle w:val="Destaquemayor"/>
        </w:rPr>
        <w:t>Probabilidad:</w:t>
      </w:r>
      <w:r>
        <w:rPr/>
        <w:t xml:space="preserve"> Alta</w:t>
      </w:r>
    </w:p>
    <w:p>
      <w:pPr>
        <w:pStyle w:val="Cuerpodetexto"/>
        <w:numPr>
          <w:ilvl w:val="0"/>
          <w:numId w:val="4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>
          <w:rStyle w:val="Destaquemayor"/>
        </w:rPr>
        <w:t>Impacto:</w:t>
      </w:r>
      <w:r>
        <w:rPr/>
        <w:t xml:space="preserve"> Alto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>
          <w:rStyle w:val="Destaquemayor"/>
        </w:rPr>
        <w:t>Mitigaciones:</w:t>
      </w:r>
    </w:p>
    <w:p>
      <w:pPr>
        <w:pStyle w:val="Cuerpodetexto"/>
        <w:numPr>
          <w:ilvl w:val="0"/>
          <w:numId w:val="5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>
          <w:rStyle w:val="Destaquemayor"/>
        </w:rPr>
        <w:t>Benchmark temprano</w:t>
      </w:r>
      <w:r>
        <w:rPr/>
        <w:t xml:space="preserve"> (mes 3) con perfiling detallado</w:t>
      </w:r>
    </w:p>
    <w:p>
      <w:pPr>
        <w:pStyle w:val="Cuerpodetexto"/>
        <w:numPr>
          <w:ilvl w:val="0"/>
          <w:numId w:val="5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>
          <w:rStyle w:val="Destaquemayor"/>
        </w:rPr>
        <w:t>Arquitectura asíncrona</w:t>
      </w:r>
      <w:r>
        <w:rPr/>
        <w:t xml:space="preserve"> (Tokio runtime, colas prioritarias)</w:t>
      </w:r>
    </w:p>
    <w:p>
      <w:pPr>
        <w:pStyle w:val="Cuerpodetexto"/>
        <w:numPr>
          <w:ilvl w:val="0"/>
          <w:numId w:val="5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>
          <w:rStyle w:val="Destaquemayor"/>
        </w:rPr>
        <w:t>Cache agresivo</w:t>
      </w:r>
      <w:r>
        <w:rPr/>
        <w:t xml:space="preserve"> de contextos similares</w:t>
      </w:r>
    </w:p>
    <w:p>
      <w:pPr>
        <w:pStyle w:val="Cuerpodetexto"/>
        <w:numPr>
          <w:ilvl w:val="0"/>
          <w:numId w:val="5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>
          <w:rStyle w:val="Destaquemayor"/>
        </w:rPr>
        <w:t>Modo degradado</w:t>
      </w:r>
      <w:r>
        <w:rPr/>
        <w:t xml:space="preserve"> para dispositivos limitados</w:t>
      </w:r>
    </w:p>
    <w:p>
      <w:pPr>
        <w:pStyle w:val="Ttulo2"/>
        <w:numPr>
          <w:ilvl w:val="0"/>
          <w:numId w:val="0"/>
        </w:numPr>
        <w:bidi w:val="0"/>
        <w:spacing w:before="200" w:after="120"/>
        <w:jc w:val="left"/>
        <w:rPr/>
      </w:pPr>
      <w:r>
        <w:rPr>
          <w:rStyle w:val="Destaquemayor"/>
          <w:b/>
        </w:rPr>
        <w:t>3. Riesgo: Pérdida de Contexto Semántico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>
          <w:rStyle w:val="Destaquemayor"/>
        </w:rPr>
        <w:t>Descripción:</w:t>
      </w:r>
      <w:r>
        <w:rPr/>
        <w:t xml:space="preserve"> La anonimización destruye significado crítico para modelos IA.</w:t>
      </w:r>
    </w:p>
    <w:p>
      <w:pPr>
        <w:pStyle w:val="Cuerpodetexto"/>
        <w:numPr>
          <w:ilvl w:val="0"/>
          <w:numId w:val="6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>
          <w:rStyle w:val="Destaquemayor"/>
        </w:rPr>
        <w:t>Probabilidad:</w:t>
      </w:r>
      <w:r>
        <w:rPr/>
        <w:t xml:space="preserve"> Media</w:t>
      </w:r>
    </w:p>
    <w:p>
      <w:pPr>
        <w:pStyle w:val="Cuerpodetexto"/>
        <w:numPr>
          <w:ilvl w:val="0"/>
          <w:numId w:val="6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>
          <w:rStyle w:val="Destaquemayor"/>
        </w:rPr>
        <w:t>Impacto:</w:t>
      </w:r>
      <w:r>
        <w:rPr/>
        <w:t xml:space="preserve"> Alto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>
          <w:rStyle w:val="Destaquemayor"/>
        </w:rPr>
        <w:t>Mitigaciones:</w:t>
      </w:r>
    </w:p>
    <w:p>
      <w:pPr>
        <w:pStyle w:val="Cuerpodetexto"/>
        <w:numPr>
          <w:ilvl w:val="0"/>
          <w:numId w:val="7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>
          <w:rStyle w:val="Destaquemayor"/>
        </w:rPr>
        <w:t>Evaluación continua</w:t>
      </w:r>
      <w:r>
        <w:rPr/>
        <w:t xml:space="preserve"> con métricas BLEU/ROUGE</w:t>
      </w:r>
    </w:p>
    <w:p>
      <w:pPr>
        <w:pStyle w:val="Cuerpodetexto"/>
        <w:numPr>
          <w:ilvl w:val="0"/>
          <w:numId w:val="7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>
          <w:rStyle w:val="Destaquemayor"/>
        </w:rPr>
        <w:t>Múltiples niveles de granularidad</w:t>
      </w:r>
      <w:r>
        <w:rPr/>
        <w:t xml:space="preserve"> configurables</w:t>
      </w:r>
    </w:p>
    <w:p>
      <w:pPr>
        <w:pStyle w:val="Cuerpodetexto"/>
        <w:numPr>
          <w:ilvl w:val="0"/>
          <w:numId w:val="7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>
          <w:rStyle w:val="Destaquemayor"/>
        </w:rPr>
        <w:t>Feedback loop</w:t>
      </w:r>
      <w:r>
        <w:rPr/>
        <w:t xml:space="preserve"> de usuario para calibrar utilidad/privacidad</w:t>
      </w:r>
    </w:p>
    <w:p>
      <w:pPr>
        <w:pStyle w:val="Cuerpodetexto"/>
        <w:numPr>
          <w:ilvl w:val="0"/>
          <w:numId w:val="7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>
          <w:rStyle w:val="Destaquemayor"/>
        </w:rPr>
        <w:t>Balance dinámico</w:t>
      </w:r>
      <w:r>
        <w:rPr/>
        <w:t xml:space="preserve"> mediante slider configurable</w:t>
      </w:r>
    </w:p>
    <w:p>
      <w:pPr>
        <w:pStyle w:val="Ttulo2"/>
        <w:numPr>
          <w:ilvl w:val="0"/>
          <w:numId w:val="0"/>
        </w:numPr>
        <w:bidi w:val="0"/>
        <w:spacing w:before="200" w:after="120"/>
        <w:jc w:val="left"/>
        <w:rPr/>
      </w:pPr>
      <w:r>
        <w:rPr>
          <w:rStyle w:val="Destaquemayor"/>
          <w:b/>
        </w:rPr>
        <w:t>4. Riesgo: Vulnerabilidades de Seguridad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>
          <w:rStyle w:val="Destaquemayor"/>
        </w:rPr>
        <w:t>Descripción:</w:t>
      </w:r>
      <w:r>
        <w:rPr/>
        <w:t xml:space="preserve"> Ataques a componentes individuales comprometen el sistema.</w:t>
      </w:r>
    </w:p>
    <w:p>
      <w:pPr>
        <w:pStyle w:val="Cuerpodetexto"/>
        <w:numPr>
          <w:ilvl w:val="0"/>
          <w:numId w:val="8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>
          <w:rStyle w:val="Destaquemayor"/>
        </w:rPr>
        <w:t>Probabilidad:</w:t>
      </w:r>
      <w:r>
        <w:rPr/>
        <w:t xml:space="preserve"> Media-Alta</w:t>
      </w:r>
    </w:p>
    <w:p>
      <w:pPr>
        <w:pStyle w:val="Cuerpodetexto"/>
        <w:numPr>
          <w:ilvl w:val="0"/>
          <w:numId w:val="8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>
          <w:rStyle w:val="Destaquemayor"/>
        </w:rPr>
        <w:t>Impacto:</w:t>
      </w:r>
      <w:r>
        <w:rPr/>
        <w:t xml:space="preserve"> Crítico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>
          <w:rStyle w:val="Destaquemayor"/>
        </w:rPr>
        <w:t>Mitigaciones:</w:t>
      </w:r>
    </w:p>
    <w:p>
      <w:pPr>
        <w:pStyle w:val="Cuerpodetexto"/>
        <w:numPr>
          <w:ilvl w:val="0"/>
          <w:numId w:val="9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>
          <w:rStyle w:val="Destaquemayor"/>
        </w:rPr>
        <w:t>Sandboxing por componente</w:t>
      </w:r>
      <w:r>
        <w:rPr/>
        <w:t xml:space="preserve"> (gVisor/Firecracker)</w:t>
      </w:r>
    </w:p>
    <w:p>
      <w:pPr>
        <w:pStyle w:val="Cuerpodetexto"/>
        <w:numPr>
          <w:ilvl w:val="0"/>
          <w:numId w:val="9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>
          <w:rStyle w:val="Destaquemayor"/>
        </w:rPr>
        <w:t>Cifrado end-to-end</w:t>
      </w:r>
      <w:r>
        <w:rPr/>
        <w:t xml:space="preserve"> (AES-256-GCM)</w:t>
      </w:r>
    </w:p>
    <w:p>
      <w:pPr>
        <w:pStyle w:val="Cuerpodetexto"/>
        <w:numPr>
          <w:ilvl w:val="0"/>
          <w:numId w:val="9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>
          <w:rStyle w:val="Destaquemayor"/>
        </w:rPr>
        <w:t>Verificación de integridad</w:t>
      </w:r>
      <w:r>
        <w:rPr/>
        <w:t xml:space="preserve"> (secure boot/TPM)</w:t>
      </w:r>
    </w:p>
    <w:p>
      <w:pPr>
        <w:pStyle w:val="Cuerpodetexto"/>
        <w:numPr>
          <w:ilvl w:val="0"/>
          <w:numId w:val="9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>
          <w:rStyle w:val="Destaquemayor"/>
        </w:rPr>
        <w:t>Pentesting programado</w:t>
      </w:r>
      <w:r>
        <w:rPr/>
        <w:t xml:space="preserve"> cada 6 meses</w:t>
      </w:r>
    </w:p>
    <w:p>
      <w:pPr>
        <w:pStyle w:val="Cuerpodetexto"/>
        <w:numPr>
          <w:ilvl w:val="0"/>
          <w:numId w:val="0"/>
        </w:numPr>
        <w:bidi w:val="0"/>
        <w:ind w:hanging="0"/>
        <w:jc w:val="left"/>
        <w:rPr/>
      </w:pPr>
      <w:r>
        <w:rPr/>
      </w:r>
    </w:p>
    <w:p>
      <w:pPr>
        <w:pStyle w:val="Ttulo2"/>
        <w:numPr>
          <w:ilvl w:val="0"/>
          <w:numId w:val="0"/>
        </w:numPr>
        <w:bidi w:val="0"/>
        <w:spacing w:before="200" w:after="120"/>
        <w:jc w:val="left"/>
        <w:rPr/>
      </w:pPr>
      <w:r>
        <w:rPr>
          <w:rStyle w:val="Destaquemayor"/>
          <w:b/>
        </w:rPr>
        <w:t>5. Riesgo: Incompatibilidad con Modelos Específicos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>
          <w:rStyle w:val="Destaquemayor"/>
        </w:rPr>
        <w:t>Descripción:</w:t>
      </w:r>
      <w:r>
        <w:rPr/>
        <w:t xml:space="preserve"> Algunos modelos no pueden consumir formato UMCI efectivamente.</w:t>
      </w:r>
    </w:p>
    <w:p>
      <w:pPr>
        <w:pStyle w:val="Cuerpodetexto"/>
        <w:numPr>
          <w:ilvl w:val="0"/>
          <w:numId w:val="10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>
          <w:rStyle w:val="Destaquemayor"/>
        </w:rPr>
        <w:t>Probabilidad:</w:t>
      </w:r>
      <w:r>
        <w:rPr/>
        <w:t xml:space="preserve"> Baja-Media</w:t>
      </w:r>
    </w:p>
    <w:p>
      <w:pPr>
        <w:pStyle w:val="Cuerpodetexto"/>
        <w:numPr>
          <w:ilvl w:val="0"/>
          <w:numId w:val="10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>
          <w:rStyle w:val="Destaquemayor"/>
        </w:rPr>
        <w:t>Impacto:</w:t>
      </w:r>
      <w:r>
        <w:rPr/>
        <w:t xml:space="preserve"> Medio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>
          <w:rStyle w:val="Destaquemayor"/>
        </w:rPr>
        <w:t>Mitigaciones:</w:t>
      </w:r>
    </w:p>
    <w:p>
      <w:pPr>
        <w:pStyle w:val="Cuerpodetexto"/>
        <w:numPr>
          <w:ilvl w:val="0"/>
          <w:numId w:val="11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>
          <w:rStyle w:val="Destaquemayor"/>
        </w:rPr>
        <w:t>Suite de compatibilidad</w:t>
      </w:r>
      <w:r>
        <w:rPr/>
        <w:t xml:space="preserve"> con 10+ modelos populares</w:t>
      </w:r>
    </w:p>
    <w:p>
      <w:pPr>
        <w:pStyle w:val="Cuerpodetexto"/>
        <w:numPr>
          <w:ilvl w:val="0"/>
          <w:numId w:val="11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>
          <w:rStyle w:val="Destaquemayor"/>
        </w:rPr>
        <w:t>Adaptadores específicos</w:t>
      </w:r>
      <w:r>
        <w:rPr/>
        <w:t xml:space="preserve"> para casos problemáticos</w:t>
      </w:r>
    </w:p>
    <w:p>
      <w:pPr>
        <w:pStyle w:val="Cuerpodetexto"/>
        <w:numPr>
          <w:ilvl w:val="0"/>
          <w:numId w:val="11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>
          <w:rStyle w:val="Destaquemayor"/>
        </w:rPr>
        <w:t>Formato alternativo JSON-LD</w:t>
      </w:r>
    </w:p>
    <w:p>
      <w:pPr>
        <w:pStyle w:val="Cuerpodetexto"/>
        <w:numPr>
          <w:ilvl w:val="0"/>
          <w:numId w:val="11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>
          <w:rStyle w:val="Destaquemayor"/>
        </w:rPr>
        <w:t>Documentación clara</w:t>
      </w:r>
      <w:r>
        <w:rPr/>
        <w:t xml:space="preserve"> de requerimientos</w:t>
      </w:r>
    </w:p>
    <w:p>
      <w:pPr>
        <w:pStyle w:val="Cuerpodetexto"/>
        <w:numPr>
          <w:ilvl w:val="0"/>
          <w:numId w:val="0"/>
        </w:numPr>
        <w:bidi w:val="0"/>
        <w:ind w:hanging="0"/>
        <w:jc w:val="left"/>
        <w:rPr/>
      </w:pPr>
      <w:r>
        <w:rPr/>
      </w:r>
    </w:p>
    <w:p>
      <w:pPr>
        <w:pStyle w:val="Ttulo2"/>
        <w:numPr>
          <w:ilvl w:val="0"/>
          <w:numId w:val="0"/>
        </w:numPr>
        <w:bidi w:val="0"/>
        <w:spacing w:before="200" w:after="120"/>
        <w:jc w:val="left"/>
        <w:rPr/>
      </w:pPr>
      <w:r>
        <w:rPr>
          <w:rStyle w:val="Destaquemayor"/>
          <w:b/>
        </w:rPr>
        <w:t>6. Riesgo: Fragilidad del UMCI Listener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>
          <w:rStyle w:val="Destaquemayor"/>
        </w:rPr>
        <w:t>Descripción:</w:t>
      </w:r>
      <w:r>
        <w:rPr/>
        <w:t xml:space="preserve"> Monitor de archivos pierde eventos o causa alto consumo.</w:t>
      </w:r>
    </w:p>
    <w:p>
      <w:pPr>
        <w:pStyle w:val="Cuerpodetexto"/>
        <w:numPr>
          <w:ilvl w:val="0"/>
          <w:numId w:val="12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>
          <w:rStyle w:val="Destaquemayor"/>
        </w:rPr>
        <w:t>Probabilidad:</w:t>
      </w:r>
      <w:r>
        <w:rPr/>
        <w:t xml:space="preserve"> Alta</w:t>
      </w:r>
    </w:p>
    <w:p>
      <w:pPr>
        <w:pStyle w:val="Cuerpodetexto"/>
        <w:numPr>
          <w:ilvl w:val="0"/>
          <w:numId w:val="12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>
          <w:rStyle w:val="Destaquemayor"/>
        </w:rPr>
        <w:t>Impacto:</w:t>
      </w:r>
      <w:r>
        <w:rPr/>
        <w:t xml:space="preserve"> Medio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>
          <w:rStyle w:val="Destaquemayor"/>
        </w:rPr>
        <w:t>Mitigaciones:</w:t>
      </w:r>
    </w:p>
    <w:p>
      <w:pPr>
        <w:pStyle w:val="Cuerpodetexto"/>
        <w:numPr>
          <w:ilvl w:val="0"/>
          <w:numId w:val="13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>
          <w:rStyle w:val="Destaquemayor"/>
        </w:rPr>
        <w:t>Múltiples backends</w:t>
      </w:r>
      <w:r>
        <w:rPr/>
        <w:t xml:space="preserve"> + fallback polling</w:t>
      </w:r>
    </w:p>
    <w:p>
      <w:pPr>
        <w:pStyle w:val="Cuerpodetexto"/>
        <w:numPr>
          <w:ilvl w:val="0"/>
          <w:numId w:val="13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>
          <w:rStyle w:val="Destaquemayor"/>
        </w:rPr>
        <w:t>Límites de rate-limiting</w:t>
      </w:r>
      <w:r>
        <w:rPr/>
        <w:t xml:space="preserve"> configurables</w:t>
      </w:r>
    </w:p>
    <w:p>
      <w:pPr>
        <w:pStyle w:val="Cuerpodetexto"/>
        <w:numPr>
          <w:ilvl w:val="0"/>
          <w:numId w:val="13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>
          <w:rStyle w:val="Destaquemayor"/>
        </w:rPr>
        <w:t>Modo "batch processing"</w:t>
      </w:r>
      <w:r>
        <w:rPr/>
        <w:t xml:space="preserve"> para sistemas activos</w:t>
      </w:r>
    </w:p>
    <w:p>
      <w:pPr>
        <w:pStyle w:val="Cuerpodetexto"/>
        <w:numPr>
          <w:ilvl w:val="0"/>
          <w:numId w:val="13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>
          <w:rStyle w:val="Destaquemayor"/>
        </w:rPr>
        <w:t>Health checks automáticos</w:t>
      </w:r>
    </w:p>
    <w:p>
      <w:pPr>
        <w:pStyle w:val="Cuerpodetexto"/>
        <w:bidi w:val="0"/>
        <w:spacing w:lineRule="auto" w:line="276" w:before="0" w:after="140"/>
        <w:jc w:val="left"/>
        <w:rPr>
          <w:rStyle w:val="Destaquemayor"/>
        </w:rPr>
      </w:pPr>
      <w:r>
        <w:rPr/>
      </w:r>
    </w:p>
    <w:p>
      <w:pPr>
        <w:pStyle w:val="Ttulo2"/>
        <w:numPr>
          <w:ilvl w:val="0"/>
          <w:numId w:val="0"/>
        </w:numPr>
        <w:bidi w:val="0"/>
        <w:spacing w:before="200" w:after="120"/>
        <w:jc w:val="left"/>
        <w:rPr/>
      </w:pPr>
      <w:r>
        <w:rPr>
          <w:rStyle w:val="Destaquemayor"/>
          <w:b/>
        </w:rPr>
        <w:t>7. Riesgo: Complejidad de Despliegue Empresarial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>
          <w:rStyle w:val="Destaquemayor"/>
        </w:rPr>
        <w:t>Descripción:</w:t>
      </w:r>
      <w:r>
        <w:rPr/>
        <w:t xml:space="preserve"> Dificultad de integración en entornos existentes.</w:t>
      </w:r>
    </w:p>
    <w:p>
      <w:pPr>
        <w:pStyle w:val="Cuerpodetexto"/>
        <w:numPr>
          <w:ilvl w:val="0"/>
          <w:numId w:val="14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>
          <w:rStyle w:val="Destaquemayor"/>
        </w:rPr>
        <w:t>Probabilidad:</w:t>
      </w:r>
      <w:r>
        <w:rPr/>
        <w:t xml:space="preserve"> Media</w:t>
      </w:r>
    </w:p>
    <w:p>
      <w:pPr>
        <w:pStyle w:val="Cuerpodetexto"/>
        <w:numPr>
          <w:ilvl w:val="0"/>
          <w:numId w:val="14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>
          <w:rStyle w:val="Destaquemayor"/>
        </w:rPr>
        <w:t>Impacto:</w:t>
      </w:r>
      <w:r>
        <w:rPr/>
        <w:t xml:space="preserve"> Medio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>
          <w:rStyle w:val="Destaquemayor"/>
        </w:rPr>
        <w:t>Mitigaciones:</w:t>
      </w:r>
    </w:p>
    <w:p>
      <w:pPr>
        <w:pStyle w:val="Cuerpodetexto"/>
        <w:numPr>
          <w:ilvl w:val="0"/>
          <w:numId w:val="15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>
          <w:rStyle w:val="Destaquemayor"/>
        </w:rPr>
        <w:t>Containers Docker</w:t>
      </w:r>
      <w:r>
        <w:rPr/>
        <w:t xml:space="preserve"> pre-configurados</w:t>
      </w:r>
    </w:p>
    <w:p>
      <w:pPr>
        <w:pStyle w:val="Cuerpodetexto"/>
        <w:numPr>
          <w:ilvl w:val="0"/>
          <w:numId w:val="15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>
          <w:rStyle w:val="Destaquemayor"/>
        </w:rPr>
        <w:t>Helm charts</w:t>
      </w:r>
      <w:r>
        <w:rPr/>
        <w:t xml:space="preserve"> para Kubernetes</w:t>
      </w:r>
    </w:p>
    <w:p>
      <w:pPr>
        <w:pStyle w:val="Cuerpodetexto"/>
        <w:numPr>
          <w:ilvl w:val="0"/>
          <w:numId w:val="15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>
          <w:rStyle w:val="Destaquemayor"/>
        </w:rPr>
        <w:t>Guías de despliegue</w:t>
      </w:r>
      <w:r>
        <w:rPr/>
        <w:t xml:space="preserve"> para entornos comunes</w:t>
      </w:r>
    </w:p>
    <w:p>
      <w:pPr>
        <w:pStyle w:val="Cuerpodetexto"/>
        <w:numPr>
          <w:ilvl w:val="0"/>
          <w:numId w:val="15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>
          <w:rStyle w:val="Destaquemayor"/>
        </w:rPr>
        <w:t>Modo "enterprise"</w:t>
      </w:r>
      <w:r>
        <w:rPr/>
        <w:t xml:space="preserve"> con SSO y logging centralizado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</w:r>
    </w:p>
    <w:p>
      <w:pPr>
        <w:pStyle w:val="Lneahorizont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Ttulo2"/>
        <w:numPr>
          <w:ilvl w:val="0"/>
          <w:numId w:val="0"/>
        </w:numPr>
        <w:bidi w:val="0"/>
        <w:spacing w:before="200" w:after="120"/>
        <w:jc w:val="left"/>
        <w:rPr/>
      </w:pPr>
      <w:r>
        <w:rPr>
          <w:rStyle w:val="Destaquemayor"/>
          <w:b/>
        </w:rPr>
        <w:t>Plan de Monitorización de Riesgos</w:t>
      </w:r>
    </w:p>
    <w:p>
      <w:pPr>
        <w:pStyle w:val="Cuerpodetexto"/>
        <w:bidi w:val="0"/>
        <w:spacing w:lineRule="auto" w:line="276" w:before="0" w:after="140"/>
        <w:jc w:val="left"/>
        <w:rPr>
          <w:rStyle w:val="Destaquemayor"/>
        </w:rPr>
      </w:pPr>
      <w:r>
        <w:rPr/>
      </w:r>
    </w:p>
    <w:tbl>
      <w:tblPr>
        <w:tblW w:w="7524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328"/>
        <w:gridCol w:w="1919"/>
        <w:gridCol w:w="3277"/>
      </w:tblGrid>
      <w:tr>
        <w:trPr>
          <w:tblHeader w:val="true"/>
        </w:trPr>
        <w:tc>
          <w:tcPr>
            <w:tcW w:w="2328" w:type="dxa"/>
            <w:tcBorders/>
            <w:vAlign w:val="center"/>
          </w:tcPr>
          <w:p>
            <w:pPr>
              <w:pStyle w:val="Ttulodelatabla"/>
              <w:suppressLineNumbers/>
              <w:bidi w:val="0"/>
              <w:jc w:val="center"/>
              <w:rPr/>
            </w:pPr>
            <w:r>
              <w:rPr/>
              <w:t>Métrica</w:t>
            </w:r>
          </w:p>
        </w:tc>
        <w:tc>
          <w:tcPr>
            <w:tcW w:w="1919" w:type="dxa"/>
            <w:tcBorders/>
            <w:vAlign w:val="center"/>
          </w:tcPr>
          <w:p>
            <w:pPr>
              <w:pStyle w:val="Ttulodelatabla"/>
              <w:suppressLineNumbers/>
              <w:bidi w:val="0"/>
              <w:jc w:val="center"/>
              <w:rPr/>
            </w:pPr>
            <w:r>
              <w:rPr/>
              <w:t>Umbral de Alerta</w:t>
            </w:r>
          </w:p>
        </w:tc>
        <w:tc>
          <w:tcPr>
            <w:tcW w:w="3277" w:type="dxa"/>
            <w:tcBorders/>
            <w:vAlign w:val="center"/>
          </w:tcPr>
          <w:p>
            <w:pPr>
              <w:pStyle w:val="Ttulodelatabla"/>
              <w:suppressLineNumbers/>
              <w:bidi w:val="0"/>
              <w:jc w:val="center"/>
              <w:rPr/>
            </w:pPr>
            <w:r>
              <w:rPr/>
              <w:t>Acción Correctiva</w:t>
            </w:r>
          </w:p>
        </w:tc>
      </w:tr>
      <w:tr>
        <w:trPr/>
        <w:tc>
          <w:tcPr>
            <w:tcW w:w="2328" w:type="dxa"/>
            <w:tcBorders/>
            <w:vAlign w:val="center"/>
          </w:tcPr>
          <w:p>
            <w:pPr>
              <w:pStyle w:val="Contenidodelatabla"/>
              <w:widowControl w:val="false"/>
              <w:suppressLineNumbers/>
              <w:bidi w:val="0"/>
              <w:jc w:val="left"/>
              <w:rPr/>
            </w:pPr>
            <w:r>
              <w:rPr/>
              <w:t>Tasa de PII post-ZK</w:t>
            </w:r>
          </w:p>
        </w:tc>
        <w:tc>
          <w:tcPr>
            <w:tcW w:w="1919" w:type="dxa"/>
            <w:tcBorders/>
            <w:vAlign w:val="center"/>
          </w:tcPr>
          <w:p>
            <w:pPr>
              <w:pStyle w:val="Contenidodelatabla"/>
              <w:widowControl w:val="false"/>
              <w:suppressLineNumbers/>
              <w:bidi w:val="0"/>
              <w:jc w:val="left"/>
              <w:rPr/>
            </w:pPr>
            <w:r>
              <w:rPr/>
              <w:t>&gt;0.1%</w:t>
            </w:r>
          </w:p>
        </w:tc>
        <w:tc>
          <w:tcPr>
            <w:tcW w:w="3277" w:type="dxa"/>
            <w:tcBorders/>
            <w:vAlign w:val="center"/>
          </w:tcPr>
          <w:p>
            <w:pPr>
              <w:pStyle w:val="Contenidodelatabla"/>
              <w:widowControl w:val="false"/>
              <w:suppressLineNumbers/>
              <w:bidi w:val="0"/>
              <w:jc w:val="left"/>
              <w:rPr/>
            </w:pPr>
            <w:r>
              <w:rPr/>
              <w:t>Revisar reglas de anonimización</w:t>
            </w:r>
          </w:p>
        </w:tc>
      </w:tr>
      <w:tr>
        <w:trPr/>
        <w:tc>
          <w:tcPr>
            <w:tcW w:w="2328" w:type="dxa"/>
            <w:tcBorders/>
            <w:vAlign w:val="center"/>
          </w:tcPr>
          <w:p>
            <w:pPr>
              <w:pStyle w:val="Contenidodelatabla"/>
              <w:widowControl w:val="false"/>
              <w:suppressLineNumbers/>
              <w:bidi w:val="0"/>
              <w:jc w:val="left"/>
              <w:rPr/>
            </w:pPr>
            <w:r>
              <w:rPr/>
              <w:t>Latencia p95</w:t>
            </w:r>
          </w:p>
        </w:tc>
        <w:tc>
          <w:tcPr>
            <w:tcW w:w="1919" w:type="dxa"/>
            <w:tcBorders/>
            <w:vAlign w:val="center"/>
          </w:tcPr>
          <w:p>
            <w:pPr>
              <w:pStyle w:val="Contenidodelatabla"/>
              <w:widowControl w:val="false"/>
              <w:suppressLineNumbers/>
              <w:bidi w:val="0"/>
              <w:jc w:val="left"/>
              <w:rPr/>
            </w:pPr>
            <w:r>
              <w:rPr/>
              <w:t>&gt;800ms</w:t>
            </w:r>
          </w:p>
        </w:tc>
        <w:tc>
          <w:tcPr>
            <w:tcW w:w="3277" w:type="dxa"/>
            <w:tcBorders/>
            <w:vAlign w:val="center"/>
          </w:tcPr>
          <w:p>
            <w:pPr>
              <w:pStyle w:val="Contenidodelatabla"/>
              <w:widowControl w:val="false"/>
              <w:suppressLineNumbers/>
              <w:bidi w:val="0"/>
              <w:jc w:val="left"/>
              <w:rPr/>
            </w:pPr>
            <w:r>
              <w:rPr/>
              <w:t>Optimizar pipeline crítico</w:t>
            </w:r>
          </w:p>
        </w:tc>
      </w:tr>
      <w:tr>
        <w:trPr/>
        <w:tc>
          <w:tcPr>
            <w:tcW w:w="2328" w:type="dxa"/>
            <w:tcBorders/>
            <w:vAlign w:val="center"/>
          </w:tcPr>
          <w:p>
            <w:pPr>
              <w:pStyle w:val="Contenidodelatabla"/>
              <w:widowControl w:val="false"/>
              <w:suppressLineNumbers/>
              <w:bidi w:val="0"/>
              <w:jc w:val="left"/>
              <w:rPr/>
            </w:pPr>
            <w:r>
              <w:rPr/>
              <w:t>Memoria utilizada</w:t>
            </w:r>
          </w:p>
        </w:tc>
        <w:tc>
          <w:tcPr>
            <w:tcW w:w="1919" w:type="dxa"/>
            <w:tcBorders/>
            <w:vAlign w:val="center"/>
          </w:tcPr>
          <w:p>
            <w:pPr>
              <w:pStyle w:val="Contenidodelatabla"/>
              <w:widowControl w:val="false"/>
              <w:suppressLineNumbers/>
              <w:bidi w:val="0"/>
              <w:jc w:val="left"/>
              <w:rPr/>
            </w:pPr>
            <w:r>
              <w:rPr/>
              <w:t>&gt;80% disponible</w:t>
            </w:r>
          </w:p>
        </w:tc>
        <w:tc>
          <w:tcPr>
            <w:tcW w:w="3277" w:type="dxa"/>
            <w:tcBorders/>
            <w:vAlign w:val="center"/>
          </w:tcPr>
          <w:p>
            <w:pPr>
              <w:pStyle w:val="Contenidodelatabla"/>
              <w:widowControl w:val="false"/>
              <w:suppressLineNumbers/>
              <w:bidi w:val="0"/>
              <w:jc w:val="left"/>
              <w:rPr/>
            </w:pPr>
            <w:r>
              <w:rPr/>
              <w:t>Activar modo degradado</w:t>
            </w:r>
          </w:p>
        </w:tc>
      </w:tr>
      <w:tr>
        <w:trPr/>
        <w:tc>
          <w:tcPr>
            <w:tcW w:w="2328" w:type="dxa"/>
            <w:tcBorders/>
            <w:vAlign w:val="center"/>
          </w:tcPr>
          <w:p>
            <w:pPr>
              <w:pStyle w:val="Contenidodelatabla"/>
              <w:widowControl w:val="false"/>
              <w:suppressLineNumbers/>
              <w:bidi w:val="0"/>
              <w:jc w:val="left"/>
              <w:rPr/>
            </w:pPr>
            <w:r>
              <w:rPr/>
              <w:t>CPU sostenida</w:t>
            </w:r>
          </w:p>
        </w:tc>
        <w:tc>
          <w:tcPr>
            <w:tcW w:w="1919" w:type="dxa"/>
            <w:tcBorders/>
            <w:vAlign w:val="center"/>
          </w:tcPr>
          <w:p>
            <w:pPr>
              <w:pStyle w:val="Contenidodelatabla"/>
              <w:widowControl w:val="false"/>
              <w:suppressLineNumbers/>
              <w:bidi w:val="0"/>
              <w:jc w:val="left"/>
              <w:rPr/>
            </w:pPr>
            <w:r>
              <w:rPr/>
              <w:t>&gt;70% por 5min</w:t>
            </w:r>
          </w:p>
        </w:tc>
        <w:tc>
          <w:tcPr>
            <w:tcW w:w="3277" w:type="dxa"/>
            <w:tcBorders/>
            <w:vAlign w:val="center"/>
          </w:tcPr>
          <w:p>
            <w:pPr>
              <w:pStyle w:val="Contenidodelatabla"/>
              <w:widowControl w:val="false"/>
              <w:suppressLineNumbers/>
              <w:bidi w:val="0"/>
              <w:jc w:val="left"/>
              <w:rPr/>
            </w:pPr>
            <w:r>
              <w:rPr/>
              <w:t>Escalar horizontalmente</w:t>
            </w:r>
          </w:p>
        </w:tc>
      </w:tr>
      <w:tr>
        <w:trPr/>
        <w:tc>
          <w:tcPr>
            <w:tcW w:w="2328" w:type="dxa"/>
            <w:tcBorders/>
            <w:vAlign w:val="center"/>
          </w:tcPr>
          <w:p>
            <w:pPr>
              <w:pStyle w:val="Contenidodelatabla"/>
              <w:widowControl w:val="false"/>
              <w:suppressLineNumbers/>
              <w:bidi w:val="0"/>
              <w:jc w:val="left"/>
              <w:rPr/>
            </w:pPr>
            <w:r>
              <w:rPr/>
              <w:t>Errores compatibilidad</w:t>
            </w:r>
          </w:p>
        </w:tc>
        <w:tc>
          <w:tcPr>
            <w:tcW w:w="1919" w:type="dxa"/>
            <w:tcBorders/>
            <w:vAlign w:val="center"/>
          </w:tcPr>
          <w:p>
            <w:pPr>
              <w:pStyle w:val="Contenidodelatabla"/>
              <w:widowControl w:val="false"/>
              <w:suppressLineNumbers/>
              <w:bidi w:val="0"/>
              <w:jc w:val="left"/>
              <w:rPr/>
            </w:pPr>
            <w:r>
              <w:rPr/>
              <w:t>&gt;5% requests</w:t>
            </w:r>
          </w:p>
        </w:tc>
        <w:tc>
          <w:tcPr>
            <w:tcW w:w="3277" w:type="dxa"/>
            <w:tcBorders/>
            <w:vAlign w:val="center"/>
          </w:tcPr>
          <w:p>
            <w:pPr>
              <w:pStyle w:val="Contenidodelatabla"/>
              <w:widowControl w:val="false"/>
              <w:suppressLineNumbers/>
              <w:bidi w:val="0"/>
              <w:jc w:val="left"/>
              <w:rPr/>
            </w:pPr>
            <w:r>
              <w:rPr/>
              <w:t>Actualizar adaptadores</w:t>
            </w:r>
          </w:p>
        </w:tc>
      </w:tr>
    </w:tbl>
    <w:p>
      <w:pPr>
        <w:pStyle w:val="Cuerpodetexto"/>
        <w:bidi w:val="0"/>
        <w:spacing w:lineRule="auto" w:line="276" w:before="0" w:after="140"/>
        <w:jc w:val="left"/>
        <w:rPr>
          <w:rStyle w:val="Destaquemayor"/>
        </w:rPr>
      </w:pPr>
      <w:r>
        <w:rPr/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>
          <w:rStyle w:val="Destaquemayor"/>
        </w:rPr>
        <w:t>Revisión trimestral</w:t>
      </w:r>
      <w:r>
        <w:rPr/>
        <w:t xml:space="preserve"> de riesgos con ajuste basado en datos reales.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600" w:charSpace="32768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OpenSymbol">
    <w:altName w:val="Arial Unicode MS"/>
    <w:charset w:val="02"/>
    <w:family w:val="auto"/>
    <w:pitch w:val="default"/>
  </w:font>
  <w:font w:name="Liberation Sans">
    <w:altName w:val="Arial"/>
    <w:charset w:val="01"/>
    <w:family w:val="swiss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%1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%2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%3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%4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%5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%6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%7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%8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%9"/>
      <w:lvlJc w:val="left"/>
      <w:pPr>
        <w:tabs>
          <w:tab w:val="num" w:pos="0"/>
        </w:tabs>
        <w:ind w:left="0" w:hanging="0"/>
      </w:p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9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0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</w:numbering>
</file>

<file path=word/settings.xml><?xml version="1.0" encoding="utf-8"?>
<w:settings xmlns:w="http://schemas.openxmlformats.org/wordprocessingml/2006/main">
  <w:zoom w:percent="100"/>
  <w:defaultTabStop w:val="709"/>
  <w:autoHyphenation w:val="true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Lohit Devanagari"/>
        <w:kern w:val="2"/>
        <w:sz w:val="24"/>
        <w:szCs w:val="24"/>
        <w:lang w:val="es-ES" w:eastAsia="zh-CN" w:bidi="hi-IN"/>
      </w:rPr>
    </w:rPrDefault>
    <w:pPrDefault>
      <w:pPr>
        <w:widowControl/>
        <w:suppressAutoHyphens w:val="true"/>
      </w:pPr>
    </w:pPrDefault>
  </w:docDefaults>
  <w:style w:type="paragraph" w:styleId="Normal">
    <w:name w:val="Normal"/>
    <w:qFormat/>
    <w:pPr>
      <w:widowControl/>
      <w:kinsoku w:val="true"/>
      <w:overflowPunct w:val="true"/>
      <w:autoSpaceDE w:val="true"/>
      <w:bidi w:val="0"/>
    </w:pPr>
    <w:rPr>
      <w:rFonts w:ascii="Liberation Serif" w:hAnsi="Liberation Serif" w:eastAsia="Noto Serif CJK SC" w:cs="Lohit Devanagari"/>
      <w:color w:val="auto"/>
      <w:kern w:val="2"/>
      <w:sz w:val="24"/>
      <w:szCs w:val="24"/>
      <w:lang w:val="es-ES" w:eastAsia="zh-CN" w:bidi="hi-IN"/>
    </w:rPr>
  </w:style>
  <w:style w:type="paragraph" w:styleId="Ttulo1">
    <w:name w:val="Heading 1"/>
    <w:basedOn w:val="Ttulo"/>
    <w:next w:val="Cuerpodetexto"/>
    <w:qFormat/>
    <w:pPr>
      <w:numPr>
        <w:ilvl w:val="0"/>
        <w:numId w:val="0"/>
      </w:numPr>
      <w:spacing w:before="240" w:after="120"/>
      <w:outlineLvl w:val="0"/>
    </w:pPr>
    <w:rPr>
      <w:rFonts w:ascii="Liberation Serif" w:hAnsi="Liberation Serif" w:eastAsia="Noto Serif CJK SC" w:cs="Lohit Devanagari"/>
      <w:b/>
      <w:bCs/>
      <w:sz w:val="48"/>
      <w:szCs w:val="48"/>
    </w:rPr>
  </w:style>
  <w:style w:type="paragraph" w:styleId="Ttulo2">
    <w:name w:val="Heading 2"/>
    <w:basedOn w:val="Ttulo"/>
    <w:next w:val="Cuerpodetexto"/>
    <w:qFormat/>
    <w:pPr>
      <w:numPr>
        <w:ilvl w:val="0"/>
        <w:numId w:val="0"/>
      </w:numPr>
      <w:spacing w:before="200" w:after="120"/>
      <w:outlineLvl w:val="1"/>
    </w:pPr>
    <w:rPr>
      <w:rFonts w:ascii="Liberation Serif" w:hAnsi="Liberation Serif" w:eastAsia="Noto Serif CJK SC" w:cs="Lohit Devanagari"/>
      <w:b/>
      <w:bCs/>
      <w:sz w:val="36"/>
      <w:szCs w:val="36"/>
    </w:rPr>
  </w:style>
  <w:style w:type="character" w:styleId="Destaquemayor">
    <w:name w:val="Strong"/>
    <w:qFormat/>
    <w:rPr>
      <w:b/>
      <w:bCs/>
    </w:rPr>
  </w:style>
  <w:style w:type="character" w:styleId="Destacado">
    <w:name w:val="Emphasis"/>
    <w:qFormat/>
    <w:rPr>
      <w:i/>
      <w:iCs/>
    </w:rPr>
  </w:style>
  <w:style w:type="character" w:styleId="Vietas">
    <w:name w:val="Viñetas"/>
    <w:qFormat/>
    <w:rPr>
      <w:rFonts w:ascii="OpenSymbol" w:hAnsi="OpenSymbol" w:eastAsia="OpenSymbol" w:cs="OpenSymbol"/>
    </w:rPr>
  </w:style>
  <w:style w:type="paragraph" w:styleId="Ttulo">
    <w:name w:val="Título"/>
    <w:basedOn w:val="Normal"/>
    <w:next w:val="Cuerpodetexto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Cuerpodetexto">
    <w:name w:val="Body Text"/>
    <w:basedOn w:val="Normal"/>
    <w:pPr>
      <w:spacing w:lineRule="auto" w:line="276" w:before="0" w:after="140"/>
    </w:pPr>
    <w:rPr/>
  </w:style>
  <w:style w:type="paragraph" w:styleId="Lista">
    <w:name w:val="List"/>
    <w:basedOn w:val="Cuerpodetexto"/>
    <w:pPr/>
    <w:rPr>
      <w:rFonts w:cs="Lohit Devanagari"/>
    </w:rPr>
  </w:style>
  <w:style w:type="paragraph" w:styleId="Leyenda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>
      <w:rFonts w:cs="Lohit Devanagari"/>
    </w:rPr>
  </w:style>
  <w:style w:type="paragraph" w:styleId="Lneahorizontal">
    <w:name w:val="Línea horizontal"/>
    <w:basedOn w:val="Normal"/>
    <w:next w:val="Cuerpodetexto"/>
    <w:qFormat/>
    <w:pPr>
      <w:suppressLineNumbers/>
      <w:pBdr>
        <w:bottom w:val="double" w:sz="2" w:space="0" w:color="808080"/>
      </w:pBdr>
      <w:spacing w:before="0" w:after="283"/>
    </w:pPr>
    <w:rPr>
      <w:sz w:val="12"/>
      <w:szCs w:val="12"/>
    </w:rPr>
  </w:style>
  <w:style w:type="paragraph" w:styleId="Contenidodelatabla">
    <w:name w:val="Contenido de la tabla"/>
    <w:basedOn w:val="Normal"/>
    <w:qFormat/>
    <w:pPr>
      <w:widowControl w:val="false"/>
      <w:suppressLineNumbers/>
    </w:pPr>
    <w:rPr/>
  </w:style>
  <w:style w:type="paragraph" w:styleId="Ttulodelatabla">
    <w:name w:val="Título de la tabla"/>
    <w:basedOn w:val="Contenidodelatabla"/>
    <w:qFormat/>
    <w:pPr>
      <w:suppressLineNumbers/>
      <w:jc w:val="center"/>
    </w:pPr>
    <w:rPr>
      <w:b/>
      <w:bCs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18</TotalTime>
  <Application>LibreOffice/7.4.7.2$Linux_X86_64 LibreOffice_project/40$Build-2</Application>
  <AppVersion>15.0000</AppVersion>
  <Pages>3</Pages>
  <Words>401</Words>
  <Characters>2642</Characters>
  <CharactersWithSpaces>2915</CharactersWithSpaces>
  <Paragraphs>86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2026-02-08T18:31:44Z</dcterms:created>
  <dc:creator/>
  <dc:description/>
  <dc:language>es-ES</dc:language>
  <cp:lastModifiedBy/>
  <dcterms:modified xsi:type="dcterms:W3CDTF">2026-02-08T18:50:03Z</dcterms:modified>
  <cp:revision>1</cp:revision>
  <dc:subject/>
  <dc:title/>
</cp:coreProperties>
</file>