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spacing w:before="480" w:after="0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>
          <w:rStyle w:val="Destaquemayor"/>
          <w:rFonts w:ascii="Liberation Serif" w:hAnsi="Liberation Serif"/>
          <w:b/>
          <w:sz w:val="36"/>
          <w:szCs w:val="36"/>
          <w:lang w:val="es-ES"/>
        </w:rPr>
        <w:t>ZeroCog — Propuesta de activación operativa y financiación puente</w:t>
      </w:r>
    </w:p>
    <w:p>
      <w:pPr>
        <w:pStyle w:val="Lneahorizontal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</w:r>
    </w:p>
    <w:p>
      <w:pPr>
        <w:pStyle w:val="Ttulo2"/>
        <w:spacing w:before="200" w:after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>
          <w:rStyle w:val="Destaquemayor"/>
          <w:b/>
        </w:rPr>
        <w:t>1. Resumen ejecutivo</w:t>
      </w:r>
    </w:p>
    <w:p>
      <w:pPr>
        <w:pStyle w:val="Cuerpodetext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>ZeroCog es una arquitectura de contexto persistente y anonimización estructural que permite a sistemas de inteligencia artificial operar con memoria real sin exponer datos sensibles ni depender de un proveedor.</w:t>
      </w:r>
    </w:p>
    <w:p>
      <w:pPr>
        <w:pStyle w:val="Cuerpodetext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>El proyecto se encuentra en fase pre-seed, con:</w:t>
      </w:r>
    </w:p>
    <w:p>
      <w:pPr>
        <w:pStyle w:val="Cuerpodetexto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arquitectura definida </w:t>
      </w:r>
    </w:p>
    <w:p>
      <w:pPr>
        <w:pStyle w:val="Cuerpodetexto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documentación técnica completa </w:t>
      </w:r>
    </w:p>
    <w:p>
      <w:pPr>
        <w:pStyle w:val="Cuerpodetexto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demostración funcional del flujo conceptual </w:t>
      </w:r>
    </w:p>
    <w:p>
      <w:pPr>
        <w:pStyle w:val="Cuerpodetext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Se plantea una </w:t>
      </w:r>
      <w:r>
        <w:rPr>
          <w:rStyle w:val="Destaquemayor"/>
        </w:rPr>
        <w:t>ronda de activación y transición</w:t>
      </w:r>
      <w:r>
        <w:rPr/>
        <w:t xml:space="preserve"> destinada a:</w:t>
      </w:r>
    </w:p>
    <w:p>
      <w:pPr>
        <w:pStyle w:val="Cuerpodetexto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ejecutar el núcleo técnico </w:t>
      </w:r>
    </w:p>
    <w:p>
      <w:pPr>
        <w:pStyle w:val="Cuerpodetexto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validar el sistema en condiciones reales </w:t>
      </w:r>
    </w:p>
    <w:p>
      <w:pPr>
        <w:pStyle w:val="Cuerpodetexto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preparar el acceso a financiación estructurada (ENISA) </w:t>
      </w:r>
    </w:p>
    <w:p>
      <w:pPr>
        <w:pStyle w:val="Lneahorizontal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</w:r>
    </w:p>
    <w:p>
      <w:pPr>
        <w:pStyle w:val="Ttulo2"/>
        <w:spacing w:before="200" w:after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>
          <w:rStyle w:val="Destaquemayor"/>
          <w:b/>
        </w:rPr>
        <w:t>2. Naturaleza de la inversión</w:t>
      </w:r>
    </w:p>
    <w:p>
      <w:pPr>
        <w:pStyle w:val="Cuerpodetext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>Esta ronda no es una fase de crecimiento.</w:t>
      </w:r>
    </w:p>
    <w:p>
      <w:pPr>
        <w:pStyle w:val="Cuerpodetext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Es una </w:t>
      </w:r>
      <w:r>
        <w:rPr>
          <w:rStyle w:val="Destaquemayor"/>
        </w:rPr>
        <w:t>financiación puente</w:t>
      </w:r>
      <w:r>
        <w:rPr/>
        <w:t xml:space="preserve"> entre:</w:t>
      </w:r>
    </w:p>
    <w:p>
      <w:pPr>
        <w:sectPr>
          <w:type w:val="nextPage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opreformatead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>fase conceptual validada</w:t>
      </w:r>
    </w:p>
    <w:p>
      <w:pPr>
        <w:pStyle w:val="Textopreformatead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>→</w:t>
      </w:r>
    </w:p>
    <w:p>
      <w:pPr>
        <w:pStyle w:val="Textopreformatead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>financiación institucional (ENISA)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Cuerpodetext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>El capital permite sostener ejecución continua hasta alcanzar ese punto.</w:t>
      </w:r>
    </w:p>
    <w:p>
      <w:pPr>
        <w:pStyle w:val="Lneahorizontal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</w:r>
    </w:p>
    <w:p>
      <w:pPr>
        <w:pStyle w:val="Ttulo2"/>
        <w:spacing w:before="200" w:after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>
          <w:rStyle w:val="Destaquemayor"/>
          <w:b/>
        </w:rPr>
        <w:t>3. Necesidad de capital</w:t>
      </w:r>
    </w:p>
    <w:p>
      <w:pPr>
        <w:pStyle w:val="Cuerpodetext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>
          <w:rStyle w:val="Destaquemayor"/>
        </w:rPr>
        <w:t>Horizonte operativo:</w:t>
      </w:r>
      <w:r>
        <w:rPr/>
        <w:t xml:space="preserve"> 9 – 12 meses</w:t>
      </w:r>
    </w:p>
    <w:p>
      <w:pPr>
        <w:pStyle w:val="Cuerpodetext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>
          <w:rStyle w:val="Destaquemayor"/>
        </w:rPr>
        <w:t>Estructura</w:t>
      </w:r>
    </w:p>
    <w:p>
      <w:pPr>
        <w:pStyle w:val="Cuerpodetexto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mantenimiento del fundador (ejecución técnica) </w:t>
      </w:r>
    </w:p>
    <w:p>
      <w:pPr>
        <w:pStyle w:val="Cuerpodetexto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costes operativos mínimos </w:t>
      </w:r>
    </w:p>
    <w:p>
      <w:pPr>
        <w:pStyle w:val="Cuerpodetexto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preparación del acceso a financiación pública </w:t>
      </w:r>
    </w:p>
    <w:p>
      <w:pPr>
        <w:pStyle w:val="Cuerpodetext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>
          <w:rStyle w:val="Destaquemayor"/>
        </w:rPr>
        <w:t>Rango de inversión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opreformatead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bookmarkStart w:id="0" w:name="code-block-viewer"/>
      <w:bookmarkEnd w:id="0"/>
      <w:r>
        <w:rPr/>
        <w:t>30.000 – 60.000 €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Cuerpodetext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>Este rango permite:</w:t>
      </w:r>
    </w:p>
    <w:p>
      <w:pPr>
        <w:pStyle w:val="Cuerpodetexto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estabilidad operativa real </w:t>
      </w:r>
    </w:p>
    <w:p>
      <w:pPr>
        <w:pStyle w:val="Cuerpodetexto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margen de ejecución sin interrupciones </w:t>
      </w:r>
    </w:p>
    <w:p>
      <w:pPr>
        <w:pStyle w:val="Cuerpodetexto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preparación sólida de solicitud ENISA </w:t>
      </w:r>
    </w:p>
    <w:p>
      <w:pPr>
        <w:pStyle w:val="Lneahorizontal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</w:r>
    </w:p>
    <w:p>
      <w:pPr>
        <w:pStyle w:val="Ttulo2"/>
        <w:spacing w:before="200" w:after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>
          <w:rStyle w:val="Destaquemayor"/>
          <w:b/>
        </w:rPr>
        <w:t>4. Uso de los fondos</w:t>
      </w:r>
    </w:p>
    <w:p>
      <w:pPr>
        <w:pStyle w:val="Cuerpodetext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>Distribución funcional (no contable):</w:t>
      </w:r>
    </w:p>
    <w:p>
      <w:pPr>
        <w:pStyle w:val="Cuerpodetexto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>
          <w:rStyle w:val="Destaquemayor"/>
        </w:rPr>
        <w:t>Ejecución técnica (principal)</w:t>
      </w:r>
      <w:r>
        <w:rPr/>
        <w:t xml:space="preserve"> </w:t>
      </w:r>
    </w:p>
    <w:p>
      <w:pPr>
        <w:pStyle w:val="Cuerpodetexto"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0"/>
        <w:ind w:left="1418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desarrollo del núcleo (UMCI + CVA + capa ZeroCog) </w:t>
      </w:r>
    </w:p>
    <w:p>
      <w:pPr>
        <w:pStyle w:val="Cuerpodetexto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>
          <w:rStyle w:val="Destaquemayor"/>
        </w:rPr>
        <w:t>Sostenibilidad operativa</w:t>
      </w:r>
      <w:r>
        <w:rPr/>
        <w:t xml:space="preserve"> </w:t>
      </w:r>
    </w:p>
    <w:p>
      <w:pPr>
        <w:pStyle w:val="Cuerpodetexto"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0"/>
        <w:ind w:left="1418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dedicación exclusiva del fundador </w:t>
      </w:r>
    </w:p>
    <w:p>
      <w:pPr>
        <w:pStyle w:val="Cuerpodetexto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>
          <w:rStyle w:val="Destaquemayor"/>
        </w:rPr>
        <w:t>Infraestructura mínima</w:t>
      </w:r>
      <w:r>
        <w:rPr/>
        <w:t xml:space="preserve"> </w:t>
      </w:r>
    </w:p>
    <w:p>
      <w:pPr>
        <w:pStyle w:val="Cuerpodetexto"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0"/>
        <w:ind w:left="1418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entorno de desarrollo y pruebas </w:t>
      </w:r>
    </w:p>
    <w:p>
      <w:pPr>
        <w:pStyle w:val="Cuerpodetexto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>
          <w:rStyle w:val="Destaquemayor"/>
        </w:rPr>
        <w:t>Preparación ENISA</w:t>
      </w:r>
      <w:r>
        <w:rPr/>
        <w:t xml:space="preserve"> </w:t>
      </w:r>
    </w:p>
    <w:p>
      <w:pPr>
        <w:pStyle w:val="Cuerpodetexto"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0"/>
        <w:ind w:left="1418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documentación técnica </w:t>
      </w:r>
    </w:p>
    <w:p>
      <w:pPr>
        <w:pStyle w:val="Cuerpodetexto"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0"/>
        <w:ind w:left="1418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estructuración del proyecto </w:t>
      </w:r>
    </w:p>
    <w:p>
      <w:pPr>
        <w:pStyle w:val="Cuerpodetexto"/>
        <w:numPr>
          <w:ilvl w:val="1"/>
          <w:numId w:val="11"/>
        </w:numPr>
        <w:tabs>
          <w:tab w:val="clear" w:pos="720"/>
          <w:tab w:val="left" w:pos="0" w:leader="none"/>
        </w:tabs>
        <w:ind w:left="1418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validación previa </w:t>
      </w:r>
    </w:p>
    <w:p>
      <w:pPr>
        <w:pStyle w:val="Cuerpodetext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>No se contempla:</w:t>
      </w:r>
    </w:p>
    <w:p>
      <w:pPr>
        <w:pStyle w:val="Cuerpodetexto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marketing </w:t>
      </w:r>
    </w:p>
    <w:p>
      <w:pPr>
        <w:pStyle w:val="Cuerpodetexto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expansión prematura </w:t>
      </w:r>
    </w:p>
    <w:p>
      <w:pPr>
        <w:pStyle w:val="Cuerpodetexto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contratación temprana </w:t>
      </w:r>
    </w:p>
    <w:p>
      <w:pPr>
        <w:pStyle w:val="Lneahorizontal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</w:r>
    </w:p>
    <w:p>
      <w:pPr>
        <w:pStyle w:val="Ttulo2"/>
        <w:spacing w:before="200" w:after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>
          <w:rStyle w:val="Destaquemayor"/>
          <w:b/>
        </w:rPr>
        <w:t>5. Estrategia de financiación</w:t>
      </w:r>
    </w:p>
    <w:p>
      <w:pPr>
        <w:pStyle w:val="Ttulo3"/>
        <w:spacing w:before="200" w:after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>
          <w:rStyle w:val="Destaquemayor"/>
          <w:b/>
        </w:rPr>
        <w:t>Fase actual — Puente</w:t>
      </w:r>
    </w:p>
    <w:p>
      <w:pPr>
        <w:pStyle w:val="Cuerpodetexto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capital privado reducido (30k–60k) </w:t>
      </w:r>
    </w:p>
    <w:p>
      <w:pPr>
        <w:pStyle w:val="Cuerpodetexto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ejecución concentrada </w:t>
      </w:r>
    </w:p>
    <w:p>
      <w:pPr>
        <w:pStyle w:val="Cuerpodetexto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validación técnica progresiva </w:t>
      </w:r>
    </w:p>
    <w:p>
      <w:pPr>
        <w:pStyle w:val="Lneahorizontal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</w:r>
    </w:p>
    <w:p>
      <w:pPr>
        <w:pStyle w:val="Ttulo3"/>
        <w:spacing w:before="200" w:after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>
          <w:rStyle w:val="Destaquemayor"/>
          <w:b/>
        </w:rPr>
        <w:t>Siguiente fase — ENISA</w:t>
      </w:r>
    </w:p>
    <w:p>
      <w:pPr>
        <w:pStyle w:val="Cuerpodetexto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financiación pública estructurada </w:t>
      </w:r>
    </w:p>
    <w:p>
      <w:pPr>
        <w:pStyle w:val="Cuerpodetexto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ampliación de capacidad técnica </w:t>
      </w:r>
    </w:p>
    <w:p>
      <w:pPr>
        <w:pStyle w:val="Cuerpodetexto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consolidación del proyecto </w:t>
      </w:r>
    </w:p>
    <w:p>
      <w:pPr>
        <w:pStyle w:val="Lneahorizontal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</w:r>
    </w:p>
    <w:p>
      <w:pPr>
        <w:pStyle w:val="Ttulo3"/>
        <w:spacing w:before="200" w:after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>
          <w:rStyle w:val="Destaquemayor"/>
          <w:b/>
        </w:rPr>
        <w:t>Fase posterior</w:t>
      </w:r>
    </w:p>
    <w:p>
      <w:pPr>
        <w:pStyle w:val="Cuerpodetexto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entrada de capital adicional </w:t>
      </w:r>
    </w:p>
    <w:p>
      <w:pPr>
        <w:pStyle w:val="Cuerpodetexto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crecimiento controlado </w:t>
      </w:r>
    </w:p>
    <w:p>
      <w:pPr>
        <w:pStyle w:val="Cuerpodetexto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despliegue en entornos reales </w:t>
      </w:r>
    </w:p>
    <w:p>
      <w:pPr>
        <w:pStyle w:val="Lneahorizontal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</w:r>
    </w:p>
    <w:p>
      <w:pPr>
        <w:pStyle w:val="Ttulo2"/>
        <w:spacing w:before="200" w:after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>
          <w:rStyle w:val="Destaquemayor"/>
          <w:b/>
        </w:rPr>
        <w:t>6. Hitos clave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opreformatead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bookmarkStart w:id="1" w:name="code-block-viewer_Copy_1"/>
      <w:bookmarkEnd w:id="1"/>
      <w:r>
        <w:rPr/>
        <w:t xml:space="preserve">Mes 1–3   → núcleo funcional inicial  </w:t>
      </w:r>
    </w:p>
    <w:p>
      <w:pPr>
        <w:pStyle w:val="Textopreformatead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Mes 4–6   → MVP estable  </w:t>
      </w:r>
    </w:p>
    <w:p>
      <w:pPr>
        <w:pStyle w:val="Textopreformatead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Mes 6–9   → validación técnica  </w:t>
      </w:r>
    </w:p>
    <w:p>
      <w:pPr>
        <w:pStyle w:val="Textopreformatead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Mes 9–12  → solicitud y acceso a ENISA  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Cuerpodetext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>El objetivo no es volumen de features.</w:t>
        <w:br/>
        <w:t>Es demostrar viabilidad estructural.</w:t>
      </w:r>
    </w:p>
    <w:p>
      <w:pPr>
        <w:pStyle w:val="Lneahorizontal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</w:r>
    </w:p>
    <w:p>
      <w:pPr>
        <w:pStyle w:val="Ttulo2"/>
        <w:spacing w:before="200" w:after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>
          <w:rStyle w:val="Destaquemayor"/>
          <w:b/>
        </w:rPr>
        <w:t>7. Propuesta al inversor</w:t>
      </w:r>
    </w:p>
    <w:p>
      <w:pPr>
        <w:pStyle w:val="Cuerpodetext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>
          <w:rStyle w:val="Destaquemayor"/>
        </w:rPr>
        <w:t>Ticket:</w:t>
      </w:r>
      <w:r>
        <w:rPr/>
        <w:t xml:space="preserve"> 30.000 – 60.000 €</w:t>
        <w:br/>
      </w:r>
      <w:r>
        <w:rPr>
          <w:rStyle w:val="Destaquemayor"/>
        </w:rPr>
        <w:t>Instrumento:</w:t>
      </w:r>
      <w:r>
        <w:rPr/>
        <w:t xml:space="preserve"> participación en futura sociedad</w:t>
      </w:r>
    </w:p>
    <w:p>
      <w:pPr>
        <w:pStyle w:val="Cuerpodetext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>
          <w:rStyle w:val="Destaquemayor"/>
        </w:rPr>
        <w:t>Rol del capital</w:t>
      </w:r>
    </w:p>
    <w:p>
      <w:pPr>
        <w:pStyle w:val="Cuerpodetexto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habilitar ejecución continua </w:t>
      </w:r>
    </w:p>
    <w:p>
      <w:pPr>
        <w:pStyle w:val="Cuerpodetexto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reducir riesgo de discontinuidad </w:t>
      </w:r>
    </w:p>
    <w:p>
      <w:pPr>
        <w:pStyle w:val="Cuerpodetexto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posicionar el proyecto para financiación institucional </w:t>
      </w:r>
    </w:p>
    <w:p>
      <w:pPr>
        <w:pStyle w:val="Lneahorizontal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</w:r>
    </w:p>
    <w:p>
      <w:pPr>
        <w:pStyle w:val="Ttulo2"/>
        <w:spacing w:before="200" w:after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>
          <w:rStyle w:val="Destaquemayor"/>
          <w:b/>
        </w:rPr>
        <w:t>8. Lectura correcta de la oportunidad</w:t>
      </w:r>
    </w:p>
    <w:p>
      <w:pPr>
        <w:pStyle w:val="Cuerpodetext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>Esta inversión no busca retorno inmediato.</w:t>
      </w:r>
    </w:p>
    <w:p>
      <w:pPr>
        <w:pStyle w:val="Cuerpodetext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>Busca participar en el momento donde:</w:t>
      </w:r>
    </w:p>
    <w:p>
      <w:pPr>
        <w:pStyle w:val="Cuerpodetexto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el riesgo conceptual ya está reducido </w:t>
      </w:r>
    </w:p>
    <w:p>
      <w:pPr>
        <w:pStyle w:val="Cuerpodetexto"/>
        <w:numPr>
          <w:ilvl w:val="0"/>
          <w:numId w:val="17"/>
        </w:numPr>
        <w:tabs>
          <w:tab w:val="clear" w:pos="720"/>
          <w:tab w:val="left" w:pos="0" w:leader="none"/>
        </w:tabs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pero el activo aún no está construido </w:t>
      </w:r>
    </w:p>
    <w:p>
      <w:pPr>
        <w:pStyle w:val="Cuerpodetext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>Es el punto donde el capital:</w:t>
      </w:r>
    </w:p>
    <w:p>
      <w:pPr>
        <w:pStyle w:val="Cuerpodetexto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no financia marketing </w:t>
      </w:r>
    </w:p>
    <w:p>
      <w:pPr>
        <w:pStyle w:val="Cuerpodetexto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no financia escala </w:t>
      </w:r>
    </w:p>
    <w:p>
      <w:pPr>
        <w:pStyle w:val="Cuerpodetexto"/>
        <w:numPr>
          <w:ilvl w:val="0"/>
          <w:numId w:val="18"/>
        </w:numPr>
        <w:tabs>
          <w:tab w:val="clear" w:pos="720"/>
          <w:tab w:val="left" w:pos="0" w:leader="none"/>
        </w:tabs>
        <w:ind w:left="709" w:hanging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 xml:space="preserve">financia </w:t>
      </w:r>
      <w:r>
        <w:rPr>
          <w:rStyle w:val="Destaquemayor"/>
        </w:rPr>
        <w:t>la validación de la arquitectura</w:t>
      </w:r>
      <w:r>
        <w:rPr/>
        <w:t xml:space="preserve"> </w:t>
      </w:r>
    </w:p>
    <w:p>
      <w:pPr>
        <w:pStyle w:val="Lneahorizontal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</w:r>
    </w:p>
    <w:p>
      <w:pPr>
        <w:pStyle w:val="Ttulo2"/>
        <w:spacing w:before="200" w:after="283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>
          <w:rStyle w:val="Destaquemayor"/>
          <w:b/>
        </w:rPr>
        <w:t>9. Conclusión</w:t>
      </w:r>
    </w:p>
    <w:p>
      <w:pPr>
        <w:pStyle w:val="Cuerpodetext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>ZeroCog no necesita una gran inversión inicial.</w:t>
      </w:r>
    </w:p>
    <w:p>
      <w:pPr>
        <w:pStyle w:val="Cuerpodetext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>Necesita continuidad suficiente para completar la transición: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opreformatead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bookmarkStart w:id="2" w:name="code-block-viewer_Copy_2"/>
      <w:bookmarkEnd w:id="2"/>
      <w:r>
        <w:rPr/>
        <w:t>arquitectura definida</w:t>
      </w:r>
    </w:p>
    <w:p>
      <w:pPr>
        <w:pStyle w:val="Textopreformatead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>→</w:t>
      </w:r>
    </w:p>
    <w:p>
      <w:pPr>
        <w:pStyle w:val="Textopreformatead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>sistema validado</w:t>
      </w:r>
    </w:p>
    <w:p>
      <w:pPr>
        <w:pStyle w:val="Textopreformatead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>→</w:t>
      </w:r>
    </w:p>
    <w:p>
      <w:pPr>
        <w:pStyle w:val="Textopreformatead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>financiación estructurada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Cuerpodetexto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  <w:t>Esta ronda existe para cubrir exactamente ese tramo.</w:t>
      </w:r>
    </w:p>
    <w:p>
      <w:pPr>
        <w:pStyle w:val="Normal"/>
        <w:spacing w:before="0" w:after="200"/>
        <w:rPr>
          <w:rFonts w:ascii="Liberation Serif" w:hAnsi="Liberation Serif"/>
          <w:b/>
          <w:b/>
          <w:bCs/>
          <w:sz w:val="36"/>
          <w:szCs w:val="36"/>
          <w:lang w:val="es-ES"/>
        </w:rPr>
      </w:pPr>
      <w:r>
        <w:rPr/>
      </w:r>
    </w:p>
    <w:sectPr>
      <w:type w:val="continuous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Destacado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Destaquemayor">
    <w:name w:val="Strong"/>
    <w:qFormat/>
    <w:rPr>
      <w:b/>
      <w:b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Ttulogeneral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s-E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tulodelndice">
    <w:name w:val="Index Heading"/>
    <w:basedOn w:val="Ttulo"/>
    <w:pPr/>
    <w:rPr/>
  </w:style>
  <w:style w:type="paragraph" w:styleId="Ttulodelsuma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LibreOffice/7.4.7.2$Linux_X86_64 LibreOffice_project/40$Build-2</Application>
  <AppVersion>15.0000</AppVersion>
  <Pages>4</Pages>
  <Words>454</Words>
  <Characters>2604</Characters>
  <CharactersWithSpaces>2985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2026-04-05T19:42:30Z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