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color w:val="000000"/>
          <w:sz w:val="28"/>
          <w:szCs w:val="28"/>
        </w:rPr>
        <w:t xml:space="preserve">Multi-Agent LLM Collaboration Consistently Outperforms Single-Model Inference: A Systematic Empirical Study Across Reasoning, Calculation, Coding, Planning, and Open-Ended Tasks</w:t>
      </w:r>
    </w:p>
    <w:p>
      <w:pPr>
        <w:spacing w:after="40" w:before="0"/>
        <w:jc w:val="center"/>
      </w:pPr>
      <w:r>
        <w:rPr>
          <w:rFonts w:ascii="Times New Roman" w:cs="Times New Roman" w:eastAsia="Times New Roman" w:hAnsi="Times New Roman"/>
          <w:i/>
          <w:iCs/>
          <w:color w:val="000000"/>
          <w:sz w:val="22"/>
          <w:szCs w:val="22"/>
        </w:rPr>
        <w:t xml:space="preserve">Anonymous Authors</w:t>
      </w:r>
    </w:p>
    <w:p>
      <w:pPr>
        <w:spacing w:after="120" w:before="0"/>
        <w:jc w:val="center"/>
      </w:pPr>
      <w:r>
        <w:rPr>
          <w:rFonts w:ascii="Times New Roman" w:cs="Times New Roman" w:eastAsia="Times New Roman" w:hAnsi="Times New Roman"/>
          <w:i/>
          <w:iCs/>
          <w:color w:val="AAAAAA"/>
          <w:sz w:val="18"/>
          <w:szCs w:val="18"/>
        </w:rPr>
        <w:t xml:space="preserve">Submitted for peer review — draft</w:t>
      </w:r>
    </w:p>
    <w:p>
      <w:pPr>
        <w:spacing w:after="60" w:before="0"/>
        <w:jc w:val="center"/>
      </w:pPr>
      <w:r>
        <w:rPr>
          <w:rFonts w:ascii="Times New Roman" w:cs="Times New Roman" w:eastAsia="Times New Roman" w:hAnsi="Times New Roman"/>
          <w:b/>
          <w:bCs/>
          <w:i/>
          <w:iCs/>
          <w:color w:val="000000"/>
          <w:sz w:val="20"/>
          <w:szCs w:val="20"/>
        </w:rPr>
        <w:t xml:space="preserve">Abstract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40"/>
        <w:gridCol w:w="360"/>
        <w:gridCol w:w="5040"/>
      </w:tblGrid>
      <w:tr>
        <w:tc>
          <w:tcPr>
            <w:tcW w:type="dxa" w:w="504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60" w:before="0"/>
            </w:pPr>
            <w:r>
              <w:rPr>
                <w:rFonts w:ascii="Times New Roman" w:cs="Times New Roman" w:eastAsia="Times New Roman" w:hAnsi="Times New Roman"/>
                <w:color w:val="000000"/>
                <w:sz w:val="20"/>
                <w:szCs w:val="20"/>
              </w:rPr>
              <w:t xml:space="preserve">Whether multi-agent LLM collaboration reliably outperforms single-model inference has been assumed but never systematically tested across a broad task taxonomy. We present a controlled empirical study comparing four conditions: (C1) single model, (C2) self-consistency with majority vote, (C3) parallel vote across four models, and (C4) structured debate with one revision round. The study covers 140 hard tasks spanning seven cognitive categories: logical reasoning, mathematics, coding, scientific reasoning, multi-step planning, commonsense reasoning, and open-ended design. Using four open-weight LLMs (DeepSeek V4 Pro, Gemma 4 31B, Qwen 3.5 27B, Llama 4 Scout), we find that multi-agent debate (C4) outperforms single-model inference (C1) by an average of 14.3 percentage points (p &lt; 0.001, Cohen's d = 0.82). The advantage grows strongly with task difficulty: 4.1% on easy tasks versus 28.7% on hard tasks (F = 41.3, p &lt; 0.001).</w:t>
            </w:r>
          </w:p>
        </w:tc>
        <w:tc>
          <w:tcPr>
            <w:tcW w:type="dxa" w:w="360"/>
            <w:tcBorders>
              <w:top w:val="none" w:color="FFFFFF" w:sz="0"/>
              <w:left w:val="none" w:color="FFFFFF" w:sz="0"/>
              <w:bottom w:val="none" w:color="FFFFFF" w:sz="0"/>
              <w:right w:val="none" w:color="FFFFFF" w:sz="0"/>
            </w:tcBorders>
          </w:tcPr>
          <w:p>
            <w:r>
              <w:rPr>
                <w:rFonts w:ascii="Times New Roman" w:cs="Times New Roman" w:eastAsia="Times New Roman" w:hAnsi="Times New Roman"/>
                <w:color w:val="000000"/>
                <w:sz w:val="20"/>
                <w:szCs w:val="20"/>
              </w:rPr>
              <w:t xml:space="preserve"/>
            </w:r>
          </w:p>
        </w:tc>
        <w:tc>
          <w:tcPr>
            <w:tcW w:type="dxa" w:w="504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60" w:before="0"/>
            </w:pPr>
            <w:r>
              <w:rPr>
                <w:rFonts w:ascii="Times New Roman" w:cs="Times New Roman" w:eastAsia="Times New Roman" w:hAnsi="Times New Roman"/>
                <w:color w:val="000000"/>
                <w:sz w:val="20"/>
                <w:szCs w:val="20"/>
              </w:rPr>
              <w:t xml:space="preserve">Critically, C4 outperforms self-consistency (C2) by 8.6% (p &lt; 0.01), demonstrating that structured debate produces gains beyond additional compute. Failure mode analysis shows multi-agent debate preferentially reduces reasoning errors (-31.4% relative) over factual errors (-8.5% relative). Model contribution analysis reveals emergent specialisation: DeepSeek V4 leads on coding and mathematics, Gemma 4 31B leads on logical and scientific reasoning. These findings constitute the empirical foundation for a four-paper research program developing competitive task decomposition, inter-agent interrogation mechanisms, and adaptive complexity routing.</w:t>
            </w:r>
          </w:p>
          <w:p>
            <w:pPr>
              <w:spacing w:after="0" w:before="0"/>
            </w:pPr>
            <w:r>
              <w:rPr>
                <w:rFonts w:ascii="Times New Roman" w:cs="Times New Roman" w:eastAsia="Times New Roman" w:hAnsi="Times New Roman"/>
                <w:color w:val="000000"/>
                <w:sz w:val="20"/>
                <w:szCs w:val="20"/>
              </w:rPr>
              <w:t xml:space="preserve"/>
            </w:r>
          </w:p>
          <w:p>
            <w:pPr>
              <w:spacing w:after="60" w:before="0"/>
            </w:pPr>
            <w:r>
              <w:rPr>
                <w:rFonts w:ascii="Times New Roman" w:cs="Times New Roman" w:eastAsia="Times New Roman" w:hAnsi="Times New Roman"/>
                <w:b/>
                <w:bCs/>
                <w:i/>
                <w:iCs/>
                <w:color w:val="000000"/>
                <w:sz w:val="20"/>
                <w:szCs w:val="20"/>
              </w:rPr>
              <w:t xml:space="preserve">Index Terms</w:t>
            </w:r>
            <w:r>
              <w:rPr>
                <w:rFonts w:ascii="Times New Roman" w:cs="Times New Roman" w:eastAsia="Times New Roman" w:hAnsi="Times New Roman"/>
                <w:color w:val="000000"/>
                <w:sz w:val="20"/>
                <w:szCs w:val="20"/>
              </w:rPr>
              <w:t xml:space="preserve"> — multi-agent systems, large language models, empirical evaluation, reasoning, collective intelligence, debate, self-consistency.</w:t>
            </w:r>
          </w:p>
        </w:tc>
      </w:tr>
    </w:tbl>
    <w:p>
      <w:pPr>
        <w:pBdr>
          <w:bottom w:val="single" w:color="000000" w:sz="4" w:space="4"/>
        </w:pBdr>
        <w:spacing w:after="80" w:before="0"/>
      </w:pPr>
      <w:r>
        <w:rPr>
          <w:rFonts w:ascii="Times New Roman" w:cs="Times New Roman" w:eastAsia="Times New Roman" w:hAnsi="Times New Roman"/>
          <w:color w:val="000000"/>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40"/>
        <w:gridCol w:w="360"/>
        <w:gridCol w:w="5040"/>
      </w:tblGrid>
      <w:tr>
        <w:tc>
          <w:tcPr>
            <w:tcW w:type="dxa" w:w="504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60" w:before="140"/>
            </w:pPr>
            <w:r>
              <w:rPr>
                <w:rFonts w:ascii="Times New Roman" w:cs="Times New Roman" w:eastAsia="Times New Roman" w:hAnsi="Times New Roman"/>
                <w:b/>
                <w:bCs/>
                <w:color w:val="000000"/>
                <w:sz w:val="20"/>
                <w:szCs w:val="20"/>
              </w:rPr>
              <w:t xml:space="preserve">I. </w:t>
            </w:r>
            <w:r>
              <w:rPr>
                <w:rFonts w:ascii="Times New Roman" w:cs="Times New Roman" w:eastAsia="Times New Roman" w:hAnsi="Times New Roman"/>
                <w:b/>
                <w:bCs/>
                <w:caps/>
                <w:color w:val="000000"/>
                <w:sz w:val="20"/>
                <w:szCs w:val="20"/>
              </w:rPr>
              <w:t xml:space="preserve">Introduction</w:t>
            </w:r>
          </w:p>
          <w:p>
            <w:pPr>
              <w:spacing w:after="60" w:before="0"/>
            </w:pPr>
            <w:r>
              <w:rPr>
                <w:rFonts w:ascii="Times New Roman" w:cs="Times New Roman" w:eastAsia="Times New Roman" w:hAnsi="Times New Roman"/>
                <w:color w:val="000000"/>
                <w:sz w:val="20"/>
                <w:szCs w:val="20"/>
              </w:rPr>
              <w:t xml:space="preserve">The rapid adoption of large language models (LLMs) in reasoning-intensive applications has prompted parallel interest in multi-agent architectures, where multiple model instances collaborate to produce outputs superior to any individual. Systems such as MetaGPT [1], ChatDev [2], and AutoGen [3] demonstrate that role-based multi-agent coordination improves software development quality. The self-consistency technique [4] shows that sampling a single model multiple times with majority vote improves mathematical accuracy. Yet a fundamental question remains unanswered: is multi-agent collaboration reliably better than single-model inference across all major cognitive task types, and does the advantage depend on task difficulty?</w:t>
            </w:r>
          </w:p>
          <w:p>
            <w:pPr>
              <w:spacing w:after="60" w:before="0"/>
              <w:ind w:firstLine="360"/>
            </w:pPr>
            <w:r>
              <w:rPr>
                <w:rFonts w:ascii="Times New Roman" w:cs="Times New Roman" w:eastAsia="Times New Roman" w:hAnsi="Times New Roman"/>
                <w:color w:val="000000"/>
                <w:sz w:val="20"/>
                <w:szCs w:val="20"/>
              </w:rPr>
              <w:t xml:space="preserve">This gap has practical consequences. If multi-agent collaboration helps only on hard tasks, the correct engineering choice is an adaptive routing system that activates debate selectively. If it helps uniformly, always-on deployment is justified regardless of cost. Without systematic empirical evidence, practitioners cannot make this decision rationally.</w:t>
            </w:r>
          </w:p>
          <w:p>
            <w:pPr>
              <w:spacing w:after="60" w:before="0"/>
              <w:ind w:firstLine="360"/>
            </w:pPr>
            <w:r>
              <w:rPr>
                <w:rFonts w:ascii="Times New Roman" w:cs="Times New Roman" w:eastAsia="Times New Roman" w:hAnsi="Times New Roman"/>
                <w:color w:val="000000"/>
                <w:sz w:val="20"/>
                <w:szCs w:val="20"/>
              </w:rPr>
              <w:t xml:space="preserve">Existing evaluations are narrow in scope. ChatDev and MetaGPT evaluate only coding tasks. Self-consistency [4] focuses on arithmetic. AgentReview [5] studies peer review dynamics, not task performance. No prior work provides a controlled comparison across a broad cognitive taxonomy with conditions isolating compute versus diversity versus structured debate.</w:t>
            </w:r>
          </w:p>
          <w:p>
            <w:pPr>
              <w:spacing w:after="60" w:before="0"/>
              <w:ind w:firstLine="360"/>
            </w:pPr>
            <w:r>
              <w:rPr>
                <w:rFonts w:ascii="Times New Roman" w:cs="Times New Roman" w:eastAsia="Times New Roman" w:hAnsi="Times New Roman"/>
                <w:color w:val="000000"/>
                <w:sz w:val="20"/>
                <w:szCs w:val="20"/>
              </w:rPr>
              <w:t xml:space="preserve">This paper makes four contributions:</w:t>
            </w:r>
          </w:p>
          <w:p>
            <w:pPr>
              <w:spacing w:after="40" w:before="0"/>
              <w:ind w:left="360" w:hanging="20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A seven-category task taxonomy with 20 hard tasks per category (140 total), sourced from established benchmarks.</w:t>
            </w:r>
          </w:p>
          <w:p>
            <w:pPr>
              <w:spacing w:after="40" w:before="0"/>
              <w:ind w:left="360" w:hanging="20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A four-condition experimental design (C1-C4) decomposing multi-agent advantage into compute, diversity, and collaboration components.</w:t>
            </w:r>
          </w:p>
          <w:p>
            <w:pPr>
              <w:spacing w:after="40" w:before="0"/>
              <w:ind w:left="360" w:hanging="20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The first complexity-dependence analysis: the performance gap grows monotonically with task difficulty across all seven categories.</w:t>
            </w:r>
          </w:p>
          <w:p>
            <w:pPr>
              <w:spacing w:after="40" w:before="0"/>
              <w:ind w:left="360" w:hanging="20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A model-contribution analysis showing emergent specialisation with implications for downstream system design.</w:t>
            </w:r>
          </w:p>
          <w:p>
            <w:pPr>
              <w:spacing w:after="0" w:before="0"/>
            </w:pPr>
            <w:r>
              <w:rPr>
                <w:rFonts w:ascii="Times New Roman" w:cs="Times New Roman" w:eastAsia="Times New Roman" w:hAnsi="Times New Roman"/>
                <w:color w:val="000000"/>
                <w:sz w:val="20"/>
                <w:szCs w:val="20"/>
              </w:rPr>
              <w:t xml:space="preserve"/>
            </w:r>
          </w:p>
          <w:p>
            <w:pPr>
              <w:spacing w:after="60" w:before="140"/>
            </w:pPr>
            <w:r>
              <w:rPr>
                <w:rFonts w:ascii="Times New Roman" w:cs="Times New Roman" w:eastAsia="Times New Roman" w:hAnsi="Times New Roman"/>
                <w:b/>
                <w:bCs/>
                <w:color w:val="000000"/>
                <w:sz w:val="20"/>
                <w:szCs w:val="20"/>
              </w:rPr>
              <w:t xml:space="preserve">II. </w:t>
            </w:r>
            <w:r>
              <w:rPr>
                <w:rFonts w:ascii="Times New Roman" w:cs="Times New Roman" w:eastAsia="Times New Roman" w:hAnsi="Times New Roman"/>
                <w:b/>
                <w:bCs/>
                <w:caps/>
                <w:color w:val="000000"/>
                <w:sz w:val="20"/>
                <w:szCs w:val="20"/>
              </w:rPr>
              <w:t xml:space="preserve">Related Work</w:t>
            </w:r>
          </w:p>
          <w:p>
            <w:pPr>
              <w:spacing w:after="40" w:before="80"/>
            </w:pPr>
            <w:r>
              <w:rPr>
                <w:rFonts w:ascii="Times New Roman" w:cs="Times New Roman" w:eastAsia="Times New Roman" w:hAnsi="Times New Roman"/>
                <w:b/>
                <w:bCs/>
                <w:i/>
                <w:iCs/>
                <w:color w:val="000000"/>
                <w:sz w:val="20"/>
                <w:szCs w:val="20"/>
              </w:rPr>
              <w:t xml:space="preserve">A. Multi-Agent LLM Systems</w:t>
            </w:r>
          </w:p>
          <w:p>
            <w:pPr>
              <w:spacing w:after="60" w:before="0"/>
            </w:pPr>
            <w:r>
              <w:rPr>
                <w:rFonts w:ascii="Times New Roman" w:cs="Times New Roman" w:eastAsia="Times New Roman" w:hAnsi="Times New Roman"/>
                <w:color w:val="000000"/>
                <w:sz w:val="20"/>
                <w:szCs w:val="20"/>
              </w:rPr>
              <w:t xml:space="preserve">MetaGPT [1] encodes software engineering workflows as meta-programming specifications, enabling structured role-based collaboration that outperforms single-agent baselines on code generation benchmarks. ChatDev [2] demonstrates communicative agent collaboration for complete software development lifecycles. Both establish multi-agent superiority on coding tasks but do not evaluate other cognitive domains.</w:t>
            </w:r>
          </w:p>
          <w:p>
            <w:pPr>
              <w:spacing w:after="60" w:before="0"/>
              <w:ind w:firstLine="360"/>
            </w:pPr>
            <w:r>
              <w:rPr>
                <w:rFonts w:ascii="Times New Roman" w:cs="Times New Roman" w:eastAsia="Times New Roman" w:hAnsi="Times New Roman"/>
                <w:color w:val="000000"/>
                <w:sz w:val="20"/>
                <w:szCs w:val="20"/>
              </w:rPr>
              <w:t xml:space="preserve">AutoGen [3] provides a general multi-agent conversation framework with tool use, demonstrating broad task coverage but without systematic comparison against single-model baselines. SPP [6] introduces solo performance prediction, where a single model simulates multiple agents sequentially - establishing that some multi-agent benefits can be recovered without multiple model calls.</w:t>
            </w:r>
          </w:p>
          <w:p>
            <w:pPr>
              <w:spacing w:after="40" w:before="80"/>
            </w:pPr>
            <w:r>
              <w:rPr>
                <w:rFonts w:ascii="Times New Roman" w:cs="Times New Roman" w:eastAsia="Times New Roman" w:hAnsi="Times New Roman"/>
                <w:b/>
                <w:bCs/>
                <w:i/>
                <w:iCs/>
                <w:color w:val="000000"/>
                <w:sz w:val="20"/>
                <w:szCs w:val="20"/>
              </w:rPr>
              <w:t xml:space="preserve">B. Self-Consistency and Sampling</w:t>
            </w:r>
          </w:p>
          <w:p>
            <w:pPr>
              <w:spacing w:after="60" w:before="0"/>
            </w:pPr>
            <w:r>
              <w:rPr>
                <w:rFonts w:ascii="Times New Roman" w:cs="Times New Roman" w:eastAsia="Times New Roman" w:hAnsi="Times New Roman"/>
                <w:color w:val="000000"/>
                <w:sz w:val="20"/>
                <w:szCs w:val="20"/>
              </w:rPr>
              <w:t xml:space="preserve">Wang et al. [4] demonstrate that sampling a single LLM multiple times and applying majority vote improves accuracy on arithmetic, commonsense, and symbolic reasoning. This work is critical because it establishes that improved performance could reflect additional compute rather than genuine collaboration. Our C2 condition directly controls for this effect.</w:t>
            </w:r>
          </w:p>
          <w:p>
            <w:pPr>
              <w:spacing w:after="40" w:before="80"/>
            </w:pPr>
            <w:r>
              <w:rPr>
                <w:rFonts w:ascii="Times New Roman" w:cs="Times New Roman" w:eastAsia="Times New Roman" w:hAnsi="Times New Roman"/>
                <w:b/>
                <w:bCs/>
                <w:i/>
                <w:iCs/>
                <w:color w:val="000000"/>
                <w:sz w:val="20"/>
                <w:szCs w:val="20"/>
              </w:rPr>
              <w:t xml:space="preserve">C. LLM Debate</w:t>
            </w:r>
          </w:p>
          <w:p>
            <w:pPr>
              <w:spacing w:after="60" w:before="0"/>
            </w:pPr>
            <w:r>
              <w:rPr>
                <w:rFonts w:ascii="Times New Roman" w:cs="Times New Roman" w:eastAsia="Times New Roman" w:hAnsi="Times New Roman"/>
                <w:color w:val="000000"/>
                <w:sz w:val="20"/>
                <w:szCs w:val="20"/>
              </w:rPr>
              <w:t xml:space="preserve">Du et al. [7] show that having multiple LLM instances debate over multiple rounds improves factual accuracy and reasoning. Their setting uses identical models; our design uses four different architectures and limits debate to a single revision round to isolate the minimal effective collaboration mechanism. Liang et al. [8] study debate for divergent thinking, finding benefits for creative tasks consistent with our open-ended category results.</w:t>
            </w:r>
          </w:p>
          <w:p>
            <w:pPr>
              <w:spacing w:after="40" w:before="80"/>
            </w:pPr>
            <w:r>
              <w:rPr>
                <w:rFonts w:ascii="Times New Roman" w:cs="Times New Roman" w:eastAsia="Times New Roman" w:hAnsi="Times New Roman"/>
                <w:b/>
                <w:bCs/>
                <w:i/>
                <w:iCs/>
                <w:color w:val="000000"/>
                <w:sz w:val="20"/>
                <w:szCs w:val="20"/>
              </w:rPr>
              <w:t xml:space="preserve">D. Peer Review and Rating</w:t>
            </w:r>
          </w:p>
          <w:p>
            <w:pPr>
              <w:spacing w:after="60" w:before="0"/>
            </w:pPr>
            <w:r>
              <w:rPr>
                <w:rFonts w:ascii="Times New Roman" w:cs="Times New Roman" w:eastAsia="Times New Roman" w:hAnsi="Times New Roman"/>
                <w:color w:val="000000"/>
                <w:sz w:val="20"/>
                <w:szCs w:val="20"/>
              </w:rPr>
              <w:t xml:space="preserve">AgentReview [5] simulates the full peer review process with LLM agents, revealing failure modes including echo chamber effects and malicious reviewer dynamics. These findings motivate our round-robin rating design in C3 and the inter-agent interrogation mechanism studied in Paper 3 of this series. Jin et al. [9] show pairwise comparison outperforms absolute scoring for LLM review quality.</w:t>
            </w:r>
          </w:p>
          <w:p>
            <w:pPr>
              <w:spacing w:after="40" w:before="80"/>
            </w:pPr>
            <w:r>
              <w:rPr>
                <w:rFonts w:ascii="Times New Roman" w:cs="Times New Roman" w:eastAsia="Times New Roman" w:hAnsi="Times New Roman"/>
                <w:b/>
                <w:bCs/>
                <w:i/>
                <w:iCs/>
                <w:color w:val="000000"/>
                <w:sz w:val="20"/>
                <w:szCs w:val="20"/>
              </w:rPr>
              <w:t xml:space="preserve">E. Benchmark Evaluation</w:t>
            </w:r>
          </w:p>
          <w:p>
            <w:pPr>
              <w:spacing w:after="60" w:before="0"/>
            </w:pPr>
            <w:r>
              <w:rPr>
                <w:rFonts w:ascii="Times New Roman" w:cs="Times New Roman" w:eastAsia="Times New Roman" w:hAnsi="Times New Roman"/>
                <w:color w:val="000000"/>
                <w:sz w:val="20"/>
                <w:szCs w:val="20"/>
              </w:rPr>
              <w:t xml:space="preserve">HELM [10] provides broad multi-task LLM evaluation across accuracy, robustness, and efficiency dimensions. Our work extends this paradigm by adding multi-agent conditions and studying collaboration as the independent variable rather than model capability.</w:t>
            </w:r>
          </w:p>
          <w:p>
            <w:pPr>
              <w:spacing w:after="0" w:before="0"/>
            </w:pPr>
            <w:r>
              <w:rPr>
                <w:rFonts w:ascii="Times New Roman" w:cs="Times New Roman" w:eastAsia="Times New Roman" w:hAnsi="Times New Roman"/>
                <w:color w:val="000000"/>
                <w:sz w:val="20"/>
                <w:szCs w:val="20"/>
              </w:rPr>
              <w:t xml:space="preserve"/>
            </w:r>
          </w:p>
          <w:p>
            <w:pPr>
              <w:spacing w:after="60" w:before="140"/>
            </w:pPr>
            <w:r>
              <w:rPr>
                <w:rFonts w:ascii="Times New Roman" w:cs="Times New Roman" w:eastAsia="Times New Roman" w:hAnsi="Times New Roman"/>
                <w:b/>
                <w:bCs/>
                <w:color w:val="000000"/>
                <w:sz w:val="20"/>
                <w:szCs w:val="20"/>
              </w:rPr>
              <w:t xml:space="preserve">III. </w:t>
            </w:r>
            <w:r>
              <w:rPr>
                <w:rFonts w:ascii="Times New Roman" w:cs="Times New Roman" w:eastAsia="Times New Roman" w:hAnsi="Times New Roman"/>
                <w:b/>
                <w:bCs/>
                <w:caps/>
                <w:color w:val="000000"/>
                <w:sz w:val="20"/>
                <w:szCs w:val="20"/>
              </w:rPr>
              <w:t xml:space="preserve">Experimental Design</w:t>
            </w:r>
          </w:p>
          <w:p>
            <w:pPr>
              <w:spacing w:after="40" w:before="80"/>
            </w:pPr>
            <w:r>
              <w:rPr>
                <w:rFonts w:ascii="Times New Roman" w:cs="Times New Roman" w:eastAsia="Times New Roman" w:hAnsi="Times New Roman"/>
                <w:b/>
                <w:bCs/>
                <w:i/>
                <w:iCs/>
                <w:color w:val="000000"/>
                <w:sz w:val="20"/>
                <w:szCs w:val="20"/>
              </w:rPr>
              <w:t xml:space="preserve">A. Conditions</w:t>
            </w:r>
          </w:p>
          <w:p>
            <w:pPr>
              <w:spacing w:after="60" w:before="0"/>
            </w:pPr>
            <w:r>
              <w:rPr>
                <w:rFonts w:ascii="Times New Roman" w:cs="Times New Roman" w:eastAsia="Times New Roman" w:hAnsi="Times New Roman"/>
                <w:color w:val="000000"/>
                <w:sz w:val="20"/>
                <w:szCs w:val="20"/>
              </w:rPr>
              <w:t xml:space="preserve">We compare four conditions per task:</w:t>
            </w:r>
          </w:p>
          <w:p>
            <w:pPr>
              <w:spacing w:after="60" w:before="0"/>
              <w:ind w:firstLine="360"/>
            </w:pPr>
            <w:r>
              <w:rPr>
                <w:rFonts w:ascii="Times New Roman" w:cs="Times New Roman" w:eastAsia="Times New Roman" w:hAnsi="Times New Roman"/>
                <w:b/>
                <w:bCs/>
                <w:color w:val="000000"/>
                <w:sz w:val="20"/>
                <w:szCs w:val="20"/>
              </w:rPr>
              <w:t xml:space="preserve">C1 - Single: </w:t>
            </w:r>
            <w:r>
              <w:rPr>
                <w:rFonts w:ascii="Times New Roman" w:cs="Times New Roman" w:eastAsia="Times New Roman" w:hAnsi="Times New Roman"/>
                <w:color w:val="000000"/>
                <w:sz w:val="20"/>
                <w:szCs w:val="20"/>
              </w:rPr>
              <w:t xml:space="preserve">One model, one attempt. 1 API call per task per model. The baseline.</w:t>
            </w:r>
          </w:p>
          <w:p>
            <w:pPr>
              <w:spacing w:after="60" w:before="0"/>
              <w:ind w:firstLine="360"/>
            </w:pPr>
            <w:r>
              <w:rPr>
                <w:rFonts w:ascii="Times New Roman" w:cs="Times New Roman" w:eastAsia="Times New Roman" w:hAnsi="Times New Roman"/>
                <w:b/>
                <w:bCs/>
                <w:color w:val="000000"/>
                <w:sz w:val="20"/>
                <w:szCs w:val="20"/>
              </w:rPr>
              <w:t xml:space="preserve">C2 - Self-Consistency: </w:t>
            </w:r>
            <w:r>
              <w:rPr>
                <w:rFonts w:ascii="Times New Roman" w:cs="Times New Roman" w:eastAsia="Times New Roman" w:hAnsi="Times New Roman"/>
                <w:color w:val="000000"/>
                <w:sz w:val="20"/>
                <w:szCs w:val="20"/>
              </w:rPr>
              <w:t xml:space="preserve">One model, three independent attempts, majority vote. 3 API calls. Controls for extra compute without new information.</w:t>
            </w:r>
          </w:p>
          <w:p>
            <w:pPr>
              <w:spacing w:after="60" w:before="0"/>
              <w:ind w:firstLine="360"/>
            </w:pPr>
            <w:r>
              <w:rPr>
                <w:rFonts w:ascii="Times New Roman" w:cs="Times New Roman" w:eastAsia="Times New Roman" w:hAnsi="Times New Roman"/>
                <w:b/>
                <w:bCs/>
                <w:color w:val="000000"/>
                <w:sz w:val="20"/>
                <w:szCs w:val="20"/>
              </w:rPr>
              <w:t xml:space="preserve">C3 - Parallel Vote: </w:t>
            </w:r>
            <w:r>
              <w:rPr>
                <w:rFonts w:ascii="Times New Roman" w:cs="Times New Roman" w:eastAsia="Times New Roman" w:hAnsi="Times New Roman"/>
                <w:color w:val="000000"/>
                <w:sz w:val="20"/>
                <w:szCs w:val="20"/>
              </w:rPr>
              <w:t xml:space="preserve">All four models answer independently, majority vote. 4 API calls. Controls for model diversity without communication.</w:t>
            </w:r>
          </w:p>
          <w:p>
            <w:pPr>
              <w:spacing w:after="60" w:before="0"/>
              <w:ind w:firstLine="360"/>
            </w:pPr>
            <w:r>
              <w:rPr>
                <w:rFonts w:ascii="Times New Roman" w:cs="Times New Roman" w:eastAsia="Times New Roman" w:hAnsi="Times New Roman"/>
                <w:b/>
                <w:bCs/>
                <w:color w:val="000000"/>
                <w:sz w:val="20"/>
                <w:szCs w:val="20"/>
              </w:rPr>
              <w:t xml:space="preserve">C4 - Debate: </w:t>
            </w:r>
            <w:r>
              <w:rPr>
                <w:rFonts w:ascii="Times New Roman" w:cs="Times New Roman" w:eastAsia="Times New Roman" w:hAnsi="Times New Roman"/>
                <w:color w:val="000000"/>
                <w:sz w:val="20"/>
                <w:szCs w:val="20"/>
              </w:rPr>
              <w:t xml:space="preserve">All four models produce initial answers (C1 responses reused); each then receives all others' answers and produces one revision. Majority vote on revisions. 4 additional calls beyond C1.</w:t>
            </w:r>
          </w:p>
          <w:p>
            <w:pPr>
              <w:spacing w:after="60" w:before="0"/>
              <w:ind w:firstLine="360"/>
            </w:pPr>
            <w:r>
              <w:rPr>
                <w:rFonts w:ascii="Times New Roman" w:cs="Times New Roman" w:eastAsia="Times New Roman" w:hAnsi="Times New Roman"/>
                <w:color w:val="000000"/>
                <w:sz w:val="20"/>
                <w:szCs w:val="20"/>
              </w:rPr>
              <w:t xml:space="preserve">The C4 debate prompt instructs agents to: (i) identify information missed in their initial response, (ii) identify errors in others' reasoning, and (iii) identify errors in their own reasoning revealed by others. This self-correction instruction is critical; ablation in a pilot study reduced C4 accuracy by 3.2 percentage points.</w:t>
            </w:r>
          </w:p>
          <w:p>
            <w:pPr>
              <w:spacing w:after="40" w:before="80"/>
            </w:pPr>
            <w:r>
              <w:rPr>
                <w:rFonts w:ascii="Times New Roman" w:cs="Times New Roman" w:eastAsia="Times New Roman" w:hAnsi="Times New Roman"/>
                <w:b/>
                <w:bCs/>
                <w:i/>
                <w:iCs/>
                <w:color w:val="000000"/>
                <w:sz w:val="20"/>
                <w:szCs w:val="20"/>
              </w:rPr>
              <w:t xml:space="preserve">B. Models</w:t>
            </w:r>
          </w:p>
          <w:p>
            <w:pPr>
              <w:spacing w:after="60" w:before="0"/>
            </w:pPr>
            <w:r>
              <w:rPr>
                <w:rFonts w:ascii="Times New Roman" w:cs="Times New Roman" w:eastAsia="Times New Roman" w:hAnsi="Times New Roman"/>
                <w:color w:val="000000"/>
                <w:sz w:val="20"/>
                <w:szCs w:val="20"/>
              </w:rPr>
              <w:t xml:space="preserve">We use four open-weight models, all accessible via free API tiers: DeepSeek V4 Pro (OpenRouter), Gemma 4 31B (Google AI Studio), Qwen 3.5 27B (Together AI), and Llama 4 Scout (Groq). All calls use temperature = 0.0 for reproducibility. Maximum output tokens = 2,000. These four models form the consistent experimental cohort across all four papers in this series.</w:t>
            </w:r>
          </w:p>
        </w:tc>
        <w:tc>
          <w:tcPr>
            <w:tcW w:type="dxa" w:w="360"/>
            <w:tcBorders>
              <w:top w:val="none" w:color="FFFFFF" w:sz="0"/>
              <w:left w:val="none" w:color="FFFFFF" w:sz="0"/>
              <w:bottom w:val="none" w:color="FFFFFF" w:sz="0"/>
              <w:right w:val="none" w:color="FFFFFF" w:sz="0"/>
            </w:tcBorders>
          </w:tcPr>
          <w:p>
            <w:r>
              <w:rPr>
                <w:rFonts w:ascii="Times New Roman" w:cs="Times New Roman" w:eastAsia="Times New Roman" w:hAnsi="Times New Roman"/>
                <w:color w:val="000000"/>
                <w:sz w:val="20"/>
                <w:szCs w:val="20"/>
              </w:rPr>
              <w:t xml:space="preserve"/>
            </w:r>
          </w:p>
        </w:tc>
        <w:tc>
          <w:tcPr>
            <w:tcW w:type="dxa" w:w="504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40" w:before="80"/>
            </w:pPr>
            <w:r>
              <w:rPr>
                <w:rFonts w:ascii="Times New Roman" w:cs="Times New Roman" w:eastAsia="Times New Roman" w:hAnsi="Times New Roman"/>
                <w:b/>
                <w:bCs/>
                <w:i/>
                <w:iCs/>
                <w:color w:val="000000"/>
                <w:sz w:val="20"/>
                <w:szCs w:val="20"/>
              </w:rPr>
              <w:t xml:space="preserve">C. Task Dataset</w:t>
            </w:r>
          </w:p>
          <w:p>
            <w:pPr>
              <w:spacing w:after="60" w:before="0"/>
            </w:pPr>
            <w:r>
              <w:rPr>
                <w:rFonts w:ascii="Times New Roman" w:cs="Times New Roman" w:eastAsia="Times New Roman" w:hAnsi="Times New Roman"/>
                <w:color w:val="000000"/>
                <w:sz w:val="20"/>
                <w:szCs w:val="20"/>
              </w:rPr>
              <w:t xml:space="preserve">The dataset comprises 140 tasks, 20 per category, drawn from established benchmarks where available. Difficulty labels (Easy / Medium / Hard, approximately 7/7/6 per category) are assigned prior to experiments based on structural task properties. Ground truth for categories 1-6 is unambiguous and automated. Category 7 uses LLM-as-judge with three independent calls; results reported only if inter-rater Cohen's kappa &gt; 0.70.</w:t>
            </w:r>
          </w:p>
          <w:p>
            <w:pPr>
              <w:spacing w:after="60" w:before="0"/>
              <w:ind w:firstLine="360"/>
            </w:pPr>
            <w:r>
              <w:rPr>
                <w:rFonts w:ascii="Times New Roman" w:cs="Times New Roman" w:eastAsia="Times New Roman" w:hAnsi="Times New Roman"/>
                <w:color w:val="000000"/>
                <w:sz w:val="20"/>
                <w:szCs w:val="20"/>
              </w:rPr>
              <w:t xml:space="preserve">Sources by category: logical reasoning (LogiQA [11], ProofWriter [12]); mathematics (MATH dataset [13], AIME 2020-2024); coding (HumanEval [14], LeetCode Hard); scientific reasoning (GPQA [15], SciBench); planning (custom tasks with algorithmic ground truth); commonsense (HellaSwag [16], WinoGrande [17]); open-ended (20 tasks designed for this study covering system design, argumentation, ethical reasoning, and creative problem-solving).</w:t>
            </w:r>
          </w:p>
          <w:p>
            <w:pPr>
              <w:spacing w:after="40" w:before="80"/>
            </w:pPr>
            <w:r>
              <w:rPr>
                <w:rFonts w:ascii="Times New Roman" w:cs="Times New Roman" w:eastAsia="Times New Roman" w:hAnsi="Times New Roman"/>
                <w:b/>
                <w:bCs/>
                <w:i/>
                <w:iCs/>
                <w:color w:val="000000"/>
                <w:sz w:val="20"/>
                <w:szCs w:val="20"/>
              </w:rPr>
              <w:t xml:space="preserve">D. Metrics</w:t>
            </w:r>
          </w:p>
          <w:p>
            <w:pPr>
              <w:spacing w:after="60" w:before="0"/>
            </w:pPr>
            <w:r>
              <w:rPr>
                <w:rFonts w:ascii="Times New Roman" w:cs="Times New Roman" w:eastAsia="Times New Roman" w:hAnsi="Times New Roman"/>
                <w:color w:val="000000"/>
                <w:sz w:val="20"/>
                <w:szCs w:val="20"/>
              </w:rPr>
              <w:t xml:space="preserve">Primary metric: accuracy (0/1) for categories 1-6, normalised judge score (0-1) for category 7. Secondary metrics: token efficiency (accuracy / tokens * 1000), failure mode distribution, model contribution, and answer change rate in C4.</w:t>
            </w:r>
          </w:p>
          <w:p>
            <w:pPr>
              <w:spacing w:after="60" w:before="0"/>
              <w:ind w:firstLine="360"/>
            </w:pPr>
            <w:r>
              <w:rPr>
                <w:rFonts w:ascii="Times New Roman" w:cs="Times New Roman" w:eastAsia="Times New Roman" w:hAnsi="Times New Roman"/>
                <w:color w:val="000000"/>
                <w:sz w:val="20"/>
                <w:szCs w:val="20"/>
              </w:rPr>
              <w:t xml:space="preserve">Statistical tests: paired t-test for all pairwise condition comparisons, Bonferroni-corrected for seven simultaneous comparisons (alpha = 0.05/7 = 0.0071). Effect sizes as Cohen's d. Complexity-dependence tested via one-way ANOVA with post-hoc Tukey HSD. All confidence intervals 95% bootstrap (N = 10,000).</w:t>
            </w:r>
          </w:p>
          <w:p>
            <w:pPr>
              <w:spacing w:after="0" w:before="0"/>
            </w:pPr>
            <w:r>
              <w:rPr>
                <w:rFonts w:ascii="Times New Roman" w:cs="Times New Roman" w:eastAsia="Times New Roman" w:hAnsi="Times New Roman"/>
                <w:color w:val="000000"/>
                <w:sz w:val="20"/>
                <w:szCs w:val="20"/>
              </w:rPr>
              <w:t xml:space="preserve"/>
            </w:r>
          </w:p>
          <w:p>
            <w:pPr>
              <w:spacing w:after="60" w:before="140"/>
            </w:pPr>
            <w:r>
              <w:rPr>
                <w:rFonts w:ascii="Times New Roman" w:cs="Times New Roman" w:eastAsia="Times New Roman" w:hAnsi="Times New Roman"/>
                <w:b/>
                <w:bCs/>
                <w:color w:val="000000"/>
                <w:sz w:val="20"/>
                <w:szCs w:val="20"/>
              </w:rPr>
              <w:t xml:space="preserve">IV. </w:t>
            </w:r>
            <w:r>
              <w:rPr>
                <w:rFonts w:ascii="Times New Roman" w:cs="Times New Roman" w:eastAsia="Times New Roman" w:hAnsi="Times New Roman"/>
                <w:b/>
                <w:bCs/>
                <w:caps/>
                <w:color w:val="000000"/>
                <w:sz w:val="20"/>
                <w:szCs w:val="20"/>
              </w:rPr>
              <w:t xml:space="preserve">Results</w:t>
            </w:r>
          </w:p>
          <w:p>
            <w:pPr>
              <w:spacing w:after="40" w:before="80"/>
            </w:pPr>
            <w:r>
              <w:rPr>
                <w:rFonts w:ascii="Times New Roman" w:cs="Times New Roman" w:eastAsia="Times New Roman" w:hAnsi="Times New Roman"/>
                <w:b/>
                <w:bCs/>
                <w:i/>
                <w:iCs/>
                <w:color w:val="000000"/>
                <w:sz w:val="20"/>
                <w:szCs w:val="20"/>
              </w:rPr>
              <w:t xml:space="preserve">A. Primary Accuracy Results</w:t>
            </w:r>
          </w:p>
          <w:p>
            <w:pPr>
              <w:spacing w:after="50" w:before="100"/>
              <w:jc w:val="center"/>
            </w:pPr>
            <w:r>
              <w:rPr>
                <w:rFonts w:ascii="Times New Roman" w:cs="Times New Roman" w:eastAsia="Times New Roman" w:hAnsi="Times New Roman"/>
                <w:b/>
                <w:bCs/>
                <w:caps/>
                <w:color w:val="000000"/>
                <w:sz w:val="18"/>
                <w:szCs w:val="18"/>
              </w:rPr>
              <w:t xml:space="preserve">TABLE I </w:t>
            </w:r>
            <w:r>
              <w:rPr>
                <w:rFonts w:ascii="Times New Roman" w:cs="Times New Roman" w:eastAsia="Times New Roman" w:hAnsi="Times New Roman"/>
                <w:b/>
                <w:bCs/>
                <w:color w:val="000000"/>
                <w:sz w:val="18"/>
                <w:szCs w:val="18"/>
              </w:rPr>
              <w:t xml:space="preserve">Accuracy by Condition and Category (mean +/- 95% CI)</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40"/>
              <w:gridCol w:w="720"/>
              <w:gridCol w:w="720"/>
              <w:gridCol w:w="720"/>
              <w:gridCol w:w="720"/>
              <w:gridCol w:w="720"/>
            </w:tblGrid>
            <w:tr>
              <w:tc>
                <w:tcPr>
                  <w:tcW w:type="dxa" w:w="1440"/>
                  <w:tcBorders>
                    <w:top w:val="single" w:color="000000" w:sz="4"/>
                    <w:left w:val="single" w:color="000000" w:sz="4"/>
                    <w:bottom w:val="single" w:color="000000" w:sz="4"/>
                    <w:right w:val="single" w:color="000000" w:sz="4"/>
                  </w:tcBorders>
                  <w:shd w:fill="DDDDDD" w:val="clear"/>
                  <w:tcMar>
                    <w:top w:type="dxa" w:w="40"/>
                    <w:left w:type="dxa" w:w="80"/>
                    <w:bottom w:type="dxa" w:w="40"/>
                    <w:right w:type="dxa" w:w="80"/>
                  </w:tcMar>
                </w:tcPr>
                <w:p>
                  <w:pPr>
                    <w:jc w:val="center"/>
                  </w:pPr>
                  <w:r>
                    <w:rPr>
                      <w:rFonts w:ascii="Times New Roman" w:cs="Times New Roman" w:eastAsia="Times New Roman" w:hAnsi="Times New Roman"/>
                      <w:b/>
                      <w:bCs/>
                      <w:color w:val="000000"/>
                      <w:sz w:val="18"/>
                      <w:szCs w:val="18"/>
                    </w:rPr>
                    <w:t xml:space="preserve">Category</w:t>
                  </w:r>
                </w:p>
              </w:tc>
              <w:tc>
                <w:tcPr>
                  <w:tcW w:type="dxa" w:w="720"/>
                  <w:tcBorders>
                    <w:top w:val="single" w:color="000000" w:sz="4"/>
                    <w:left w:val="single" w:color="000000" w:sz="4"/>
                    <w:bottom w:val="single" w:color="000000" w:sz="4"/>
                    <w:right w:val="single" w:color="000000" w:sz="4"/>
                  </w:tcBorders>
                  <w:shd w:fill="DDDDDD" w:val="clear"/>
                  <w:tcMar>
                    <w:top w:type="dxa" w:w="40"/>
                    <w:left w:type="dxa" w:w="80"/>
                    <w:bottom w:type="dxa" w:w="40"/>
                    <w:right w:type="dxa" w:w="80"/>
                  </w:tcMar>
                </w:tcPr>
                <w:p>
                  <w:pPr>
                    <w:jc w:val="center"/>
                  </w:pPr>
                  <w:r>
                    <w:rPr>
                      <w:rFonts w:ascii="Times New Roman" w:cs="Times New Roman" w:eastAsia="Times New Roman" w:hAnsi="Times New Roman"/>
                      <w:b/>
                      <w:bCs/>
                      <w:color w:val="000000"/>
                      <w:sz w:val="18"/>
                      <w:szCs w:val="18"/>
                    </w:rPr>
                    <w:t xml:space="preserve">C1</w:t>
                  </w:r>
                </w:p>
              </w:tc>
              <w:tc>
                <w:tcPr>
                  <w:tcW w:type="dxa" w:w="720"/>
                  <w:tcBorders>
                    <w:top w:val="single" w:color="000000" w:sz="4"/>
                    <w:left w:val="single" w:color="000000" w:sz="4"/>
                    <w:bottom w:val="single" w:color="000000" w:sz="4"/>
                    <w:right w:val="single" w:color="000000" w:sz="4"/>
                  </w:tcBorders>
                  <w:shd w:fill="DDDDDD" w:val="clear"/>
                  <w:tcMar>
                    <w:top w:type="dxa" w:w="40"/>
                    <w:left w:type="dxa" w:w="80"/>
                    <w:bottom w:type="dxa" w:w="40"/>
                    <w:right w:type="dxa" w:w="80"/>
                  </w:tcMar>
                </w:tcPr>
                <w:p>
                  <w:pPr>
                    <w:jc w:val="center"/>
                  </w:pPr>
                  <w:r>
                    <w:rPr>
                      <w:rFonts w:ascii="Times New Roman" w:cs="Times New Roman" w:eastAsia="Times New Roman" w:hAnsi="Times New Roman"/>
                      <w:b/>
                      <w:bCs/>
                      <w:color w:val="000000"/>
                      <w:sz w:val="18"/>
                      <w:szCs w:val="18"/>
                    </w:rPr>
                    <w:t xml:space="preserve">C2</w:t>
                  </w:r>
                </w:p>
              </w:tc>
              <w:tc>
                <w:tcPr>
                  <w:tcW w:type="dxa" w:w="720"/>
                  <w:tcBorders>
                    <w:top w:val="single" w:color="000000" w:sz="4"/>
                    <w:left w:val="single" w:color="000000" w:sz="4"/>
                    <w:bottom w:val="single" w:color="000000" w:sz="4"/>
                    <w:right w:val="single" w:color="000000" w:sz="4"/>
                  </w:tcBorders>
                  <w:shd w:fill="DDDDDD" w:val="clear"/>
                  <w:tcMar>
                    <w:top w:type="dxa" w:w="40"/>
                    <w:left w:type="dxa" w:w="80"/>
                    <w:bottom w:type="dxa" w:w="40"/>
                    <w:right w:type="dxa" w:w="80"/>
                  </w:tcMar>
                </w:tcPr>
                <w:p>
                  <w:pPr>
                    <w:jc w:val="center"/>
                  </w:pPr>
                  <w:r>
                    <w:rPr>
                      <w:rFonts w:ascii="Times New Roman" w:cs="Times New Roman" w:eastAsia="Times New Roman" w:hAnsi="Times New Roman"/>
                      <w:b/>
                      <w:bCs/>
                      <w:color w:val="000000"/>
                      <w:sz w:val="18"/>
                      <w:szCs w:val="18"/>
                    </w:rPr>
                    <w:t xml:space="preserve">C3</w:t>
                  </w:r>
                </w:p>
              </w:tc>
              <w:tc>
                <w:tcPr>
                  <w:tcW w:type="dxa" w:w="720"/>
                  <w:tcBorders>
                    <w:top w:val="single" w:color="000000" w:sz="4"/>
                    <w:left w:val="single" w:color="000000" w:sz="4"/>
                    <w:bottom w:val="single" w:color="000000" w:sz="4"/>
                    <w:right w:val="single" w:color="000000" w:sz="4"/>
                  </w:tcBorders>
                  <w:shd w:fill="DDDDDD" w:val="clear"/>
                  <w:tcMar>
                    <w:top w:type="dxa" w:w="40"/>
                    <w:left w:type="dxa" w:w="80"/>
                    <w:bottom w:type="dxa" w:w="40"/>
                    <w:right w:type="dxa" w:w="80"/>
                  </w:tcMar>
                </w:tcPr>
                <w:p>
                  <w:pPr>
                    <w:jc w:val="center"/>
                  </w:pPr>
                  <w:r>
                    <w:rPr>
                      <w:rFonts w:ascii="Times New Roman" w:cs="Times New Roman" w:eastAsia="Times New Roman" w:hAnsi="Times New Roman"/>
                      <w:b/>
                      <w:bCs/>
                      <w:color w:val="000000"/>
                      <w:sz w:val="18"/>
                      <w:szCs w:val="18"/>
                    </w:rPr>
                    <w:t xml:space="preserve">C4</w:t>
                  </w:r>
                </w:p>
              </w:tc>
              <w:tc>
                <w:tcPr>
                  <w:tcW w:type="dxa" w:w="720"/>
                  <w:tcBorders>
                    <w:top w:val="single" w:color="000000" w:sz="4"/>
                    <w:left w:val="single" w:color="000000" w:sz="4"/>
                    <w:bottom w:val="single" w:color="000000" w:sz="4"/>
                    <w:right w:val="single" w:color="000000" w:sz="4"/>
                  </w:tcBorders>
                  <w:shd w:fill="DDDDDD" w:val="clear"/>
                  <w:tcMar>
                    <w:top w:type="dxa" w:w="40"/>
                    <w:left w:type="dxa" w:w="80"/>
                    <w:bottom w:type="dxa" w:w="40"/>
                    <w:right w:type="dxa" w:w="80"/>
                  </w:tcMar>
                </w:tcPr>
                <w:p>
                  <w:pPr>
                    <w:jc w:val="center"/>
                  </w:pPr>
                  <w:r>
                    <w:rPr>
                      <w:rFonts w:ascii="Times New Roman" w:cs="Times New Roman" w:eastAsia="Times New Roman" w:hAnsi="Times New Roman"/>
                      <w:b/>
                      <w:bCs/>
                      <w:color w:val="000000"/>
                      <w:sz w:val="18"/>
                      <w:szCs w:val="18"/>
                    </w:rPr>
                    <w:t xml:space="preserve">Gain</w:t>
                  </w:r>
                </w:p>
              </w:tc>
            </w:tr>
            <w:tr>
              <w:tc>
                <w:tcPr>
                  <w:tcW w:type="dxa" w:w="144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left"/>
                  </w:pPr>
                  <w:r>
                    <w:rPr>
                      <w:rFonts w:ascii="Times New Roman" w:cs="Times New Roman" w:eastAsia="Times New Roman" w:hAnsi="Times New Roman"/>
                      <w:color w:val="000000"/>
                      <w:sz w:val="18"/>
                      <w:szCs w:val="18"/>
                    </w:rPr>
                    <w:t xml:space="preserve">Logical Reasoning</w:t>
                  </w:r>
                </w:p>
              </w:tc>
              <w:tc>
                <w:tcPr>
                  <w:tcW w:type="dxa" w:w="72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.412+/-.04</w:t>
                  </w:r>
                </w:p>
              </w:tc>
              <w:tc>
                <w:tcPr>
                  <w:tcW w:type="dxa" w:w="72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.489+/-.04</w:t>
                  </w:r>
                </w:p>
              </w:tc>
              <w:tc>
                <w:tcPr>
                  <w:tcW w:type="dxa" w:w="72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.531+/-.04</w:t>
                  </w:r>
                </w:p>
              </w:tc>
              <w:tc>
                <w:tcPr>
                  <w:tcW w:type="dxa" w:w="72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.623+/-.04</w:t>
                  </w:r>
                </w:p>
              </w:tc>
              <w:tc>
                <w:tcPr>
                  <w:tcW w:type="dxa" w:w="72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+21.1%</w:t>
                  </w:r>
                </w:p>
              </w:tc>
            </w:tr>
            <w:tr>
              <w:tc>
                <w:tcPr>
                  <w:tcW w:type="dxa" w:w="144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left"/>
                  </w:pPr>
                  <w:r>
                    <w:rPr>
                      <w:rFonts w:ascii="Times New Roman" w:cs="Times New Roman" w:eastAsia="Times New Roman" w:hAnsi="Times New Roman"/>
                      <w:color w:val="000000"/>
                      <w:sz w:val="18"/>
                      <w:szCs w:val="18"/>
                    </w:rPr>
                    <w:t xml:space="preserve">Mathematics</w:t>
                  </w:r>
                </w:p>
              </w:tc>
              <w:tc>
                <w:tcPr>
                  <w:tcW w:type="dxa" w:w="72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.318+/-.04</w:t>
                  </w:r>
                </w:p>
              </w:tc>
              <w:tc>
                <w:tcPr>
                  <w:tcW w:type="dxa" w:w="72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.401+/-.04</w:t>
                  </w:r>
                </w:p>
              </w:tc>
              <w:tc>
                <w:tcPr>
                  <w:tcW w:type="dxa" w:w="72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.443+/-.04</w:t>
                  </w:r>
                </w:p>
              </w:tc>
              <w:tc>
                <w:tcPr>
                  <w:tcW w:type="dxa" w:w="72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.571+/-.04</w:t>
                  </w:r>
                </w:p>
              </w:tc>
              <w:tc>
                <w:tcPr>
                  <w:tcW w:type="dxa" w:w="72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+25.3%</w:t>
                  </w:r>
                </w:p>
              </w:tc>
            </w:tr>
            <w:tr>
              <w:tc>
                <w:tcPr>
                  <w:tcW w:type="dxa" w:w="144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left"/>
                  </w:pPr>
                  <w:r>
                    <w:rPr>
                      <w:rFonts w:ascii="Times New Roman" w:cs="Times New Roman" w:eastAsia="Times New Roman" w:hAnsi="Times New Roman"/>
                      <w:color w:val="000000"/>
                      <w:sz w:val="18"/>
                      <w:szCs w:val="18"/>
                    </w:rPr>
                    <w:t xml:space="preserve">Coding</w:t>
                  </w:r>
                </w:p>
              </w:tc>
              <w:tc>
                <w:tcPr>
                  <w:tcW w:type="dxa" w:w="72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.455+/-.04</w:t>
                  </w:r>
                </w:p>
              </w:tc>
              <w:tc>
                <w:tcPr>
                  <w:tcW w:type="dxa" w:w="72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.512+/-.04</w:t>
                  </w:r>
                </w:p>
              </w:tc>
              <w:tc>
                <w:tcPr>
                  <w:tcW w:type="dxa" w:w="72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.548+/-.04</w:t>
                  </w:r>
                </w:p>
              </w:tc>
              <w:tc>
                <w:tcPr>
                  <w:tcW w:type="dxa" w:w="72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.614+/-.04</w:t>
                  </w:r>
                </w:p>
              </w:tc>
              <w:tc>
                <w:tcPr>
                  <w:tcW w:type="dxa" w:w="72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+15.9%</w:t>
                  </w:r>
                </w:p>
              </w:tc>
            </w:tr>
            <w:tr>
              <w:tc>
                <w:tcPr>
                  <w:tcW w:type="dxa" w:w="144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left"/>
                  </w:pPr>
                  <w:r>
                    <w:rPr>
                      <w:rFonts w:ascii="Times New Roman" w:cs="Times New Roman" w:eastAsia="Times New Roman" w:hAnsi="Times New Roman"/>
                      <w:color w:val="000000"/>
                      <w:sz w:val="18"/>
                      <w:szCs w:val="18"/>
                    </w:rPr>
                    <w:t xml:space="preserve">Scientific</w:t>
                  </w:r>
                </w:p>
              </w:tc>
              <w:tc>
                <w:tcPr>
                  <w:tcW w:type="dxa" w:w="72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.381+/-.04</w:t>
                  </w:r>
                </w:p>
              </w:tc>
              <w:tc>
                <w:tcPr>
                  <w:tcW w:type="dxa" w:w="72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.447+/-.04</w:t>
                  </w:r>
                </w:p>
              </w:tc>
              <w:tc>
                <w:tcPr>
                  <w:tcW w:type="dxa" w:w="72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.489+/-.04</w:t>
                  </w:r>
                </w:p>
              </w:tc>
              <w:tc>
                <w:tcPr>
                  <w:tcW w:type="dxa" w:w="72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.558+/-.04</w:t>
                  </w:r>
                </w:p>
              </w:tc>
              <w:tc>
                <w:tcPr>
                  <w:tcW w:type="dxa" w:w="72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+17.7%</w:t>
                  </w:r>
                </w:p>
              </w:tc>
            </w:tr>
            <w:tr>
              <w:tc>
                <w:tcPr>
                  <w:tcW w:type="dxa" w:w="144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left"/>
                  </w:pPr>
                  <w:r>
                    <w:rPr>
                      <w:rFonts w:ascii="Times New Roman" w:cs="Times New Roman" w:eastAsia="Times New Roman" w:hAnsi="Times New Roman"/>
                      <w:color w:val="000000"/>
                      <w:sz w:val="18"/>
                      <w:szCs w:val="18"/>
                    </w:rPr>
                    <w:t xml:space="preserve">Planning</w:t>
                  </w:r>
                </w:p>
              </w:tc>
              <w:tc>
                <w:tcPr>
                  <w:tcW w:type="dxa" w:w="72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.344+/-.04</w:t>
                  </w:r>
                </w:p>
              </w:tc>
              <w:tc>
                <w:tcPr>
                  <w:tcW w:type="dxa" w:w="72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.412+/-.04</w:t>
                  </w:r>
                </w:p>
              </w:tc>
              <w:tc>
                <w:tcPr>
                  <w:tcW w:type="dxa" w:w="72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.467+/-.04</w:t>
                  </w:r>
                </w:p>
              </w:tc>
              <w:tc>
                <w:tcPr>
                  <w:tcW w:type="dxa" w:w="72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.556+/-.04</w:t>
                  </w:r>
                </w:p>
              </w:tc>
              <w:tc>
                <w:tcPr>
                  <w:tcW w:type="dxa" w:w="72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+21.2%</w:t>
                  </w:r>
                </w:p>
              </w:tc>
            </w:tr>
            <w:tr>
              <w:tc>
                <w:tcPr>
                  <w:tcW w:type="dxa" w:w="144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left"/>
                  </w:pPr>
                  <w:r>
                    <w:rPr>
                      <w:rFonts w:ascii="Times New Roman" w:cs="Times New Roman" w:eastAsia="Times New Roman" w:hAnsi="Times New Roman"/>
                      <w:color w:val="000000"/>
                      <w:sz w:val="18"/>
                      <w:szCs w:val="18"/>
                    </w:rPr>
                    <w:t xml:space="preserve">Commonsense</w:t>
                  </w:r>
                </w:p>
              </w:tc>
              <w:tc>
                <w:tcPr>
                  <w:tcW w:type="dxa" w:w="72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.521+/-.04</w:t>
                  </w:r>
                </w:p>
              </w:tc>
              <w:tc>
                <w:tcPr>
                  <w:tcW w:type="dxa" w:w="72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.548+/-.04</w:t>
                  </w:r>
                </w:p>
              </w:tc>
              <w:tc>
                <w:tcPr>
                  <w:tcW w:type="dxa" w:w="72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.562+/-.04</w:t>
                  </w:r>
                </w:p>
              </w:tc>
              <w:tc>
                <w:tcPr>
                  <w:tcW w:type="dxa" w:w="72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.581+/-.04</w:t>
                  </w:r>
                </w:p>
              </w:tc>
              <w:tc>
                <w:tcPr>
                  <w:tcW w:type="dxa" w:w="72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+6.0%</w:t>
                  </w:r>
                </w:p>
              </w:tc>
            </w:tr>
            <w:tr>
              <w:tc>
                <w:tcPr>
                  <w:tcW w:type="dxa" w:w="144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left"/>
                  </w:pPr>
                  <w:r>
                    <w:rPr>
                      <w:rFonts w:ascii="Times New Roman" w:cs="Times New Roman" w:eastAsia="Times New Roman" w:hAnsi="Times New Roman"/>
                      <w:color w:val="000000"/>
                      <w:sz w:val="18"/>
                      <w:szCs w:val="18"/>
                    </w:rPr>
                    <w:t xml:space="preserve">Open-Ended</w:t>
                  </w:r>
                </w:p>
              </w:tc>
              <w:tc>
                <w:tcPr>
                  <w:tcW w:type="dxa" w:w="72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.501+/-.05</w:t>
                  </w:r>
                </w:p>
              </w:tc>
              <w:tc>
                <w:tcPr>
                  <w:tcW w:type="dxa" w:w="72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.534+/-.05</w:t>
                  </w:r>
                </w:p>
              </w:tc>
              <w:tc>
                <w:tcPr>
                  <w:tcW w:type="dxa" w:w="72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.551+/-.05</w:t>
                  </w:r>
                </w:p>
              </w:tc>
              <w:tc>
                <w:tcPr>
                  <w:tcW w:type="dxa" w:w="72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.612+/-.05</w:t>
                  </w:r>
                </w:p>
              </w:tc>
              <w:tc>
                <w:tcPr>
                  <w:tcW w:type="dxa" w:w="72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+11.1%</w:t>
                  </w:r>
                </w:p>
              </w:tc>
            </w:tr>
            <w:tr>
              <w:tc>
                <w:tcPr>
                  <w:tcW w:type="dxa" w:w="144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left"/>
                  </w:pPr>
                  <w:r>
                    <w:rPr>
                      <w:rFonts w:ascii="Times New Roman" w:cs="Times New Roman" w:eastAsia="Times New Roman" w:hAnsi="Times New Roman"/>
                      <w:color w:val="000000"/>
                      <w:sz w:val="18"/>
                      <w:szCs w:val="18"/>
                    </w:rPr>
                    <w:t xml:space="preserve">OVERALL</w:t>
                  </w:r>
                </w:p>
              </w:tc>
              <w:tc>
                <w:tcPr>
                  <w:tcW w:type="dxa" w:w="72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.419+/-.02</w:t>
                  </w:r>
                </w:p>
              </w:tc>
              <w:tc>
                <w:tcPr>
                  <w:tcW w:type="dxa" w:w="72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.478+/-.02</w:t>
                  </w:r>
                </w:p>
              </w:tc>
              <w:tc>
                <w:tcPr>
                  <w:tcW w:type="dxa" w:w="72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.513+/-.02</w:t>
                  </w:r>
                </w:p>
              </w:tc>
              <w:tc>
                <w:tcPr>
                  <w:tcW w:type="dxa" w:w="72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.562+/-.02</w:t>
                  </w:r>
                </w:p>
              </w:tc>
              <w:tc>
                <w:tcPr>
                  <w:tcW w:type="dxa" w:w="72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+14.3%</w:t>
                  </w:r>
                </w:p>
              </w:tc>
            </w:tr>
          </w:tbl>
          <w:p>
            <w:pPr>
              <w:spacing w:after="0" w:before="0"/>
            </w:pPr>
            <w:r>
              <w:rPr>
                <w:rFonts w:ascii="Times New Roman" w:cs="Times New Roman" w:eastAsia="Times New Roman" w:hAnsi="Times New Roman"/>
                <w:color w:val="000000"/>
                <w:sz w:val="20"/>
                <w:szCs w:val="20"/>
              </w:rPr>
              <w:t xml:space="preserve"/>
            </w:r>
          </w:p>
          <w:p>
            <w:pPr>
              <w:spacing w:after="60" w:before="0"/>
            </w:pPr>
            <w:r>
              <w:rPr>
                <w:rFonts w:ascii="Times New Roman" w:cs="Times New Roman" w:eastAsia="Times New Roman" w:hAnsi="Times New Roman"/>
                <w:b/>
                <w:bCs/>
                <w:color w:val="000000"/>
                <w:sz w:val="20"/>
                <w:szCs w:val="20"/>
              </w:rPr>
              <w:t xml:space="preserve">Table I </w:t>
            </w:r>
            <w:r>
              <w:rPr>
                <w:rFonts w:ascii="Times New Roman" w:cs="Times New Roman" w:eastAsia="Times New Roman" w:hAnsi="Times New Roman"/>
                <w:color w:val="000000"/>
                <w:sz w:val="20"/>
                <w:szCs w:val="20"/>
              </w:rPr>
              <w:t xml:space="preserve">shows primary accuracy results. C4 significantly outperforms C1 in all seven categories (all p &lt; 0.001 after Bonferroni correction). Overall gain of 14.3 percentage points represents a large effect (d = 0.82). The commonsense category shows the smallest gain (+6.0%), consistent with shared training biases reducing the benefit of model diversity on commonsense tasks.</w:t>
            </w:r>
          </w:p>
          <w:p>
            <w:pPr>
              <w:spacing w:after="60" w:before="0"/>
              <w:ind w:firstLine="360"/>
            </w:pPr>
            <w:r>
              <w:rPr>
                <w:rFonts w:ascii="Times New Roman" w:cs="Times New Roman" w:eastAsia="Times New Roman" w:hAnsi="Times New Roman"/>
                <w:color w:val="000000"/>
                <w:sz w:val="20"/>
                <w:szCs w:val="20"/>
              </w:rPr>
              <w:t xml:space="preserve">C4 significantly outperforms C2 overall (p &lt; 0.01, d = 0.48), establishing that structured debate produces gains beyond self-consistency. C4 also outperforms C3 (p &lt; 0.05, d = 0.31), confirming that information exchange -- not merely answer diversity -- drives the improvement.</w:t>
            </w:r>
          </w:p>
          <w:p>
            <w:pPr>
              <w:spacing w:after="40" w:before="80"/>
            </w:pPr>
            <w:r>
              <w:rPr>
                <w:rFonts w:ascii="Times New Roman" w:cs="Times New Roman" w:eastAsia="Times New Roman" w:hAnsi="Times New Roman"/>
                <w:b/>
                <w:bCs/>
                <w:i/>
                <w:iCs/>
                <w:color w:val="000000"/>
                <w:sz w:val="20"/>
                <w:szCs w:val="20"/>
              </w:rPr>
              <w:t xml:space="preserve">B. Complexity-Dependence Analysis</w:t>
            </w:r>
          </w:p>
          <w:p>
            <w:pPr>
              <w:spacing w:after="60" w:before="0"/>
            </w:pPr>
            <w:r>
              <w:rPr>
                <w:rFonts w:ascii="Times New Roman" w:cs="Times New Roman" w:eastAsia="Times New Roman" w:hAnsi="Times New Roman"/>
                <w:color w:val="000000"/>
                <w:sz w:val="20"/>
                <w:szCs w:val="20"/>
              </w:rPr>
              <w:t xml:space="preserve">The interaction between task difficulty and collaboration condition is strongly significant (F = 41.3, df = 2, p &lt; 0.001). The C4-C1 accuracy gap is 4.1% on easy tasks, 13.8% on medium tasks, and 28.7% on hard tasks. Post-hoc Tukey HSD confirms all three pairwise difficulty comparisons significant (p &lt; 0.001). This monotonic relationship is the central empirical result of this paper.</w:t>
            </w:r>
          </w:p>
          <w:p>
            <w:pPr>
              <w:spacing w:after="60" w:before="0"/>
              <w:ind w:firstLine="360"/>
            </w:pPr>
            <w:r>
              <w:rPr>
                <w:rFonts w:ascii="Times New Roman" w:cs="Times New Roman" w:eastAsia="Times New Roman" w:hAnsi="Times New Roman"/>
                <w:color w:val="000000"/>
                <w:sz w:val="20"/>
                <w:szCs w:val="20"/>
              </w:rPr>
              <w:t xml:space="preserve">Easy tasks are sufficiently constrained that a single model reliably produces correct answers; debate adds overhead without commensurate benefit. Hard tasks involve multiple reasoning steps where individual models make intermediate errors that peers can identify and correct. This asymmetry directly motivates the adaptive routing architecture of Paper 4.</w:t>
            </w:r>
          </w:p>
          <w:p>
            <w:pPr>
              <w:spacing w:after="40" w:before="80"/>
            </w:pPr>
            <w:r>
              <w:rPr>
                <w:rFonts w:ascii="Times New Roman" w:cs="Times New Roman" w:eastAsia="Times New Roman" w:hAnsi="Times New Roman"/>
                <w:b/>
                <w:bCs/>
                <w:i/>
                <w:iCs/>
                <w:color w:val="000000"/>
                <w:sz w:val="20"/>
                <w:szCs w:val="20"/>
              </w:rPr>
              <w:t xml:space="preserve">C. Token Efficiency</w:t>
            </w:r>
          </w:p>
          <w:p>
            <w:pPr>
              <w:spacing w:after="60" w:before="0"/>
            </w:pPr>
            <w:r>
              <w:rPr>
                <w:rFonts w:ascii="Times New Roman" w:cs="Times New Roman" w:eastAsia="Times New Roman" w:hAnsi="Times New Roman"/>
                <w:color w:val="000000"/>
                <w:sz w:val="20"/>
                <w:szCs w:val="20"/>
              </w:rPr>
              <w:t xml:space="preserve">On hard tasks, C4 consumes 8.0x more tokens than C1 but achieves 28.7% higher accuracy, yielding a quality-per-token improvement ratio of 3.59% per 1,000 tokens versus 1.24% for C1. C4 is Pareto-dominant over C1, C2, and C3 on hard tasks. On easy tasks, C2 achieves comparable accuracy to C4 at one-third the cost, making self-consistency the cost-efficient choice for simple tasks.</w:t>
            </w:r>
          </w:p>
          <w:p>
            <w:pPr>
              <w:spacing w:after="40" w:before="80"/>
            </w:pPr>
            <w:r>
              <w:rPr>
                <w:rFonts w:ascii="Times New Roman" w:cs="Times New Roman" w:eastAsia="Times New Roman" w:hAnsi="Times New Roman"/>
                <w:b/>
                <w:bCs/>
                <w:i/>
                <w:iCs/>
                <w:color w:val="000000"/>
                <w:sz w:val="20"/>
                <w:szCs w:val="20"/>
              </w:rPr>
              <w:t xml:space="preserve">D. Failure Mode Analysis</w:t>
            </w:r>
          </w:p>
          <w:p>
            <w:pPr>
              <w:spacing w:after="50" w:before="100"/>
              <w:jc w:val="center"/>
            </w:pPr>
            <w:r>
              <w:rPr>
                <w:rFonts w:ascii="Times New Roman" w:cs="Times New Roman" w:eastAsia="Times New Roman" w:hAnsi="Times New Roman"/>
                <w:b/>
                <w:bCs/>
                <w:caps/>
                <w:color w:val="000000"/>
                <w:sz w:val="18"/>
                <w:szCs w:val="18"/>
              </w:rPr>
              <w:t xml:space="preserve">TABLE II </w:t>
            </w:r>
            <w:r>
              <w:rPr>
                <w:rFonts w:ascii="Times New Roman" w:cs="Times New Roman" w:eastAsia="Times New Roman" w:hAnsi="Times New Roman"/>
                <w:b/>
                <w:bCs/>
                <w:color w:val="000000"/>
                <w:sz w:val="18"/>
                <w:szCs w:val="18"/>
              </w:rPr>
              <w:t xml:space="preserve">Failure Mode Distribution by Condition (%)</w:t>
            </w:r>
          </w:p>
          <w:tbl>
            <w:tblPr>
              <w:tblW w:type="dxa" w:w="51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900"/>
              <w:gridCol w:w="900"/>
            </w:tblGrid>
            <w:tr>
              <w:tc>
                <w:tcPr>
                  <w:tcW w:type="dxa" w:w="1500"/>
                  <w:tcBorders>
                    <w:top w:val="single" w:color="000000" w:sz="4"/>
                    <w:left w:val="single" w:color="000000" w:sz="4"/>
                    <w:bottom w:val="single" w:color="000000" w:sz="4"/>
                    <w:right w:val="single" w:color="000000" w:sz="4"/>
                  </w:tcBorders>
                  <w:shd w:fill="DDDDDD" w:val="clear"/>
                  <w:tcMar>
                    <w:top w:type="dxa" w:w="40"/>
                    <w:left w:type="dxa" w:w="80"/>
                    <w:bottom w:type="dxa" w:w="40"/>
                    <w:right w:type="dxa" w:w="80"/>
                  </w:tcMar>
                </w:tcPr>
                <w:p>
                  <w:pPr>
                    <w:jc w:val="center"/>
                  </w:pPr>
                  <w:r>
                    <w:rPr>
                      <w:rFonts w:ascii="Times New Roman" w:cs="Times New Roman" w:eastAsia="Times New Roman" w:hAnsi="Times New Roman"/>
                      <w:b/>
                      <w:bCs/>
                      <w:color w:val="000000"/>
                      <w:sz w:val="18"/>
                      <w:szCs w:val="18"/>
                    </w:rPr>
                    <w:t xml:space="preserve">Failure Type</w:t>
                  </w:r>
                </w:p>
              </w:tc>
              <w:tc>
                <w:tcPr>
                  <w:tcW w:type="dxa" w:w="900"/>
                  <w:tcBorders>
                    <w:top w:val="single" w:color="000000" w:sz="4"/>
                    <w:left w:val="single" w:color="000000" w:sz="4"/>
                    <w:bottom w:val="single" w:color="000000" w:sz="4"/>
                    <w:right w:val="single" w:color="000000" w:sz="4"/>
                  </w:tcBorders>
                  <w:shd w:fill="DDDDDD" w:val="clear"/>
                  <w:tcMar>
                    <w:top w:type="dxa" w:w="40"/>
                    <w:left w:type="dxa" w:w="80"/>
                    <w:bottom w:type="dxa" w:w="40"/>
                    <w:right w:type="dxa" w:w="80"/>
                  </w:tcMar>
                </w:tcPr>
                <w:p>
                  <w:pPr>
                    <w:jc w:val="center"/>
                  </w:pPr>
                  <w:r>
                    <w:rPr>
                      <w:rFonts w:ascii="Times New Roman" w:cs="Times New Roman" w:eastAsia="Times New Roman" w:hAnsi="Times New Roman"/>
                      <w:b/>
                      <w:bCs/>
                      <w:color w:val="000000"/>
                      <w:sz w:val="18"/>
                      <w:szCs w:val="18"/>
                    </w:rPr>
                    <w:t xml:space="preserve">C1</w:t>
                  </w:r>
                </w:p>
              </w:tc>
              <w:tc>
                <w:tcPr>
                  <w:tcW w:type="dxa" w:w="900"/>
                  <w:tcBorders>
                    <w:top w:val="single" w:color="000000" w:sz="4"/>
                    <w:left w:val="single" w:color="000000" w:sz="4"/>
                    <w:bottom w:val="single" w:color="000000" w:sz="4"/>
                    <w:right w:val="single" w:color="000000" w:sz="4"/>
                  </w:tcBorders>
                  <w:shd w:fill="DDDDDD" w:val="clear"/>
                  <w:tcMar>
                    <w:top w:type="dxa" w:w="40"/>
                    <w:left w:type="dxa" w:w="80"/>
                    <w:bottom w:type="dxa" w:w="40"/>
                    <w:right w:type="dxa" w:w="80"/>
                  </w:tcMar>
                </w:tcPr>
                <w:p>
                  <w:pPr>
                    <w:jc w:val="center"/>
                  </w:pPr>
                  <w:r>
                    <w:rPr>
                      <w:rFonts w:ascii="Times New Roman" w:cs="Times New Roman" w:eastAsia="Times New Roman" w:hAnsi="Times New Roman"/>
                      <w:b/>
                      <w:bCs/>
                      <w:color w:val="000000"/>
                      <w:sz w:val="18"/>
                      <w:szCs w:val="18"/>
                    </w:rPr>
                    <w:t xml:space="preserve">C2</w:t>
                  </w:r>
                </w:p>
              </w:tc>
              <w:tc>
                <w:tcPr>
                  <w:tcW w:type="dxa" w:w="900"/>
                  <w:tcBorders>
                    <w:top w:val="single" w:color="000000" w:sz="4"/>
                    <w:left w:val="single" w:color="000000" w:sz="4"/>
                    <w:bottom w:val="single" w:color="000000" w:sz="4"/>
                    <w:right w:val="single" w:color="000000" w:sz="4"/>
                  </w:tcBorders>
                  <w:shd w:fill="DDDDDD" w:val="clear"/>
                  <w:tcMar>
                    <w:top w:type="dxa" w:w="40"/>
                    <w:left w:type="dxa" w:w="80"/>
                    <w:bottom w:type="dxa" w:w="40"/>
                    <w:right w:type="dxa" w:w="80"/>
                  </w:tcMar>
                </w:tcPr>
                <w:p>
                  <w:pPr>
                    <w:jc w:val="center"/>
                  </w:pPr>
                  <w:r>
                    <w:rPr>
                      <w:rFonts w:ascii="Times New Roman" w:cs="Times New Roman" w:eastAsia="Times New Roman" w:hAnsi="Times New Roman"/>
                      <w:b/>
                      <w:bCs/>
                      <w:color w:val="000000"/>
                      <w:sz w:val="18"/>
                      <w:szCs w:val="18"/>
                    </w:rPr>
                    <w:t xml:space="preserve">C3</w:t>
                  </w:r>
                </w:p>
              </w:tc>
              <w:tc>
                <w:tcPr>
                  <w:tcW w:type="dxa" w:w="900"/>
                  <w:tcBorders>
                    <w:top w:val="single" w:color="000000" w:sz="4"/>
                    <w:left w:val="single" w:color="000000" w:sz="4"/>
                    <w:bottom w:val="single" w:color="000000" w:sz="4"/>
                    <w:right w:val="single" w:color="000000" w:sz="4"/>
                  </w:tcBorders>
                  <w:shd w:fill="DDDDDD" w:val="clear"/>
                  <w:tcMar>
                    <w:top w:type="dxa" w:w="40"/>
                    <w:left w:type="dxa" w:w="80"/>
                    <w:bottom w:type="dxa" w:w="40"/>
                    <w:right w:type="dxa" w:w="80"/>
                  </w:tcMar>
                </w:tcPr>
                <w:p>
                  <w:pPr>
                    <w:jc w:val="center"/>
                  </w:pPr>
                  <w:r>
                    <w:rPr>
                      <w:rFonts w:ascii="Times New Roman" w:cs="Times New Roman" w:eastAsia="Times New Roman" w:hAnsi="Times New Roman"/>
                      <w:b/>
                      <w:bCs/>
                      <w:color w:val="000000"/>
                      <w:sz w:val="18"/>
                      <w:szCs w:val="18"/>
                    </w:rPr>
                    <w:t xml:space="preserve">C4</w:t>
                  </w:r>
                </w:p>
              </w:tc>
            </w:tr>
            <w:tr>
              <w:tc>
                <w:tcPr>
                  <w:tcW w:type="dxa" w:w="150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left"/>
                  </w:pPr>
                  <w:r>
                    <w:rPr>
                      <w:rFonts w:ascii="Times New Roman" w:cs="Times New Roman" w:eastAsia="Times New Roman" w:hAnsi="Times New Roman"/>
                      <w:color w:val="000000"/>
                      <w:sz w:val="18"/>
                      <w:szCs w:val="18"/>
                    </w:rPr>
                    <w:t xml:space="preserve">Reasoning error</w:t>
                  </w:r>
                </w:p>
              </w:tc>
              <w:tc>
                <w:tcPr>
                  <w:tcW w:type="dxa" w:w="90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41.2</w:t>
                  </w:r>
                </w:p>
              </w:tc>
              <w:tc>
                <w:tcPr>
                  <w:tcW w:type="dxa" w:w="90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35.1</w:t>
                  </w:r>
                </w:p>
              </w:tc>
              <w:tc>
                <w:tcPr>
                  <w:tcW w:type="dxa" w:w="90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31.4</w:t>
                  </w:r>
                </w:p>
              </w:tc>
              <w:tc>
                <w:tcPr>
                  <w:tcW w:type="dxa" w:w="90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28.3</w:t>
                  </w:r>
                </w:p>
              </w:tc>
            </w:tr>
            <w:tr>
              <w:tc>
                <w:tcPr>
                  <w:tcW w:type="dxa" w:w="150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left"/>
                  </w:pPr>
                  <w:r>
                    <w:rPr>
                      <w:rFonts w:ascii="Times New Roman" w:cs="Times New Roman" w:eastAsia="Times New Roman" w:hAnsi="Times New Roman"/>
                      <w:color w:val="000000"/>
                      <w:sz w:val="18"/>
                      <w:szCs w:val="18"/>
                    </w:rPr>
                    <w:t xml:space="preserve">Factual error</w:t>
                  </w:r>
                </w:p>
              </w:tc>
              <w:tc>
                <w:tcPr>
                  <w:tcW w:type="dxa" w:w="90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24.6</w:t>
                  </w:r>
                </w:p>
              </w:tc>
              <w:tc>
                <w:tcPr>
                  <w:tcW w:type="dxa" w:w="90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23.1</w:t>
                  </w:r>
                </w:p>
              </w:tc>
              <w:tc>
                <w:tcPr>
                  <w:tcW w:type="dxa" w:w="90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22.8</w:t>
                  </w:r>
                </w:p>
              </w:tc>
              <w:tc>
                <w:tcPr>
                  <w:tcW w:type="dxa" w:w="90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22.5</w:t>
                  </w:r>
                </w:p>
              </w:tc>
            </w:tr>
            <w:tr>
              <w:tc>
                <w:tcPr>
                  <w:tcW w:type="dxa" w:w="150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left"/>
                  </w:pPr>
                  <w:r>
                    <w:rPr>
                      <w:rFonts w:ascii="Times New Roman" w:cs="Times New Roman" w:eastAsia="Times New Roman" w:hAnsi="Times New Roman"/>
                      <w:color w:val="000000"/>
                      <w:sz w:val="18"/>
                      <w:szCs w:val="18"/>
                    </w:rPr>
                    <w:t xml:space="preserve">Hallucination</w:t>
                  </w:r>
                </w:p>
              </w:tc>
              <w:tc>
                <w:tcPr>
                  <w:tcW w:type="dxa" w:w="90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18.9</w:t>
                  </w:r>
                </w:p>
              </w:tc>
              <w:tc>
                <w:tcPr>
                  <w:tcW w:type="dxa" w:w="90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16.4</w:t>
                  </w:r>
                </w:p>
              </w:tc>
              <w:tc>
                <w:tcPr>
                  <w:tcW w:type="dxa" w:w="90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14.1</w:t>
                  </w:r>
                </w:p>
              </w:tc>
              <w:tc>
                <w:tcPr>
                  <w:tcW w:type="dxa" w:w="900"/>
                  <w:tcBorders>
                    <w:top w:val="single" w:color="999999" w:sz="1"/>
                    <w:left w:val="single" w:color="999999" w:sz="1"/>
                    <w:bottom w:val="single" w:color="999999" w:sz="1"/>
                    <w:right w:val="single" w:color="999999" w:sz="1"/>
                  </w:tcBorders>
                  <w:shd w:fill="FFFFFF"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11.7</w:t>
                  </w:r>
                </w:p>
              </w:tc>
            </w:tr>
            <w:tr>
              <w:tc>
                <w:tcPr>
                  <w:tcW w:type="dxa" w:w="150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left"/>
                  </w:pPr>
                  <w:r>
                    <w:rPr>
                      <w:rFonts w:ascii="Times New Roman" w:cs="Times New Roman" w:eastAsia="Times New Roman" w:hAnsi="Times New Roman"/>
                      <w:color w:val="000000"/>
                      <w:sz w:val="18"/>
                      <w:szCs w:val="18"/>
                    </w:rPr>
                    <w:t xml:space="preserve">Incomplete</w:t>
                  </w:r>
                </w:p>
              </w:tc>
              <w:tc>
                <w:tcPr>
                  <w:tcW w:type="dxa" w:w="90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15.3</w:t>
                  </w:r>
                </w:p>
              </w:tc>
              <w:tc>
                <w:tcPr>
                  <w:tcW w:type="dxa" w:w="90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12.7</w:t>
                  </w:r>
                </w:p>
              </w:tc>
              <w:tc>
                <w:tcPr>
                  <w:tcW w:type="dxa" w:w="90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 9.4</w:t>
                  </w:r>
                </w:p>
              </w:tc>
              <w:tc>
                <w:tcPr>
                  <w:tcW w:type="dxa" w:w="900"/>
                  <w:tcBorders>
                    <w:top w:val="single" w:color="999999" w:sz="1"/>
                    <w:left w:val="single" w:color="999999" w:sz="1"/>
                    <w:bottom w:val="single" w:color="999999" w:sz="1"/>
                    <w:right w:val="single" w:color="999999" w:sz="1"/>
                  </w:tcBorders>
                  <w:shd w:fill="F5F5F5" w:val="clear"/>
                  <w:tcMar>
                    <w:top w:type="dxa" w:w="30"/>
                    <w:left w:type="dxa" w:w="80"/>
                    <w:bottom w:type="dxa" w:w="30"/>
                    <w:right w:type="dxa" w:w="80"/>
                  </w:tcMar>
                </w:tcPr>
                <w:p>
                  <w:pPr>
                    <w:jc w:val="center"/>
                  </w:pPr>
                  <w:r>
                    <w:rPr>
                      <w:rFonts w:ascii="Times New Roman" w:cs="Times New Roman" w:eastAsia="Times New Roman" w:hAnsi="Times New Roman"/>
                      <w:color w:val="000000"/>
                      <w:sz w:val="18"/>
                      <w:szCs w:val="18"/>
                    </w:rPr>
                    <w:t xml:space="preserve"> 6.8</w:t>
                  </w:r>
                </w:p>
              </w:tc>
            </w:tr>
          </w:tbl>
          <w:p>
            <w:pPr>
              <w:spacing w:after="0" w:before="0"/>
            </w:pPr>
            <w:r>
              <w:rPr>
                <w:rFonts w:ascii="Times New Roman" w:cs="Times New Roman" w:eastAsia="Times New Roman" w:hAnsi="Times New Roman"/>
                <w:color w:val="000000"/>
                <w:sz w:val="20"/>
                <w:szCs w:val="20"/>
              </w:rPr>
              <w:t xml:space="preserve"/>
            </w:r>
          </w:p>
          <w:p>
            <w:pPr>
              <w:spacing w:after="60" w:before="0"/>
            </w:pPr>
            <w:r>
              <w:rPr>
                <w:rFonts w:ascii="Times New Roman" w:cs="Times New Roman" w:eastAsia="Times New Roman" w:hAnsi="Times New Roman"/>
                <w:color w:val="000000"/>
                <w:sz w:val="20"/>
                <w:szCs w:val="20"/>
              </w:rPr>
              <w:t xml:space="preserve">Multi-agent debate preferentially reduces reasoning errors (C1: 41.2% to C4: 28.3%, -31.4% relative) over factual errors (C1: 24.6% to C4: 22.5%, -8.5% relative). Agents can identify and correct each other's logical errors through shared reasoning traces, but cannot supply factual knowledge absent from all agents' training data. This asymmetry suggests debate is complementary to retrieval-augmented generation (RAG): debate reduces reasoning errors; RAG reduces factual errors.</w:t>
            </w:r>
          </w:p>
          <w:p>
            <w:pPr>
              <w:spacing w:after="40" w:before="80"/>
            </w:pPr>
            <w:r>
              <w:rPr>
                <w:rFonts w:ascii="Times New Roman" w:cs="Times New Roman" w:eastAsia="Times New Roman" w:hAnsi="Times New Roman"/>
                <w:b/>
                <w:bCs/>
                <w:i/>
                <w:iCs/>
                <w:color w:val="000000"/>
                <w:sz w:val="20"/>
                <w:szCs w:val="20"/>
              </w:rPr>
              <w:t xml:space="preserve">E. Model Contribution Analysis</w:t>
            </w:r>
          </w:p>
          <w:p>
            <w:pPr>
              <w:spacing w:after="60" w:before="0"/>
            </w:pPr>
            <w:r>
              <w:rPr>
                <w:rFonts w:ascii="Times New Roman" w:cs="Times New Roman" w:eastAsia="Times New Roman" w:hAnsi="Times New Roman"/>
                <w:color w:val="000000"/>
                <w:sz w:val="20"/>
                <w:szCs w:val="20"/>
              </w:rPr>
              <w:t xml:space="preserve">Within C4 debate, DeepSeek V4 Pro accounts for 34.2% of majority-vote winning responses, with particular strength in coding (48.1%) and mathematics (41.7%). Gemma 4 31B leads on logical reasoning (38.4%) and scientific reasoning (36.9%). No model dominates commonsense tasks (contributions range 21-27%), consistent with shared biases. Answer change rate in C4 averages 43.7%; agents who revise their answers are correct 71.3% of the time versus 58.9% for those maintaining their initial response.</w:t>
            </w:r>
          </w:p>
          <w:p>
            <w:pPr>
              <w:spacing w:after="0" w:before="0"/>
            </w:pPr>
            <w:r>
              <w:rPr>
                <w:rFonts w:ascii="Times New Roman" w:cs="Times New Roman" w:eastAsia="Times New Roman" w:hAnsi="Times New Roman"/>
                <w:color w:val="000000"/>
                <w:sz w:val="20"/>
                <w:szCs w:val="20"/>
              </w:rPr>
              <w:t xml:space="preserve"/>
            </w:r>
          </w:p>
          <w:p>
            <w:pPr>
              <w:spacing w:after="60" w:before="140"/>
            </w:pPr>
            <w:r>
              <w:rPr>
                <w:rFonts w:ascii="Times New Roman" w:cs="Times New Roman" w:eastAsia="Times New Roman" w:hAnsi="Times New Roman"/>
                <w:b/>
                <w:bCs/>
                <w:color w:val="000000"/>
                <w:sz w:val="20"/>
                <w:szCs w:val="20"/>
              </w:rPr>
              <w:t xml:space="preserve">V. </w:t>
            </w:r>
            <w:r>
              <w:rPr>
                <w:rFonts w:ascii="Times New Roman" w:cs="Times New Roman" w:eastAsia="Times New Roman" w:hAnsi="Times New Roman"/>
                <w:b/>
                <w:bCs/>
                <w:caps/>
                <w:color w:val="000000"/>
                <w:sz w:val="20"/>
                <w:szCs w:val="20"/>
              </w:rPr>
              <w:t xml:space="preserve">Discussion</w:t>
            </w:r>
          </w:p>
          <w:p>
            <w:pPr>
              <w:spacing w:after="40" w:before="80"/>
            </w:pPr>
            <w:r>
              <w:rPr>
                <w:rFonts w:ascii="Times New Roman" w:cs="Times New Roman" w:eastAsia="Times New Roman" w:hAnsi="Times New Roman"/>
                <w:b/>
                <w:bCs/>
                <w:i/>
                <w:iCs/>
                <w:color w:val="000000"/>
                <w:sz w:val="20"/>
                <w:szCs w:val="20"/>
              </w:rPr>
              <w:t xml:space="preserve">A. Error-Propagation Model</w:t>
            </w:r>
          </w:p>
          <w:p>
            <w:pPr>
              <w:spacing w:after="60" w:before="0"/>
            </w:pPr>
            <w:r>
              <w:rPr>
                <w:rFonts w:ascii="Times New Roman" w:cs="Times New Roman" w:eastAsia="Times New Roman" w:hAnsi="Times New Roman"/>
                <w:color w:val="000000"/>
                <w:sz w:val="20"/>
                <w:szCs w:val="20"/>
              </w:rPr>
              <w:t xml:space="preserve">The complexity-dependence finding is consistent with an error-propagation account of reasoning. Hard tasks require multiple sequential steps; an error at any step propagates to the final answer. For a single model with per-step error rate epsilon, a k-step task achieves final accuracy approximately (1 - epsilon)^k, decreasing rapidly with k. Multi-agent debate provides an independent check at the aggregate level: if three of four agents traverse the correct reasoning path, the majority vote is correct even if one agent fails at an intermediate step. As k increases, the probability that all agents fail at the same step decreases (assuming imperfectly correlated errors), so the multi-agent advantage grows.</w:t>
            </w:r>
          </w:p>
          <w:p>
            <w:pPr>
              <w:spacing w:after="40" w:before="80"/>
            </w:pPr>
            <w:r>
              <w:rPr>
                <w:rFonts w:ascii="Times New Roman" w:cs="Times New Roman" w:eastAsia="Times New Roman" w:hAnsi="Times New Roman"/>
                <w:b/>
                <w:bCs/>
                <w:i/>
                <w:iCs/>
                <w:color w:val="000000"/>
                <w:sz w:val="20"/>
                <w:szCs w:val="20"/>
              </w:rPr>
              <w:t xml:space="preserve">B. Limitations</w:t>
            </w:r>
          </w:p>
          <w:p>
            <w:pPr>
              <w:spacing w:after="60" w:before="0"/>
            </w:pPr>
            <w:r>
              <w:rPr>
                <w:rFonts w:ascii="Times New Roman" w:cs="Times New Roman" w:eastAsia="Times New Roman" w:hAnsi="Times New Roman"/>
                <w:color w:val="000000"/>
                <w:sz w:val="20"/>
                <w:szCs w:val="20"/>
              </w:rPr>
              <w:t xml:space="preserve">This study has several limitations. First, we use four open-weight models only; frontier models (Claude Opus 4.7, GPT-5) may show different relative gains. Second, all tasks and models operate in English; multilingual performance is not evaluated. Third, the open-ended category relies on LLM-as-judge evaluation. Fourth, we evaluate a single debate round; multiple rounds may produce further gains at additional cost. Fifth, our 140-task dataset, while sufficient for statistical significance at observed effect sizes, is not exhaustive of all possible task configurations.</w:t>
            </w:r>
          </w:p>
          <w:p>
            <w:pPr>
              <w:spacing w:after="0" w:before="0"/>
            </w:pPr>
            <w:r>
              <w:rPr>
                <w:rFonts w:ascii="Times New Roman" w:cs="Times New Roman" w:eastAsia="Times New Roman" w:hAnsi="Times New Roman"/>
                <w:color w:val="000000"/>
                <w:sz w:val="20"/>
                <w:szCs w:val="20"/>
              </w:rPr>
              <w:t xml:space="preserve"/>
            </w:r>
          </w:p>
          <w:p>
            <w:pPr>
              <w:spacing w:after="60" w:before="140"/>
            </w:pPr>
            <w:r>
              <w:rPr>
                <w:rFonts w:ascii="Times New Roman" w:cs="Times New Roman" w:eastAsia="Times New Roman" w:hAnsi="Times New Roman"/>
                <w:b/>
                <w:bCs/>
                <w:color w:val="000000"/>
                <w:sz w:val="20"/>
                <w:szCs w:val="20"/>
              </w:rPr>
              <w:t xml:space="preserve">VI. </w:t>
            </w:r>
            <w:r>
              <w:rPr>
                <w:rFonts w:ascii="Times New Roman" w:cs="Times New Roman" w:eastAsia="Times New Roman" w:hAnsi="Times New Roman"/>
                <w:b/>
                <w:bCs/>
                <w:caps/>
                <w:color w:val="000000"/>
                <w:sz w:val="20"/>
                <w:szCs w:val="20"/>
              </w:rPr>
              <w:t xml:space="preserve">Conclusion</w:t>
            </w:r>
          </w:p>
          <w:p>
            <w:pPr>
              <w:spacing w:after="60" w:before="0"/>
            </w:pPr>
            <w:r>
              <w:rPr>
                <w:rFonts w:ascii="Times New Roman" w:cs="Times New Roman" w:eastAsia="Times New Roman" w:hAnsi="Times New Roman"/>
                <w:color w:val="000000"/>
                <w:sz w:val="20"/>
                <w:szCs w:val="20"/>
              </w:rPr>
              <w:t xml:space="preserve">We have presented the first systematic empirical study comparing single-model and multi-agent LLM collaboration across a broad seven-category task taxonomy. Main findings: (1) multi-agent debate (C4) outperforms single-model inference (C1) by 14.3 percentage points overall (d = 0.82); (2) the advantage grows from 4.1% on easy to 28.7% on hard tasks; (3) debate outperforms self-consistency by 8.6%, confirming information exchange drives the improvement; (4) debate preferentially reduces reasoning errors over factual errors, identifying error correction as the primary mechanism; (5) emergent specialisation within the agent cohort amplifies collaborative benefit.</w:t>
            </w:r>
          </w:p>
          <w:p>
            <w:pPr>
              <w:spacing w:after="60" w:before="0"/>
              <w:ind w:firstLine="360"/>
            </w:pPr>
            <w:r>
              <w:rPr>
                <w:rFonts w:ascii="Times New Roman" w:cs="Times New Roman" w:eastAsia="Times New Roman" w:hAnsi="Times New Roman"/>
                <w:color w:val="000000"/>
                <w:sz w:val="20"/>
                <w:szCs w:val="20"/>
              </w:rPr>
              <w:t xml:space="preserve">These findings establish the empirical foundation for three follow-on contributions. Paper 2 introduces competitive task decomposition (agents propose, rate, and compete at every recursive node). Paper 3 isolates inter-agent interrogation as the primary knowledge accumulation mechanism. Paper 4 demonstrates adaptive complexity routing achieves C4 quality at 62% lower token cost by selectively activating debate only for hard tasks.</w:t>
            </w:r>
          </w:p>
          <w:p>
            <w:pPr>
              <w:spacing w:after="0" w:before="0"/>
            </w:pPr>
            <w:r>
              <w:rPr>
                <w:rFonts w:ascii="Times New Roman" w:cs="Times New Roman" w:eastAsia="Times New Roman" w:hAnsi="Times New Roman"/>
                <w:color w:val="000000"/>
                <w:sz w:val="20"/>
                <w:szCs w:val="20"/>
              </w:rPr>
              <w:t xml:space="preserve"/>
            </w:r>
          </w:p>
          <w:p>
            <w:pPr>
              <w:spacing w:after="60" w:before="140"/>
            </w:pPr>
            <w:r>
              <w:rPr>
                <w:rFonts w:ascii="Times New Roman" w:cs="Times New Roman" w:eastAsia="Times New Roman" w:hAnsi="Times New Roman"/>
                <w:b/>
                <w:bCs/>
                <w:color w:val="000000"/>
                <w:sz w:val="20"/>
                <w:szCs w:val="20"/>
              </w:rPr>
              <w:t xml:space="preserve"/>
            </w:r>
            <w:r>
              <w:rPr>
                <w:rFonts w:ascii="Times New Roman" w:cs="Times New Roman" w:eastAsia="Times New Roman" w:hAnsi="Times New Roman"/>
                <w:b/>
                <w:bCs/>
                <w:caps/>
                <w:color w:val="000000"/>
                <w:sz w:val="20"/>
                <w:szCs w:val="20"/>
              </w:rPr>
              <w:t xml:space="preserve">References</w:t>
            </w:r>
          </w:p>
          <w:p>
            <w:pPr>
              <w:spacing w:after="30" w:before="0"/>
              <w:ind w:left="360" w:hanging="360"/>
            </w:pPr>
            <w:r>
              <w:rPr>
                <w:rFonts w:ascii="Times New Roman" w:cs="Times New Roman" w:eastAsia="Times New Roman" w:hAnsi="Times New Roman"/>
                <w:color w:val="000000"/>
                <w:sz w:val="18"/>
                <w:szCs w:val="18"/>
              </w:rPr>
              <w:t xml:space="preserve">[1] Q. Chen et al., MetaGPT: Meta programming for a multi-agent collaborative framework, in Proc. ICLR, 2024.</w:t>
            </w:r>
          </w:p>
          <w:p>
            <w:pPr>
              <w:spacing w:after="30" w:before="0"/>
              <w:ind w:left="360" w:hanging="360"/>
            </w:pPr>
            <w:r>
              <w:rPr>
                <w:rFonts w:ascii="Times New Roman" w:cs="Times New Roman" w:eastAsia="Times New Roman" w:hAnsi="Times New Roman"/>
                <w:color w:val="000000"/>
                <w:sz w:val="18"/>
                <w:szCs w:val="18"/>
              </w:rPr>
              <w:t xml:space="preserve">[2] C. Qian et al., Communicative agents for software development, in Proc. ACL, 2024.</w:t>
            </w:r>
          </w:p>
          <w:p>
            <w:pPr>
              <w:spacing w:after="30" w:before="0"/>
              <w:ind w:left="360" w:hanging="360"/>
            </w:pPr>
            <w:r>
              <w:rPr>
                <w:rFonts w:ascii="Times New Roman" w:cs="Times New Roman" w:eastAsia="Times New Roman" w:hAnsi="Times New Roman"/>
                <w:color w:val="000000"/>
                <w:sz w:val="18"/>
                <w:szCs w:val="18"/>
              </w:rPr>
              <w:t xml:space="preserve">[3] Q. Wu et al., AutoGen: Enabling next-gen LLM applications via multi-agent conversation, arXiv:2308.08155, 2023.</w:t>
            </w:r>
          </w:p>
          <w:p>
            <w:pPr>
              <w:spacing w:after="30" w:before="0"/>
              <w:ind w:left="360" w:hanging="360"/>
            </w:pPr>
            <w:r>
              <w:rPr>
                <w:rFonts w:ascii="Times New Roman" w:cs="Times New Roman" w:eastAsia="Times New Roman" w:hAnsi="Times New Roman"/>
                <w:color w:val="000000"/>
                <w:sz w:val="18"/>
                <w:szCs w:val="18"/>
              </w:rPr>
              <w:t xml:space="preserve">[4] X. Wang et al., Self-consistency improves chain of thought reasoning in language models, in Proc. ICLR, 2023.</w:t>
            </w:r>
          </w:p>
          <w:p>
            <w:pPr>
              <w:spacing w:after="30" w:before="0"/>
              <w:ind w:left="360" w:hanging="360"/>
            </w:pPr>
            <w:r>
              <w:rPr>
                <w:rFonts w:ascii="Times New Roman" w:cs="Times New Roman" w:eastAsia="Times New Roman" w:hAnsi="Times New Roman"/>
                <w:color w:val="000000"/>
                <w:sz w:val="18"/>
                <w:szCs w:val="18"/>
              </w:rPr>
              <w:t xml:space="preserve">[5] Z. Jin et al., AgentReview: Exploring peer review dynamics with LLM agents, in Proc. EMNLP, 2024.</w:t>
            </w:r>
          </w:p>
          <w:p>
            <w:pPr>
              <w:spacing w:after="30" w:before="0"/>
              <w:ind w:left="360" w:hanging="360"/>
            </w:pPr>
            <w:r>
              <w:rPr>
                <w:rFonts w:ascii="Times New Roman" w:cs="Times New Roman" w:eastAsia="Times New Roman" w:hAnsi="Times New Roman"/>
                <w:color w:val="000000"/>
                <w:sz w:val="18"/>
                <w:szCs w:val="18"/>
              </w:rPr>
              <w:t xml:space="preserve">[6] X. Wang et al., Unleashing the emergent cognitive synergy in LLMs, arXiv:2307.05300, 2023.</w:t>
            </w:r>
          </w:p>
          <w:p>
            <w:pPr>
              <w:spacing w:after="30" w:before="0"/>
              <w:ind w:left="360" w:hanging="360"/>
            </w:pPr>
            <w:r>
              <w:rPr>
                <w:rFonts w:ascii="Times New Roman" w:cs="Times New Roman" w:eastAsia="Times New Roman" w:hAnsi="Times New Roman"/>
                <w:color w:val="000000"/>
                <w:sz w:val="18"/>
                <w:szCs w:val="18"/>
              </w:rPr>
              <w:t xml:space="preserve">[7] Y. Du et al., Improving factuality and reasoning in LLMs through multiagent debate, in Proc. ICML, 2023.</w:t>
            </w:r>
          </w:p>
          <w:p>
            <w:pPr>
              <w:spacing w:after="30" w:before="0"/>
              <w:ind w:left="360" w:hanging="360"/>
            </w:pPr>
            <w:r>
              <w:rPr>
                <w:rFonts w:ascii="Times New Roman" w:cs="Times New Roman" w:eastAsia="Times New Roman" w:hAnsi="Times New Roman"/>
                <w:color w:val="000000"/>
                <w:sz w:val="18"/>
                <w:szCs w:val="18"/>
              </w:rPr>
              <w:t xml:space="preserve">[8] T. Liang et al., Encouraging divergent thinking in LLMs through multi-agent debate, arXiv:2305.19118, 2023.</w:t>
            </w:r>
          </w:p>
          <w:p>
            <w:pPr>
              <w:spacing w:after="30" w:before="0"/>
              <w:ind w:left="360" w:hanging="360"/>
            </w:pPr>
            <w:r>
              <w:rPr>
                <w:rFonts w:ascii="Times New Roman" w:cs="Times New Roman" w:eastAsia="Times New Roman" w:hAnsi="Times New Roman"/>
                <w:color w:val="000000"/>
                <w:sz w:val="18"/>
                <w:szCs w:val="18"/>
              </w:rPr>
              <w:t xml:space="preserve">[9] Z. Jin et al., Pairwise comparisons for LLM-based peer review, in Proc. NeurIPS, 2025.</w:t>
            </w:r>
          </w:p>
          <w:p>
            <w:pPr>
              <w:spacing w:after="30" w:before="0"/>
              <w:ind w:left="360" w:hanging="360"/>
            </w:pPr>
            <w:r>
              <w:rPr>
                <w:rFonts w:ascii="Times New Roman" w:cs="Times New Roman" w:eastAsia="Times New Roman" w:hAnsi="Times New Roman"/>
                <w:color w:val="000000"/>
                <w:sz w:val="18"/>
                <w:szCs w:val="18"/>
              </w:rPr>
              <w:t xml:space="preserve">[10] P. Liang et al., Holistic evaluation of language models, TMLR, 2022.</w:t>
            </w:r>
          </w:p>
          <w:p>
            <w:pPr>
              <w:spacing w:after="30" w:before="0"/>
              <w:ind w:left="360" w:hanging="360"/>
            </w:pPr>
            <w:r>
              <w:rPr>
                <w:rFonts w:ascii="Times New Roman" w:cs="Times New Roman" w:eastAsia="Times New Roman" w:hAnsi="Times New Roman"/>
                <w:color w:val="000000"/>
                <w:sz w:val="18"/>
                <w:szCs w:val="18"/>
              </w:rPr>
              <w:t xml:space="preserve">[11] H. Liu et al., LogiQA: A challenge dataset for machine reading comprehension with logical reasoning, in Proc. IJCAI, 2020.</w:t>
            </w:r>
          </w:p>
          <w:p>
            <w:pPr>
              <w:spacing w:after="30" w:before="0"/>
              <w:ind w:left="360" w:hanging="360"/>
            </w:pPr>
            <w:r>
              <w:rPr>
                <w:rFonts w:ascii="Times New Roman" w:cs="Times New Roman" w:eastAsia="Times New Roman" w:hAnsi="Times New Roman"/>
                <w:color w:val="000000"/>
                <w:sz w:val="18"/>
                <w:szCs w:val="18"/>
              </w:rPr>
              <w:t xml:space="preserve">[12] P. Clark et al., Transformers as soft reasoners over language, arXiv:2002.05867, 2021.</w:t>
            </w:r>
          </w:p>
          <w:p>
            <w:pPr>
              <w:spacing w:after="30" w:before="0"/>
              <w:ind w:left="360" w:hanging="360"/>
            </w:pPr>
            <w:r>
              <w:rPr>
                <w:rFonts w:ascii="Times New Roman" w:cs="Times New Roman" w:eastAsia="Times New Roman" w:hAnsi="Times New Roman"/>
                <w:color w:val="000000"/>
                <w:sz w:val="18"/>
                <w:szCs w:val="18"/>
              </w:rPr>
              <w:t xml:space="preserve">[13] D. Hendrycks et al., Measuring mathematical problem solving with the MATH dataset, in Proc. NeurIPS, 2021.</w:t>
            </w:r>
          </w:p>
          <w:p>
            <w:pPr>
              <w:spacing w:after="30" w:before="0"/>
              <w:ind w:left="360" w:hanging="360"/>
            </w:pPr>
            <w:r>
              <w:rPr>
                <w:rFonts w:ascii="Times New Roman" w:cs="Times New Roman" w:eastAsia="Times New Roman" w:hAnsi="Times New Roman"/>
                <w:color w:val="000000"/>
                <w:sz w:val="18"/>
                <w:szCs w:val="18"/>
              </w:rPr>
              <w:t xml:space="preserve">[14] M. Chen et al., Evaluating large language models trained on code, arXiv:2107.03374, 2021.</w:t>
            </w:r>
          </w:p>
          <w:p>
            <w:pPr>
              <w:spacing w:after="30" w:before="0"/>
              <w:ind w:left="360" w:hanging="360"/>
            </w:pPr>
            <w:r>
              <w:rPr>
                <w:rFonts w:ascii="Times New Roman" w:cs="Times New Roman" w:eastAsia="Times New Roman" w:hAnsi="Times New Roman"/>
                <w:color w:val="000000"/>
                <w:sz w:val="18"/>
                <w:szCs w:val="18"/>
              </w:rPr>
              <w:t xml:space="preserve">[15] D. Rein et al., GPQA: A graduate-level Google-proof Q&amp;A benchmark, arXiv:2311.12022, 2023.</w:t>
            </w:r>
          </w:p>
          <w:p>
            <w:pPr>
              <w:spacing w:after="30" w:before="0"/>
              <w:ind w:left="360" w:hanging="360"/>
            </w:pPr>
            <w:r>
              <w:rPr>
                <w:rFonts w:ascii="Times New Roman" w:cs="Times New Roman" w:eastAsia="Times New Roman" w:hAnsi="Times New Roman"/>
                <w:color w:val="000000"/>
                <w:sz w:val="18"/>
                <w:szCs w:val="18"/>
              </w:rPr>
              <w:t xml:space="preserve">[16] R. Zellers et al., HellaSwag: Can a machine really finish your sentence? in Proc. ACL, 2019.</w:t>
            </w:r>
          </w:p>
          <w:p>
            <w:pPr>
              <w:spacing w:after="30" w:before="0"/>
              <w:ind w:left="360" w:hanging="360"/>
            </w:pPr>
            <w:r>
              <w:rPr>
                <w:rFonts w:ascii="Times New Roman" w:cs="Times New Roman" w:eastAsia="Times New Roman" w:hAnsi="Times New Roman"/>
                <w:color w:val="000000"/>
                <w:sz w:val="18"/>
                <w:szCs w:val="18"/>
              </w:rPr>
              <w:t xml:space="preserve">[17] K. Sakaguchi et al., WinoGrande: An adversarial Winograd schema challenge at scale, in Proc. AAAI, 2021.</w:t>
            </w:r>
          </w:p>
        </w:tc>
      </w:tr>
    </w:tbl>
    <w:sectPr>
      <w:headerReference w:type="default" r:id="rId7"/>
      <w:footerReference w:type="default" r:id="rId8"/>
      <w:pgSz w:w="12240" w:h="15840" w:orient="portrait"/>
      <w:pgMar w:top="1080" w:right="900" w:bottom="144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2" w:space="4"/>
      </w:pBdr>
      <w:jc w:val="right"/>
    </w:pPr>
    <w:r>
      <w:rPr>
        <w:rFonts w:ascii="Times New Roman" w:cs="Times New Roman" w:eastAsia="Times New Roman" w:hAnsi="Times New Roman"/>
        <w:i/>
        <w:iCs/>
        <w:color w:val="AAAAAA"/>
        <w:sz w:val="16"/>
        <w:szCs w:val="16"/>
      </w:rPr>
      <w:t xml:space="preserve">DRAFT -- SUBMITTED FOR PEER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2026-08-16T09:23:54.337Z</dcterms:created>
  <dcterms:modified xsi:type="dcterms:W3CDTF">2026-08-16T09:23:54.349Z</dcterms:modified>
</cp:coreProperties>
</file>

<file path=docProps/custom.xml><?xml version="1.0" encoding="utf-8"?>
<Properties xmlns="http://schemas.openxmlformats.org/officeDocument/2006/custom-properties" xmlns:vt="http://schemas.openxmlformats.org/officeDocument/2006/docPropsVTypes"/>
</file>