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D77A" w14:textId="77777777" w:rsidR="00CC5C78" w:rsidRPr="004E1F4D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一、填空题</w:t>
      </w:r>
    </w:p>
    <w:p w14:paraId="530481BA" w14:textId="3E935F01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1. ISO/IEC 27001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标准，采用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“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计划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-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实施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-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检查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-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处置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”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PDCA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）模型去架构所有信息系统管理体系的流程。</w:t>
      </w:r>
    </w:p>
    <w:p w14:paraId="47DBAC85" w14:textId="1187707B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信息系统安全管理措施包括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物理安全管理、系统安全管理、运行安全管理、数据安全管理、人员管理和技术文档安全管理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04BFF0B9" w14:textId="167C87F5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信息系统安全等级保护是从与信息系统安全相关的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物理层面、网络层面、系统层面、应用层面和管理层面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对信息和信息系统实施分等级保护。</w:t>
      </w:r>
    </w:p>
    <w:p w14:paraId="62B4DDE6" w14:textId="77777777" w:rsidR="00CC5C78" w:rsidRPr="004E1F4D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FB1A927" w14:textId="77777777" w:rsidR="00CC5C78" w:rsidRPr="004E1F4D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二、选择题</w:t>
      </w:r>
    </w:p>
    <w:p w14:paraId="75CAADE0" w14:textId="1A934664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信息系统安全管理措施中的运行安全管理不包括（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C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14352FB0" w14:textId="6CEC6372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故障管理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性能管理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配置管理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变更管理</w:t>
      </w:r>
    </w:p>
    <w:p w14:paraId="577328CF" w14:textId="45073F02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2.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不属于信息系统安全管理措施主要类型的是（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77F17E0A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A.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管理控制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访问控制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技术控制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物理控制</w:t>
      </w:r>
    </w:p>
    <w:p w14:paraId="067D349B" w14:textId="40632498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3.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属于信息系统安全管理措施中的人员安全管理原则之一是（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0C57D23D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最小特权原则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全员参与原则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主要领导负责原则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分权与授权原则</w:t>
      </w:r>
    </w:p>
    <w:p w14:paraId="64472408" w14:textId="6E1ABD6F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4.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启动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PDCA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循环的启动器是指（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CC5C78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CDE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183E3DBF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A.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提供必需的资源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确定管理范围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选择风险管理方法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确定评审方法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E.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文件化实践</w:t>
      </w:r>
    </w:p>
    <w:p w14:paraId="26D37F03" w14:textId="3CC7EAAD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>5.PDCA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模型处置阶段可能持续进行以下哪些操作（</w:t>
      </w: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CC5C78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BCD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1ABC5987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测量信息系统安全管理体系满足安全方针和目标方面的业绩；</w:t>
      </w:r>
    </w:p>
    <w:p w14:paraId="46C355CD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识别信息系统安全管理体系的改进，并有效实施；</w:t>
      </w:r>
    </w:p>
    <w:p w14:paraId="4EBF776F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采取适当的纠正和预防措施；</w:t>
      </w:r>
    </w:p>
    <w:p w14:paraId="2255AEA0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针对结果，进行及时沟通，并与所有相关方磋商；</w:t>
      </w:r>
    </w:p>
    <w:p w14:paraId="4C18E6AC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E.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记录报告影响安全管理体系有效性的活动和事件。</w:t>
      </w:r>
    </w:p>
    <w:p w14:paraId="72563750" w14:textId="77777777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4EDC70E0" w14:textId="77777777" w:rsidR="00CC5C78" w:rsidRPr="004E1F4D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三、简答题</w:t>
      </w:r>
    </w:p>
    <w:p w14:paraId="1BA0D613" w14:textId="77777777" w:rsid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信息系统安全管理的概念和五个组成要素（要素需简答说明）</w:t>
      </w:r>
    </w:p>
    <w:p w14:paraId="685E262D" w14:textId="54E73624" w:rsid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信息系统安全管理的概念：信息系统安全管理指通过计划、组织、领导、控制等环节来协调人力、物力、财力等资源，从而保证组织内的信息系统以及信息处理的安全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4F2395BF" w14:textId="299E8AC5" w:rsidR="00CC5C78" w:rsidRPr="00CC5C78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五个组成要素：</w:t>
      </w:r>
    </w:p>
    <w:p w14:paraId="04415360" w14:textId="73D11A62" w:rsidR="00CC5C78" w:rsidRPr="00CC5C78" w:rsidRDefault="00CC5C78" w:rsidP="00CC5C7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管理的主体：信息系统的安全由谁来管理；</w:t>
      </w:r>
    </w:p>
    <w:p w14:paraId="4690A234" w14:textId="2B927E97" w:rsidR="00CC5C78" w:rsidRPr="00CC5C78" w:rsidRDefault="00CC5C78" w:rsidP="00CC5C7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管理的客体：管理的对象是谁（计算机系统、外部设备、软件、网络以及信息）；</w:t>
      </w:r>
    </w:p>
    <w:p w14:paraId="3C267CE7" w14:textId="10BE63A8" w:rsidR="00CC5C78" w:rsidRPr="00CC5C78" w:rsidRDefault="00CC5C78" w:rsidP="00CC5C7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管理目标：要达到的管理结果；</w:t>
      </w:r>
    </w:p>
    <w:p w14:paraId="27FC003E" w14:textId="44C56375" w:rsidR="00CC5C78" w:rsidRPr="00CC5C78" w:rsidRDefault="00CC5C78" w:rsidP="00CC5C7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管理手段：管理流程、管理制度和管理方法；</w:t>
      </w:r>
    </w:p>
    <w:p w14:paraId="0C966418" w14:textId="1DD01F56" w:rsidR="00CC5C78" w:rsidRPr="00CC5C78" w:rsidRDefault="00CC5C78" w:rsidP="00CC5C78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管理环境：在什么情况下、什么环境和什么条件下对信息系统安全实施管理。</w:t>
      </w:r>
    </w:p>
    <w:p w14:paraId="59282D64" w14:textId="423E604A" w:rsidR="00CC5C78" w:rsidRDefault="00CC5C78" w:rsidP="00CC5C78">
      <w:pPr>
        <w:tabs>
          <w:tab w:val="left" w:pos="5415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如何理解信息系统安全管理中的分权和授权原则</w:t>
      </w:r>
      <w:r>
        <w:rPr>
          <w:rFonts w:asciiTheme="minorEastAsia" w:hAnsiTheme="minorEastAsia" w:cs="宋体"/>
          <w:color w:val="000000"/>
          <w:kern w:val="0"/>
          <w:szCs w:val="21"/>
        </w:rPr>
        <w:tab/>
      </w:r>
    </w:p>
    <w:p w14:paraId="2D771BDC" w14:textId="08C725AB" w:rsidR="00CC5C78" w:rsidRPr="00CC5C78" w:rsidRDefault="00CC5C78" w:rsidP="00CC5C78">
      <w:pPr>
        <w:tabs>
          <w:tab w:val="left" w:pos="5415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CC5C7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分权和授权是对特定职能活责任领域的管理功能实施分离、独立审计等分权，避免权力过分集中所带来的隐患。</w:t>
      </w:r>
    </w:p>
    <w:p w14:paraId="76A58C31" w14:textId="6EAC78F1" w:rsidR="004E1F4D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CC5C78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在信息系统安全管理措施中阐述的物理安全管理，与第</w:t>
      </w:r>
      <w:r w:rsidRPr="00CC5C78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CC5C78">
        <w:rPr>
          <w:rFonts w:asciiTheme="minorEastAsia" w:hAnsiTheme="minorEastAsia" w:cs="宋体" w:hint="eastAsia"/>
          <w:color w:val="000000"/>
          <w:kern w:val="0"/>
          <w:szCs w:val="21"/>
        </w:rPr>
        <w:t>章的物理安全之间是什么关系？分析说明</w:t>
      </w:r>
    </w:p>
    <w:p w14:paraId="7F744006" w14:textId="77777777" w:rsidR="004915AC" w:rsidRPr="004915AC" w:rsidRDefault="00CC5C78" w:rsidP="00CC5C78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信息系统安全管理措施中阐述的物理安全管理有</w:t>
      </w:r>
      <w:r w:rsidR="004915AC"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：</w:t>
      </w:r>
    </w:p>
    <w:p w14:paraId="23C13B90" w14:textId="74EC543C" w:rsidR="004915AC" w:rsidRPr="004915AC" w:rsidRDefault="00CC5C78" w:rsidP="004915A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机房和设施</w:t>
      </w:r>
      <w:r w:rsidR="004915AC"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安全管理：对放置信息系统的空间和设施进行仔细周密的计划，对信息系统进行物理上的严密保护，以避免可能存在的不安全因素。既不欠保护，也不过保护；</w:t>
      </w:r>
    </w:p>
    <w:p w14:paraId="5E04B483" w14:textId="5D31AF38" w:rsidR="004915AC" w:rsidRPr="004915AC" w:rsidRDefault="004915AC" w:rsidP="004915A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环境和人身安全管理：物理安全管理需要考虑到防火、防漏水和水灾、防自然灾害等</w:t>
      </w:r>
      <w:r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lastRenderedPageBreak/>
        <w:t>物理安全威胁。一旦出现这些威胁，能够及时处理，保证人员安全；</w:t>
      </w:r>
    </w:p>
    <w:p w14:paraId="250563DA" w14:textId="0F7BA2F9" w:rsidR="00CC5C78" w:rsidRDefault="004915AC" w:rsidP="004915A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4915A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电磁泄漏管理：通过技术控制的手段，防止电磁泄漏。其主要方法有：一是通过电子隐藏技术掩盖信息系统的工作状态和保护信息；二是通过屏蔽等物理抑制手段，抑制一切有用信息的电磁外泄。</w:t>
      </w:r>
    </w:p>
    <w:p w14:paraId="4FCB254B" w14:textId="163836CD" w:rsidR="004915AC" w:rsidRDefault="004915AC" w:rsidP="004915AC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物理安全包括设备物理安全、环境物理安全、系统物理安全。</w:t>
      </w:r>
    </w:p>
    <w:p w14:paraId="2A158737" w14:textId="64FE0E89" w:rsidR="004915AC" w:rsidRPr="004915AC" w:rsidRDefault="004915AC" w:rsidP="004915AC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物理安全管理是保证物理安全的前提。</w:t>
      </w:r>
    </w:p>
    <w:sectPr w:rsidR="004915AC" w:rsidRPr="00491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2E5A" w14:textId="77777777" w:rsidR="0078411D" w:rsidRDefault="0078411D" w:rsidP="00982751">
      <w:r>
        <w:separator/>
      </w:r>
    </w:p>
  </w:endnote>
  <w:endnote w:type="continuationSeparator" w:id="0">
    <w:p w14:paraId="370A731D" w14:textId="77777777" w:rsidR="0078411D" w:rsidRDefault="0078411D" w:rsidP="009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76A8" w14:textId="77777777" w:rsidR="0078411D" w:rsidRDefault="0078411D" w:rsidP="00982751">
      <w:r>
        <w:separator/>
      </w:r>
    </w:p>
  </w:footnote>
  <w:footnote w:type="continuationSeparator" w:id="0">
    <w:p w14:paraId="188C6391" w14:textId="77777777" w:rsidR="0078411D" w:rsidRDefault="0078411D" w:rsidP="0098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6962"/>
    <w:multiLevelType w:val="multilevel"/>
    <w:tmpl w:val="3EC2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F2BAE"/>
    <w:multiLevelType w:val="hybridMultilevel"/>
    <w:tmpl w:val="FCF27836"/>
    <w:lvl w:ilvl="0" w:tplc="3482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F5AE11"/>
    <w:multiLevelType w:val="singleLevel"/>
    <w:tmpl w:val="43F5AE1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656A507A"/>
    <w:multiLevelType w:val="hybridMultilevel"/>
    <w:tmpl w:val="C102DFCA"/>
    <w:lvl w:ilvl="0" w:tplc="A83C8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32305A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571E7A2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5F46C2C"/>
    <w:multiLevelType w:val="hybridMultilevel"/>
    <w:tmpl w:val="16DC5A60"/>
    <w:lvl w:ilvl="0" w:tplc="1DE67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947607">
    <w:abstractNumId w:val="1"/>
  </w:num>
  <w:num w:numId="2" w16cid:durableId="606036820">
    <w:abstractNumId w:val="3"/>
  </w:num>
  <w:num w:numId="3" w16cid:durableId="1783378680">
    <w:abstractNumId w:val="6"/>
  </w:num>
  <w:num w:numId="4" w16cid:durableId="2068724179">
    <w:abstractNumId w:val="0"/>
  </w:num>
  <w:num w:numId="5" w16cid:durableId="1792627402">
    <w:abstractNumId w:val="2"/>
    <w:lvlOverride w:ilvl="0">
      <w:startOverride w:val="1"/>
    </w:lvlOverride>
  </w:num>
  <w:num w:numId="6" w16cid:durableId="1332560521">
    <w:abstractNumId w:val="5"/>
  </w:num>
  <w:num w:numId="7" w16cid:durableId="1227497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1"/>
    <w:rsid w:val="00007062"/>
    <w:rsid w:val="000171A4"/>
    <w:rsid w:val="00031AA8"/>
    <w:rsid w:val="00092734"/>
    <w:rsid w:val="0009615B"/>
    <w:rsid w:val="000B6BAF"/>
    <w:rsid w:val="000E4A51"/>
    <w:rsid w:val="000E5174"/>
    <w:rsid w:val="00115E2B"/>
    <w:rsid w:val="00121364"/>
    <w:rsid w:val="001356E0"/>
    <w:rsid w:val="00164102"/>
    <w:rsid w:val="001D15FE"/>
    <w:rsid w:val="001E2ABF"/>
    <w:rsid w:val="002225A6"/>
    <w:rsid w:val="0022262A"/>
    <w:rsid w:val="0024071A"/>
    <w:rsid w:val="0025149A"/>
    <w:rsid w:val="0026445F"/>
    <w:rsid w:val="002779F9"/>
    <w:rsid w:val="002917FF"/>
    <w:rsid w:val="002B0040"/>
    <w:rsid w:val="002C529A"/>
    <w:rsid w:val="002F1C1B"/>
    <w:rsid w:val="00323321"/>
    <w:rsid w:val="00360942"/>
    <w:rsid w:val="00365FFF"/>
    <w:rsid w:val="00380195"/>
    <w:rsid w:val="00381F86"/>
    <w:rsid w:val="003A0F9D"/>
    <w:rsid w:val="003C22FF"/>
    <w:rsid w:val="003E2360"/>
    <w:rsid w:val="003F6E4E"/>
    <w:rsid w:val="00404DA1"/>
    <w:rsid w:val="00474515"/>
    <w:rsid w:val="004915AC"/>
    <w:rsid w:val="00494D86"/>
    <w:rsid w:val="004A0237"/>
    <w:rsid w:val="004A5C31"/>
    <w:rsid w:val="004B0E04"/>
    <w:rsid w:val="004C711B"/>
    <w:rsid w:val="004E1F4D"/>
    <w:rsid w:val="004E72EE"/>
    <w:rsid w:val="004F0A4B"/>
    <w:rsid w:val="00516103"/>
    <w:rsid w:val="005304DC"/>
    <w:rsid w:val="00555D40"/>
    <w:rsid w:val="005631ED"/>
    <w:rsid w:val="005820F8"/>
    <w:rsid w:val="00586603"/>
    <w:rsid w:val="00596ED8"/>
    <w:rsid w:val="005E6BC2"/>
    <w:rsid w:val="00640770"/>
    <w:rsid w:val="006C57B5"/>
    <w:rsid w:val="006D67D5"/>
    <w:rsid w:val="006F1EFB"/>
    <w:rsid w:val="00771645"/>
    <w:rsid w:val="0077496F"/>
    <w:rsid w:val="0078411D"/>
    <w:rsid w:val="007A6322"/>
    <w:rsid w:val="007D1209"/>
    <w:rsid w:val="007D23DE"/>
    <w:rsid w:val="007D6D9D"/>
    <w:rsid w:val="00884BA3"/>
    <w:rsid w:val="008A6EC6"/>
    <w:rsid w:val="008B273A"/>
    <w:rsid w:val="008B6ED9"/>
    <w:rsid w:val="008D4A44"/>
    <w:rsid w:val="0093116C"/>
    <w:rsid w:val="00935A22"/>
    <w:rsid w:val="00982751"/>
    <w:rsid w:val="00990BD6"/>
    <w:rsid w:val="00993DC2"/>
    <w:rsid w:val="009C0916"/>
    <w:rsid w:val="009E32F7"/>
    <w:rsid w:val="009F0C1A"/>
    <w:rsid w:val="00A17A20"/>
    <w:rsid w:val="00A37FC4"/>
    <w:rsid w:val="00A6422D"/>
    <w:rsid w:val="00A86503"/>
    <w:rsid w:val="00A92F88"/>
    <w:rsid w:val="00AB6817"/>
    <w:rsid w:val="00AD6431"/>
    <w:rsid w:val="00AE1AFA"/>
    <w:rsid w:val="00AF3143"/>
    <w:rsid w:val="00B368DD"/>
    <w:rsid w:val="00BA041C"/>
    <w:rsid w:val="00BB665A"/>
    <w:rsid w:val="00BE201A"/>
    <w:rsid w:val="00BE5203"/>
    <w:rsid w:val="00C30A74"/>
    <w:rsid w:val="00C8596E"/>
    <w:rsid w:val="00CC5C78"/>
    <w:rsid w:val="00CE1C36"/>
    <w:rsid w:val="00D216E0"/>
    <w:rsid w:val="00D836B9"/>
    <w:rsid w:val="00D92D11"/>
    <w:rsid w:val="00DE3632"/>
    <w:rsid w:val="00DF206D"/>
    <w:rsid w:val="00E35059"/>
    <w:rsid w:val="00EA49FF"/>
    <w:rsid w:val="00EE4B65"/>
    <w:rsid w:val="00EE6E9C"/>
    <w:rsid w:val="00F5499B"/>
    <w:rsid w:val="00F91375"/>
    <w:rsid w:val="00F9631F"/>
    <w:rsid w:val="00FD399F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1970"/>
  <w15:chartTrackingRefBased/>
  <w15:docId w15:val="{84735AF4-D9F7-41E2-8A2F-A51A481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A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71645"/>
    <w:rPr>
      <w:rFonts w:ascii="等线" w:eastAsia="等线" w:hAnsi="等线" w:cs="等线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771645"/>
    <w:rPr>
      <w:rFonts w:ascii="等线" w:eastAsia="等线" w:hAnsi="等线" w:cs="等线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164102"/>
    <w:pPr>
      <w:ind w:firstLineChars="200" w:firstLine="420"/>
    </w:pPr>
  </w:style>
  <w:style w:type="paragraph" w:styleId="2">
    <w:name w:val="Body Text Indent 2"/>
    <w:basedOn w:val="a"/>
    <w:link w:val="20"/>
    <w:uiPriority w:val="99"/>
    <w:semiHidden/>
    <w:unhideWhenUsed/>
    <w:rsid w:val="0036094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sid w:val="00360942"/>
  </w:style>
  <w:style w:type="paragraph" w:styleId="a6">
    <w:name w:val="header"/>
    <w:basedOn w:val="a"/>
    <w:link w:val="a7"/>
    <w:uiPriority w:val="99"/>
    <w:unhideWhenUsed/>
    <w:rsid w:val="0098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27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275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D6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40</cp:revision>
  <dcterms:created xsi:type="dcterms:W3CDTF">2023-03-10T09:17:00Z</dcterms:created>
  <dcterms:modified xsi:type="dcterms:W3CDTF">2024-03-14T14:01:00Z</dcterms:modified>
</cp:coreProperties>
</file>