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5623" w14:textId="48396964" w:rsidR="00DB2D46" w:rsidRDefault="00DB2D46" w:rsidP="00DB2D46">
      <w:pPr>
        <w:pStyle w:val="Zkladntext"/>
        <w:jc w:val="center"/>
        <w:rPr>
          <w:b/>
          <w:bCs/>
          <w:sz w:val="28"/>
          <w:szCs w:val="28"/>
        </w:rPr>
      </w:pPr>
      <w:r>
        <w:rPr>
          <w:b/>
          <w:bCs/>
          <w:sz w:val="28"/>
          <w:szCs w:val="28"/>
        </w:rPr>
        <w:t>Super víkend plný pretekov</w:t>
      </w:r>
    </w:p>
    <w:p w14:paraId="6CB369E2" w14:textId="061360B5" w:rsidR="00DB2D46" w:rsidRDefault="00DB2D46" w:rsidP="00DB2D46">
      <w:pPr>
        <w:pStyle w:val="Zkladntext"/>
        <w:jc w:val="both"/>
        <w:rPr>
          <w:b/>
          <w:bCs/>
        </w:rPr>
      </w:pPr>
      <w:r>
        <w:rPr>
          <w:b/>
          <w:bCs/>
        </w:rPr>
        <w:t>Orechová Potôň, 2</w:t>
      </w:r>
      <w:r w:rsidR="00FA6A9B">
        <w:rPr>
          <w:b/>
          <w:bCs/>
        </w:rPr>
        <w:t>4</w:t>
      </w:r>
      <w:r>
        <w:rPr>
          <w:b/>
          <w:bCs/>
        </w:rPr>
        <w:t>. apríl 2023 - Skutočne výnimočný víkend zažijú fanúšikovia motoristického športu 9. až 11. júna na okruhu SLOVAKIA RING. Majstrovstvá Európy preteky ťahačov na okruhu FIA ETRC, šampionát cestovných vozidiel TCR Eastern Europe, ale aj historické formuly v akcii, ktorá potrvá od rána do večera.</w:t>
      </w:r>
    </w:p>
    <w:p w14:paraId="39F1F5E4" w14:textId="3DF30E3E" w:rsidR="00DB2D46" w:rsidRDefault="00DB2D46" w:rsidP="00DB2D46">
      <w:pPr>
        <w:pStyle w:val="Zkladntext"/>
        <w:jc w:val="both"/>
      </w:pPr>
      <w:r>
        <w:t xml:space="preserve">OMV MaxxMotion super víkend bude patriť k najvýznamnejším podujatiam na okruhu SLOVAKIA RING tento rok. Piaty návrat monumentálnych a absurdne ostrých pretekárskych ťahačov na náš okruh nenechá nikoho chladným. Vyše päťtonové stroje ponúknu opäť štvoro napínavých pretekov v štýle nárazník o nárazník. Uplynulú sezónu dominoval Maďar Norbert Kiss na vozidle zn. MAN. Osemdielna sezóna štartuje 21. mája v talianskom Misane, SLOVAKIA RING je </w:t>
      </w:r>
      <w:r w:rsidR="007C29BB">
        <w:t xml:space="preserve">po nedávnom zrušení pretekov na Hungaroringu </w:t>
      </w:r>
      <w:r>
        <w:t>na rade ako druhý.</w:t>
      </w:r>
    </w:p>
    <w:p w14:paraId="12731029" w14:textId="49BB959E" w:rsidR="00DB2D46" w:rsidRDefault="00DB2D46" w:rsidP="00DB2D46">
      <w:pPr>
        <w:pStyle w:val="Zkladntext"/>
        <w:jc w:val="both"/>
      </w:pPr>
      <w:r>
        <w:t xml:space="preserve">Našu rýchlostnú dráhu nebudú okupovať iba veľké ťahače. Súčasťou víkendu je tiež seriál </w:t>
      </w:r>
      <w:r w:rsidRPr="00FA6A9B">
        <w:rPr>
          <w:b/>
          <w:bCs/>
        </w:rPr>
        <w:t>TCR Eastern Europe</w:t>
      </w:r>
      <w:r>
        <w:t>. Pretekárske cestovné vozidlá špecifikácie TCR sú azda najrozšírenejšou a najobľúbenejšou kategóriou kapotovaných vozidiel. Bohaté štartové pole východoeurópskej odnože má čo povedať aj slovenským fanúšikom. Napokon, hneď prvé preteky sezóny vyhral</w:t>
      </w:r>
      <w:r w:rsidR="007C29BB">
        <w:t xml:space="preserve"> a šampionát vedie</w:t>
      </w:r>
      <w:r>
        <w:t xml:space="preserve"> náš </w:t>
      </w:r>
      <w:r w:rsidRPr="00FA6A9B">
        <w:rPr>
          <w:b/>
          <w:bCs/>
        </w:rPr>
        <w:t>Maťo Homola</w:t>
      </w:r>
      <w:r>
        <w:t>, ktorého uvidíme samozrejme aj u nás.</w:t>
      </w:r>
    </w:p>
    <w:p w14:paraId="633FB0AF" w14:textId="77777777" w:rsidR="00DB2D46" w:rsidRDefault="00DB2D46" w:rsidP="00DB2D46">
      <w:pPr>
        <w:pStyle w:val="Zkladntext"/>
        <w:jc w:val="both"/>
      </w:pPr>
      <w:r>
        <w:t xml:space="preserve">Do tretice nebudú chýbať ani nádherné a hlučné staré </w:t>
      </w:r>
      <w:r w:rsidRPr="00FA6A9B">
        <w:rPr>
          <w:b/>
          <w:bCs/>
        </w:rPr>
        <w:t>monoposty F1, GP2 či IndyCar</w:t>
      </w:r>
      <w:r>
        <w:t xml:space="preserve">. Ak chcete zažiť ozajstný rev vysokootáčkových motorov V10 a V8, nesmiete si nechať ujsť toto exhibičné divadlo seriálu </w:t>
      </w:r>
      <w:r w:rsidRPr="00FA6A9B">
        <w:rPr>
          <w:b/>
          <w:bCs/>
        </w:rPr>
        <w:t>MaxxFormula</w:t>
      </w:r>
      <w:r>
        <w:t>.</w:t>
      </w:r>
    </w:p>
    <w:p w14:paraId="1D6A27D5" w14:textId="75584239" w:rsidR="00DB2D46" w:rsidRPr="00FA6A9B" w:rsidRDefault="00DB2D46" w:rsidP="00DB2D46">
      <w:pPr>
        <w:pStyle w:val="Zkladntext"/>
        <w:jc w:val="both"/>
        <w:rPr>
          <w:b/>
          <w:bCs/>
        </w:rPr>
      </w:pPr>
      <w:r>
        <w:t xml:space="preserve">Akcia na trati však neutíchne ani pomedzi to: vždy napínavé a divácky zábavné pohárové seriály uvidíme v podobe </w:t>
      </w:r>
      <w:r w:rsidRPr="00FA6A9B">
        <w:rPr>
          <w:b/>
          <w:bCs/>
        </w:rPr>
        <w:t>Suzuki Swift Cup</w:t>
      </w:r>
      <w:r>
        <w:t xml:space="preserve">. K monopostom sa pridá tiež seriál </w:t>
      </w:r>
      <w:r w:rsidR="00FA6A9B" w:rsidRPr="00FA6A9B">
        <w:rPr>
          <w:b/>
          <w:bCs/>
        </w:rPr>
        <w:t xml:space="preserve">monopostov </w:t>
      </w:r>
      <w:r w:rsidRPr="00FA6A9B">
        <w:rPr>
          <w:b/>
          <w:bCs/>
        </w:rPr>
        <w:t xml:space="preserve">F4 </w:t>
      </w:r>
      <w:r w:rsidRPr="00FA6A9B">
        <w:t>v rámci populárneho</w:t>
      </w:r>
      <w:r w:rsidRPr="00FA6A9B">
        <w:rPr>
          <w:b/>
          <w:bCs/>
        </w:rPr>
        <w:t xml:space="preserve"> ESET Cupu.</w:t>
      </w:r>
    </w:p>
    <w:p w14:paraId="0C86CC55" w14:textId="77777777" w:rsidR="00DB2D46" w:rsidRDefault="00DB2D46" w:rsidP="00DB2D46">
      <w:pPr>
        <w:pStyle w:val="Zkladntext"/>
        <w:jc w:val="both"/>
      </w:pPr>
      <w:r>
        <w:t>Tým však zábava nekončí, prichystané sú rôzne atrakcie pre rodiny s deťmi, zvierací Malkia Park, motokáry, zraz veteránov, tunerov a truckerov, ale aj kaskadérska šou, autogramiáda (aj s Maťom Homolom) či jazdy vo vojenskom a terénnom areáli.</w:t>
      </w:r>
    </w:p>
    <w:p w14:paraId="2A5983F7" w14:textId="77777777" w:rsidR="00DB2D46" w:rsidRDefault="00DB2D46" w:rsidP="00DB2D46">
      <w:pPr>
        <w:pStyle w:val="Zkladntext"/>
        <w:jc w:val="both"/>
      </w:pPr>
      <w:r>
        <w:t>OMV MaxxMotion super víkend už 9.-11. júna na SLOVAKIA RINGU.</w:t>
      </w:r>
    </w:p>
    <w:p w14:paraId="4D32541B" w14:textId="6A426088" w:rsidR="00965615" w:rsidRDefault="00FA6A9B" w:rsidP="005064A1">
      <w:pPr>
        <w:pStyle w:val="Zkladntext"/>
        <w:jc w:val="both"/>
      </w:pPr>
      <w:r>
        <w:t xml:space="preserve">Viac informácii a predpredaj vstupeniek je dostupný na </w:t>
      </w:r>
      <w:hyperlink r:id="rId6" w:history="1">
        <w:r w:rsidRPr="00FA6A9B">
          <w:rPr>
            <w:rStyle w:val="Hypertextovprepojenie"/>
          </w:rPr>
          <w:t>web stránke okruhu</w:t>
        </w:r>
      </w:hyperlink>
      <w:r>
        <w:t>.</w:t>
      </w:r>
    </w:p>
    <w:p w14:paraId="78226963" w14:textId="365E39AC" w:rsidR="001260EA" w:rsidRPr="00B96B44" w:rsidRDefault="00973AC2">
      <w:r w:rsidRPr="00B96B44">
        <w:rPr>
          <w:i/>
        </w:rPr>
        <w:t>***</w:t>
      </w:r>
    </w:p>
    <w:p w14:paraId="5B31F027" w14:textId="77777777" w:rsidR="001260EA" w:rsidRPr="00B96B44" w:rsidRDefault="00973AC2">
      <w:r w:rsidRPr="00B96B44">
        <w:rPr>
          <w:b/>
          <w:i/>
        </w:rPr>
        <w:t>Okruh SLOVAKIA RING / Areál SLOVAKIA RING</w:t>
      </w:r>
    </w:p>
    <w:p w14:paraId="25D6E54E" w14:textId="1B94A97F" w:rsidR="001260EA" w:rsidRPr="00B96B44" w:rsidRDefault="00973AC2">
      <w:pPr>
        <w:jc w:val="both"/>
      </w:pPr>
      <w:r w:rsidRPr="00B96B44">
        <w:rPr>
          <w:i/>
        </w:rPr>
        <w:t>SLOVAKIA RING je profesionálny pretekársky okruh s licenciou FIA 2. stupňa, jediný svojho druhu na Slovensku. S celkovou dĺžkou 59</w:t>
      </w:r>
      <w:r w:rsidR="00FA6A9B">
        <w:rPr>
          <w:i/>
        </w:rPr>
        <w:t>35</w:t>
      </w:r>
      <w:r w:rsidRPr="00B96B44">
        <w:rPr>
          <w:i/>
        </w:rPr>
        <w:t xml:space="preserve"> m sa radí medzi najdlhšie v Európe. Kvalitatívnymi a bezpečnostnými parametrami vytvára okruh zázemie pre prestížne svetové šampionáty pod hlavičkami FIA a FIM. Od roku 2010 prináša podujatia pre profesionálnych jazdcov, amatérov, firmy a širokú verejnosť. </w:t>
      </w:r>
    </w:p>
    <w:p w14:paraId="4027B2B5" w14:textId="3D58A880" w:rsidR="001260EA" w:rsidRPr="00B96B44" w:rsidRDefault="00973AC2">
      <w:pPr>
        <w:spacing w:line="240" w:lineRule="auto"/>
        <w:jc w:val="both"/>
      </w:pPr>
      <w:r w:rsidRPr="00B96B44">
        <w:rPr>
          <w:i/>
        </w:rPr>
        <w:t xml:space="preserve">SLOVAKIA RING pri Orechovej Potôni predstavuje jedinečný areál - jediný svojho druhu na Slovensku. Ponúka možnosti jazdiť na profesionálnom automotodróme, zdokonaliť sa v škole bezpečnej jazdy, </w:t>
      </w:r>
      <w:r w:rsidRPr="00B96B44">
        <w:rPr>
          <w:i/>
        </w:rPr>
        <w:lastRenderedPageBreak/>
        <w:t xml:space="preserve">vyskúšať si terénnu jazdu vo vynovenom </w:t>
      </w:r>
      <w:r w:rsidRPr="00B96B44">
        <w:rPr>
          <w:b/>
          <w:i/>
        </w:rPr>
        <w:t>off-road areáli</w:t>
      </w:r>
      <w:r w:rsidRPr="00B96B44">
        <w:rPr>
          <w:i/>
        </w:rPr>
        <w:t xml:space="preserve"> a užiť si relax v hoteli. Súčasťou širšieho areálu je aj </w:t>
      </w:r>
      <w:r w:rsidRPr="00B96B44">
        <w:rPr>
          <w:b/>
          <w:i/>
        </w:rPr>
        <w:t xml:space="preserve">Malkia Park </w:t>
      </w:r>
      <w:r w:rsidRPr="00B96B44">
        <w:rPr>
          <w:i/>
        </w:rPr>
        <w:t>-</w:t>
      </w:r>
      <w:r w:rsidRPr="00B96B44">
        <w:rPr>
          <w:b/>
          <w:i/>
        </w:rPr>
        <w:t xml:space="preserve"> </w:t>
      </w:r>
      <w:r w:rsidRPr="00B96B44">
        <w:rPr>
          <w:i/>
        </w:rPr>
        <w:t>útočisko pre exotické zvieratá</w:t>
      </w:r>
      <w:r w:rsidR="00FA6A9B">
        <w:rPr>
          <w:i/>
        </w:rPr>
        <w:t xml:space="preserve"> a prvá súkromná ZOO na Slovensku poskytujúca útočisko exotickým zvieratám a hlavne mačkovitým šelmám.</w:t>
      </w:r>
      <w:r w:rsidRPr="00B96B44">
        <w:rPr>
          <w:i/>
        </w:rPr>
        <w:t xml:space="preserve"> K </w:t>
      </w:r>
      <w:r w:rsidR="00FA6A9B">
        <w:rPr>
          <w:i/>
        </w:rPr>
        <w:t>vítaným</w:t>
      </w:r>
      <w:r w:rsidRPr="00B96B44">
        <w:rPr>
          <w:i/>
        </w:rPr>
        <w:t xml:space="preserve"> atrakciám patrí tiež </w:t>
      </w:r>
      <w:r w:rsidRPr="00B96B44">
        <w:rPr>
          <w:b/>
          <w:i/>
        </w:rPr>
        <w:t>Vojenské múzeum</w:t>
      </w:r>
      <w:r w:rsidR="00FA6A9B">
        <w:rPr>
          <w:b/>
          <w:i/>
        </w:rPr>
        <w:t xml:space="preserve"> </w:t>
      </w:r>
      <w:r w:rsidR="00FA6A9B" w:rsidRPr="00FA6A9B">
        <w:rPr>
          <w:bCs/>
          <w:i/>
        </w:rPr>
        <w:t>so svojou zbierkou exponátov z čias Česko-slovenskej ľudovej armády.</w:t>
      </w:r>
      <w:r w:rsidRPr="00B96B44">
        <w:rPr>
          <w:i/>
        </w:rPr>
        <w:t xml:space="preserve"> Pre všetkých, ktorí si chcú preveriť a zdokonaliť svoje jazdecké zručnosti - či už na aute alebo motocykle, je pripravené profesionálne </w:t>
      </w:r>
      <w:r w:rsidRPr="00B96B44">
        <w:rPr>
          <w:b/>
          <w:i/>
        </w:rPr>
        <w:t>CENTRUM BEZPEČNEJ JAZDY</w:t>
      </w:r>
      <w:r w:rsidRPr="00B96B44">
        <w:rPr>
          <w:i/>
        </w:rPr>
        <w:t xml:space="preserve"> s najmodernejším tréningovým cvičiskom v strednej Európe. Po aktívnom výkone si môžete dopriať výdatný obed či večeru v reštaurácii Ring a </w:t>
      </w:r>
      <w:r w:rsidRPr="00B96B44">
        <w:rPr>
          <w:b/>
          <w:i/>
        </w:rPr>
        <w:t>Hoteli Ring***</w:t>
      </w:r>
      <w:r w:rsidRPr="00B96B44">
        <w:rPr>
          <w:i/>
        </w:rPr>
        <w:t>, ktorý ponúka komfortné ubytovanie.</w:t>
      </w:r>
      <w:r w:rsidR="00380F63">
        <w:rPr>
          <w:i/>
        </w:rPr>
        <w:t xml:space="preserve"> Poslednou akvizíciou v areáli je špičkové </w:t>
      </w:r>
      <w:r w:rsidR="00380F63" w:rsidRPr="005D350C">
        <w:rPr>
          <w:b/>
          <w:bCs/>
          <w:i/>
        </w:rPr>
        <w:t>Slovenské motokárové centrum</w:t>
      </w:r>
      <w:r w:rsidR="00380F63">
        <w:rPr>
          <w:i/>
        </w:rPr>
        <w:t xml:space="preserve"> a jeho vonkajšia dráha dlhá 1170m. To ponúka bezkonkurenčný priestor pre aktívne jazdy na motokárach pre deti, dospelých ale aj majiteľov vlastných motokár</w:t>
      </w:r>
      <w:r w:rsidR="00FA6A9B">
        <w:rPr>
          <w:i/>
        </w:rPr>
        <w:t xml:space="preserve"> či menších motocyklov</w:t>
      </w:r>
      <w:r w:rsidR="00380F63">
        <w:rPr>
          <w:i/>
        </w:rPr>
        <w:t>. Centrum a dráha je ako jediná na Slovensku homologizovaná licenciou CIK-FIA.</w:t>
      </w:r>
    </w:p>
    <w:p w14:paraId="44FDBB15" w14:textId="1979D9FA" w:rsidR="00F86409" w:rsidRPr="00B96B44" w:rsidRDefault="00F86409">
      <w:pPr>
        <w:spacing w:before="280" w:after="0" w:line="240" w:lineRule="auto"/>
        <w:rPr>
          <w:b/>
        </w:rPr>
      </w:pPr>
      <w:r w:rsidRPr="00B96B44">
        <w:rPr>
          <w:b/>
        </w:rPr>
        <w:t>GENERÁLNYM REKLAMNÝM PARTNEROM OKUHU JE OMV SLOVENSKO.</w:t>
      </w:r>
    </w:p>
    <w:p w14:paraId="4DFFADA2" w14:textId="54FEEC85" w:rsidR="001260EA" w:rsidRPr="00B96B44" w:rsidRDefault="00973AC2">
      <w:pPr>
        <w:spacing w:before="280" w:after="0" w:line="240" w:lineRule="auto"/>
        <w:rPr>
          <w:b/>
        </w:rPr>
      </w:pPr>
      <w:r w:rsidRPr="00B96B44">
        <w:rPr>
          <w:b/>
        </w:rPr>
        <w:t>Ďalšie informácie:</w:t>
      </w:r>
    </w:p>
    <w:tbl>
      <w:tblPr>
        <w:tblW w:w="9072" w:type="dxa"/>
        <w:tblCellMar>
          <w:top w:w="55" w:type="dxa"/>
          <w:left w:w="55" w:type="dxa"/>
          <w:bottom w:w="55" w:type="dxa"/>
          <w:right w:w="55" w:type="dxa"/>
        </w:tblCellMar>
        <w:tblLook w:val="04A0" w:firstRow="1" w:lastRow="0" w:firstColumn="1" w:lastColumn="0" w:noHBand="0" w:noVBand="1"/>
      </w:tblPr>
      <w:tblGrid>
        <w:gridCol w:w="4537"/>
        <w:gridCol w:w="4535"/>
      </w:tblGrid>
      <w:tr w:rsidR="001260EA" w:rsidRPr="00B96B44" w14:paraId="443428BD" w14:textId="77777777">
        <w:tc>
          <w:tcPr>
            <w:tcW w:w="4536" w:type="dxa"/>
            <w:shd w:val="clear" w:color="auto" w:fill="auto"/>
          </w:tcPr>
          <w:p w14:paraId="798550E4" w14:textId="088CC402" w:rsidR="001260EA" w:rsidRDefault="005D350C">
            <w:pPr>
              <w:pStyle w:val="Zkladntext"/>
            </w:pPr>
            <w:r>
              <w:t xml:space="preserve">Ing. </w:t>
            </w:r>
            <w:r w:rsidR="00973AC2" w:rsidRPr="00B96B44">
              <w:t>Peter Pecze</w:t>
            </w:r>
            <w:r w:rsidR="00973AC2" w:rsidRPr="00B96B44">
              <w:br/>
              <w:t>Marketing Director, SLOVAKIA RING</w:t>
            </w:r>
            <w:r w:rsidR="00973AC2" w:rsidRPr="00B96B44">
              <w:br/>
              <w:t>mobil: +421 911 423 134</w:t>
            </w:r>
            <w:r w:rsidR="00973AC2" w:rsidRPr="00B96B44">
              <w:br/>
              <w:t xml:space="preserve">e-mail: </w:t>
            </w:r>
            <w:hyperlink r:id="rId7" w:history="1">
              <w:r w:rsidR="00FA6A9B" w:rsidRPr="007D02E6">
                <w:rPr>
                  <w:rStyle w:val="Hypertextovprepojenie"/>
                </w:rPr>
                <w:t>pecze@slovakiaring.sk</w:t>
              </w:r>
            </w:hyperlink>
          </w:p>
          <w:p w14:paraId="64B4FE8F" w14:textId="73BF54DB" w:rsidR="00FA6A9B" w:rsidRPr="00B96B44" w:rsidRDefault="00FA6A9B">
            <w:pPr>
              <w:pStyle w:val="Zkladntext"/>
            </w:pPr>
            <w:hyperlink r:id="rId8" w:history="1">
              <w:r w:rsidRPr="007D02E6">
                <w:rPr>
                  <w:rStyle w:val="Hypertextovprepojenie"/>
                </w:rPr>
                <w:t>www.slovakiaring.sk</w:t>
              </w:r>
            </w:hyperlink>
            <w:r>
              <w:t xml:space="preserve"> </w:t>
            </w:r>
          </w:p>
        </w:tc>
        <w:tc>
          <w:tcPr>
            <w:tcW w:w="4535" w:type="dxa"/>
            <w:shd w:val="clear" w:color="auto" w:fill="auto"/>
          </w:tcPr>
          <w:p w14:paraId="0E96A492" w14:textId="1CF1AD1B" w:rsidR="001260EA" w:rsidRPr="00B96B44" w:rsidRDefault="001260EA">
            <w:pPr>
              <w:pStyle w:val="Zkladntext"/>
            </w:pPr>
          </w:p>
        </w:tc>
      </w:tr>
    </w:tbl>
    <w:p w14:paraId="200BC13D" w14:textId="77777777" w:rsidR="001260EA" w:rsidRPr="00B96B44" w:rsidRDefault="001260EA">
      <w:pPr>
        <w:jc w:val="both"/>
      </w:pPr>
    </w:p>
    <w:sectPr w:rsidR="001260EA" w:rsidRPr="00B96B44">
      <w:headerReference w:type="default" r:id="rId9"/>
      <w:pgSz w:w="11906" w:h="16838"/>
      <w:pgMar w:top="1417" w:right="1417" w:bottom="1417" w:left="1417" w:header="708" w:footer="0" w:gutter="0"/>
      <w:cols w:space="708"/>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28DD3" w14:textId="77777777" w:rsidR="00AA52B9" w:rsidRDefault="00AA52B9">
      <w:pPr>
        <w:spacing w:after="0" w:line="240" w:lineRule="auto"/>
      </w:pPr>
      <w:r>
        <w:separator/>
      </w:r>
    </w:p>
  </w:endnote>
  <w:endnote w:type="continuationSeparator" w:id="0">
    <w:p w14:paraId="734C4A03" w14:textId="77777777" w:rsidR="00AA52B9" w:rsidRDefault="00AA5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Liberation Serif">
    <w:altName w:val="Times New Roman"/>
    <w:charset w:val="01"/>
    <w:family w:val="roman"/>
    <w:pitch w:val="variable"/>
  </w:font>
  <w:font w:name="Tahoma">
    <w:panose1 w:val="020B0604030504040204"/>
    <w:charset w:val="EE"/>
    <w:family w:val="swiss"/>
    <w:pitch w:val="variable"/>
    <w:sig w:usb0="E1002EFF" w:usb1="C000605B" w:usb2="00000029" w:usb3="00000000" w:csb0="0001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AEB91" w14:textId="77777777" w:rsidR="00AA52B9" w:rsidRDefault="00AA52B9">
      <w:pPr>
        <w:spacing w:after="0" w:line="240" w:lineRule="auto"/>
      </w:pPr>
      <w:r>
        <w:separator/>
      </w:r>
    </w:p>
  </w:footnote>
  <w:footnote w:type="continuationSeparator" w:id="0">
    <w:p w14:paraId="5B58ABCD" w14:textId="77777777" w:rsidR="00AA52B9" w:rsidRDefault="00AA5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0027" w14:textId="77777777" w:rsidR="001260EA" w:rsidRDefault="00973AC2">
    <w:pPr>
      <w:pStyle w:val="Hlavika"/>
    </w:pPr>
    <w:r>
      <w:rPr>
        <w:noProof/>
        <w:lang w:eastAsia="sk-SK"/>
      </w:rPr>
      <w:drawing>
        <wp:inline distT="0" distB="0" distL="0" distR="0" wp14:anchorId="61B38786" wp14:editId="3F630834">
          <wp:extent cx="826770" cy="835660"/>
          <wp:effectExtent l="0" t="0" r="0" b="0"/>
          <wp:docPr id="1" name="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pic:cNvPicPr>
                    <a:picLocks noChangeAspect="1" noChangeArrowheads="1"/>
                  </pic:cNvPicPr>
                </pic:nvPicPr>
                <pic:blipFill>
                  <a:blip r:embed="rId1"/>
                  <a:stretch>
                    <a:fillRect/>
                  </a:stretch>
                </pic:blipFill>
                <pic:spPr bwMode="auto">
                  <a:xfrm>
                    <a:off x="0" y="0"/>
                    <a:ext cx="826770" cy="835660"/>
                  </a:xfrm>
                  <a:prstGeom prst="rect">
                    <a:avLst/>
                  </a:prstGeom>
                </pic:spPr>
              </pic:pic>
            </a:graphicData>
          </a:graphic>
        </wp:inline>
      </w:drawing>
    </w:r>
  </w:p>
  <w:p w14:paraId="1CEE9B4E" w14:textId="77777777" w:rsidR="001260EA" w:rsidRDefault="001260EA">
    <w:pPr>
      <w:pStyle w:val="Hlavika"/>
    </w:pPr>
  </w:p>
  <w:p w14:paraId="08C8CF96" w14:textId="77777777" w:rsidR="001260EA" w:rsidRDefault="001260EA">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EA"/>
    <w:rsid w:val="000025FD"/>
    <w:rsid w:val="001260EA"/>
    <w:rsid w:val="00160D53"/>
    <w:rsid w:val="002A6542"/>
    <w:rsid w:val="002F38DA"/>
    <w:rsid w:val="00321E8D"/>
    <w:rsid w:val="00380F63"/>
    <w:rsid w:val="003842EC"/>
    <w:rsid w:val="00414980"/>
    <w:rsid w:val="005064A1"/>
    <w:rsid w:val="0053528C"/>
    <w:rsid w:val="0057552F"/>
    <w:rsid w:val="005D350C"/>
    <w:rsid w:val="00600425"/>
    <w:rsid w:val="00633B72"/>
    <w:rsid w:val="006A3405"/>
    <w:rsid w:val="00796F64"/>
    <w:rsid w:val="007C29BB"/>
    <w:rsid w:val="0083501E"/>
    <w:rsid w:val="008A58E7"/>
    <w:rsid w:val="008E0E39"/>
    <w:rsid w:val="00944E2C"/>
    <w:rsid w:val="0096044D"/>
    <w:rsid w:val="00963E95"/>
    <w:rsid w:val="00965615"/>
    <w:rsid w:val="00973AC2"/>
    <w:rsid w:val="009C161E"/>
    <w:rsid w:val="009F2AE9"/>
    <w:rsid w:val="00AA1E03"/>
    <w:rsid w:val="00AA52B9"/>
    <w:rsid w:val="00AD665A"/>
    <w:rsid w:val="00B96B44"/>
    <w:rsid w:val="00BE7BF0"/>
    <w:rsid w:val="00C02EBC"/>
    <w:rsid w:val="00CA0BA8"/>
    <w:rsid w:val="00DA6FCB"/>
    <w:rsid w:val="00DB2D46"/>
    <w:rsid w:val="00DF1932"/>
    <w:rsid w:val="00DF4F7D"/>
    <w:rsid w:val="00E31112"/>
    <w:rsid w:val="00EB3DFD"/>
    <w:rsid w:val="00F506F7"/>
    <w:rsid w:val="00F64BE7"/>
    <w:rsid w:val="00F86409"/>
    <w:rsid w:val="00F92F00"/>
    <w:rsid w:val="00FA6A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B9DE"/>
  <w15:docId w15:val="{D5560C0B-248A-4122-97D5-5CBFF03C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Arial Unicode MS" w:hAnsi="Calibri" w:cs="Arial Unicode MS"/>
        <w:szCs w:val="22"/>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pPr>
      <w:spacing w:after="160" w:line="259" w:lineRule="auto"/>
    </w:pPr>
    <w:rPr>
      <w:rFonts w:eastAsia="Calibri"/>
      <w:color w:val="00000A"/>
      <w:sz w:val="22"/>
    </w:rPr>
  </w:style>
  <w:style w:type="paragraph" w:styleId="Nadpis2">
    <w:name w:val="heading 2"/>
    <w:basedOn w:val="Normlny"/>
    <w:qFormat/>
    <w:pPr>
      <w:widowControl w:val="0"/>
      <w:spacing w:before="200" w:after="120"/>
      <w:outlineLvl w:val="1"/>
    </w:pPr>
    <w:rPr>
      <w:rFonts w:ascii="Liberation Serif" w:eastAsia="Tahoma" w:hAnsi="Liberation Serif" w:cs="Tahoma"/>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HlavikaChar">
    <w:name w:val="Hlavička Char"/>
    <w:basedOn w:val="Predvolenpsmoodseku"/>
    <w:link w:val="Hlavika"/>
    <w:uiPriority w:val="99"/>
    <w:qFormat/>
  </w:style>
  <w:style w:type="character" w:customStyle="1" w:styleId="PtaChar">
    <w:name w:val="Päta Char"/>
    <w:basedOn w:val="Predvolenpsmoodseku"/>
    <w:link w:val="Pta"/>
    <w:uiPriority w:val="99"/>
    <w:qFormat/>
  </w:style>
  <w:style w:type="character" w:customStyle="1" w:styleId="InternetLink">
    <w:name w:val="Internet Link"/>
    <w:basedOn w:val="Predvolenpsmoodseku"/>
    <w:uiPriority w:val="99"/>
    <w:unhideWhenUsed/>
    <w:rsid w:val="008D72DA"/>
    <w:rPr>
      <w:color w:val="0563C1" w:themeColor="hyperlink"/>
      <w:u w:val="single"/>
    </w:rPr>
  </w:style>
  <w:style w:type="character" w:customStyle="1" w:styleId="TextbublinyChar">
    <w:name w:val="Text bubliny Char"/>
    <w:basedOn w:val="Predvolenpsmoodseku"/>
    <w:link w:val="Textbubliny"/>
    <w:uiPriority w:val="99"/>
    <w:qFormat/>
    <w:rPr>
      <w:rFonts w:ascii="Tahoma" w:hAnsi="Tahoma" w:cs="Tahoma"/>
      <w:color w:val="00000A"/>
      <w:sz w:val="16"/>
      <w:szCs w:val="16"/>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character" w:customStyle="1" w:styleId="Silnzvraznenie">
    <w:name w:val="Silné zvýraznenie"/>
    <w:qFormat/>
    <w:rPr>
      <w:b/>
      <w:bCs/>
    </w:rPr>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Internetovodkaz">
    <w:name w:val="Internetový odkaz"/>
    <w:qFormat/>
    <w:rPr>
      <w:color w:val="000080"/>
      <w:u w:val="single"/>
    </w:rPr>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StrongEmphasis">
    <w:name w:val="Strong Emphasis"/>
    <w:qFormat/>
    <w:rPr>
      <w:b/>
      <w:bCs/>
    </w:rPr>
  </w:style>
  <w:style w:type="character" w:customStyle="1" w:styleId="ListLabel14">
    <w:name w:val="ListLabel 14"/>
    <w:qFormat/>
  </w:style>
  <w:style w:type="paragraph" w:customStyle="1" w:styleId="Heading">
    <w:name w:val="Heading"/>
    <w:basedOn w:val="Normlny"/>
    <w:next w:val="Zkladntext"/>
    <w:qFormat/>
    <w:pPr>
      <w:keepNext/>
      <w:spacing w:before="240" w:after="120"/>
    </w:pPr>
    <w:rPr>
      <w:rFonts w:ascii="Liberation Sans" w:eastAsia="Arial Unicode MS" w:hAnsi="Liberation Sans"/>
      <w:sz w:val="28"/>
      <w:szCs w:val="28"/>
    </w:rPr>
  </w:style>
  <w:style w:type="paragraph" w:styleId="Zkladntext">
    <w:name w:val="Body Text"/>
    <w:basedOn w:val="Normlny"/>
    <w:pPr>
      <w:spacing w:after="140" w:line="288" w:lineRule="auto"/>
    </w:pPr>
  </w:style>
  <w:style w:type="paragraph" w:styleId="Zoznam">
    <w:name w:val="List"/>
    <w:basedOn w:val="Zkladntext"/>
  </w:style>
  <w:style w:type="paragraph" w:styleId="Popis">
    <w:name w:val="caption"/>
    <w:basedOn w:val="Normlny"/>
    <w:qFormat/>
    <w:pPr>
      <w:spacing w:before="120" w:after="120"/>
    </w:pPr>
    <w:rPr>
      <w:i/>
      <w:sz w:val="24"/>
      <w:szCs w:val="24"/>
    </w:rPr>
  </w:style>
  <w:style w:type="paragraph" w:customStyle="1" w:styleId="Index">
    <w:name w:val="Index"/>
    <w:basedOn w:val="Normlny"/>
    <w:qFormat/>
  </w:style>
  <w:style w:type="paragraph" w:customStyle="1" w:styleId="Nadpis">
    <w:name w:val="Nadpis"/>
    <w:basedOn w:val="Normlny"/>
    <w:qFormat/>
    <w:pPr>
      <w:keepNext/>
      <w:spacing w:before="240" w:after="120"/>
    </w:pPr>
    <w:rPr>
      <w:rFonts w:ascii="Liberation Sans" w:eastAsia="Arial Unicode MS" w:hAnsi="Liberation Sans"/>
      <w:sz w:val="28"/>
      <w:szCs w:val="28"/>
    </w:rPr>
  </w:style>
  <w:style w:type="paragraph" w:styleId="Hlavika">
    <w:name w:val="header"/>
    <w:basedOn w:val="Normlny"/>
    <w:link w:val="HlavikaChar"/>
    <w:uiPriority w:val="99"/>
    <w:pPr>
      <w:tabs>
        <w:tab w:val="center" w:pos="4536"/>
        <w:tab w:val="right" w:pos="9072"/>
      </w:tabs>
      <w:spacing w:after="0" w:line="240" w:lineRule="auto"/>
    </w:pPr>
  </w:style>
  <w:style w:type="paragraph" w:styleId="Pta">
    <w:name w:val="footer"/>
    <w:basedOn w:val="Normlny"/>
    <w:link w:val="PtaChar"/>
    <w:uiPriority w:val="99"/>
    <w:pPr>
      <w:tabs>
        <w:tab w:val="center" w:pos="4536"/>
        <w:tab w:val="right" w:pos="9072"/>
      </w:tabs>
      <w:spacing w:after="0" w:line="240" w:lineRule="auto"/>
    </w:pPr>
  </w:style>
  <w:style w:type="paragraph" w:styleId="Textbubliny">
    <w:name w:val="Balloon Text"/>
    <w:basedOn w:val="Normlny"/>
    <w:link w:val="TextbublinyChar"/>
    <w:uiPriority w:val="99"/>
    <w:qFormat/>
    <w:pPr>
      <w:spacing w:after="0" w:line="240" w:lineRule="auto"/>
    </w:pPr>
    <w:rPr>
      <w:rFonts w:ascii="Tahoma" w:hAnsi="Tahoma" w:cs="Tahoma"/>
      <w:sz w:val="16"/>
      <w:szCs w:val="16"/>
    </w:rPr>
  </w:style>
  <w:style w:type="paragraph" w:customStyle="1" w:styleId="TableContents">
    <w:name w:val="Table Contents"/>
    <w:basedOn w:val="Normlny"/>
    <w:qFormat/>
    <w:pPr>
      <w:suppressLineNumbers/>
    </w:pPr>
  </w:style>
  <w:style w:type="paragraph" w:customStyle="1" w:styleId="TableHeading">
    <w:name w:val="Table Heading"/>
    <w:basedOn w:val="TableContents"/>
    <w:qFormat/>
    <w:pPr>
      <w:jc w:val="center"/>
    </w:pPr>
    <w:rPr>
      <w:b/>
      <w:bCs/>
    </w:rPr>
  </w:style>
  <w:style w:type="character" w:styleId="Hypertextovprepojenie">
    <w:name w:val="Hyperlink"/>
    <w:basedOn w:val="Predvolenpsmoodseku"/>
    <w:uiPriority w:val="99"/>
    <w:unhideWhenUsed/>
    <w:rsid w:val="00B96B44"/>
    <w:rPr>
      <w:color w:val="0563C1" w:themeColor="hyperlink"/>
      <w:u w:val="single"/>
    </w:rPr>
  </w:style>
  <w:style w:type="character" w:styleId="Nevyrieenzmienka">
    <w:name w:val="Unresolved Mention"/>
    <w:basedOn w:val="Predvolenpsmoodseku"/>
    <w:uiPriority w:val="99"/>
    <w:semiHidden/>
    <w:unhideWhenUsed/>
    <w:rsid w:val="00B96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lovakiaring.sk" TargetMode="External"/><Relationship Id="rId3" Type="http://schemas.openxmlformats.org/officeDocument/2006/relationships/webSettings" Target="webSettings.xml"/><Relationship Id="rId7" Type="http://schemas.openxmlformats.org/officeDocument/2006/relationships/hyperlink" Target="mailto:pecze@slovakiaring.s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lovakiaring.sk/sk/omv-maxxmotion-fia-etrc-202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615</Words>
  <Characters>3509</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Microsoft</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Trenkler</dc:creator>
  <dc:description/>
  <cp:lastModifiedBy>Peter Pecze</cp:lastModifiedBy>
  <cp:revision>4</cp:revision>
  <dcterms:created xsi:type="dcterms:W3CDTF">2023-04-21T13:31:00Z</dcterms:created>
  <dcterms:modified xsi:type="dcterms:W3CDTF">2023-04-21T13:40:00Z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-368139003</vt:i4>
  </property>
</Properties>
</file>