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136A" w:rsidRDefault="009260C4">
      <w:r>
        <w:t>ВСА Лекции</w:t>
      </w:r>
    </w:p>
    <w:p w:rsidR="009260C4" w:rsidRDefault="009260C4">
      <w:r>
        <w:t xml:space="preserve">2.10 Язык и цель синтаксического анализа. </w:t>
      </w:r>
    </w:p>
    <w:p w:rsidR="009260C4" w:rsidRPr="009260C4" w:rsidRDefault="009260C4">
      <w:r>
        <w:t>В основе синтаксического анализа лежит понятие языка, он состоит из 4х элементов:</w:t>
      </w:r>
      <w:r w:rsidRPr="009260C4">
        <w:t xml:space="preserve"> </w:t>
      </w:r>
      <w:r>
        <w:rPr>
          <w:lang w:val="en-US"/>
        </w:rPr>
        <w:t>N</w:t>
      </w:r>
      <w:r w:rsidRPr="009260C4">
        <w:t>,</w:t>
      </w:r>
      <w:r>
        <w:t xml:space="preserve"> </w:t>
      </w:r>
      <w:r>
        <w:rPr>
          <w:lang w:val="en-US"/>
        </w:rPr>
        <w:t>T</w:t>
      </w:r>
      <w:r w:rsidRPr="009260C4">
        <w:t>,</w:t>
      </w:r>
      <w:r>
        <w:t xml:space="preserve"> </w:t>
      </w:r>
      <w:r>
        <w:rPr>
          <w:lang w:val="en-US"/>
        </w:rPr>
        <w:t>P</w:t>
      </w:r>
      <w:r w:rsidRPr="009260C4">
        <w:t xml:space="preserve">, </w:t>
      </w:r>
      <w:r>
        <w:rPr>
          <w:lang w:val="en-US"/>
        </w:rPr>
        <w:t>S</w:t>
      </w:r>
      <w:r>
        <w:t>.</w:t>
      </w:r>
    </w:p>
    <w:p w:rsidR="009260C4" w:rsidRDefault="009260C4">
      <w:r>
        <w:rPr>
          <w:lang w:val="en-US"/>
        </w:rPr>
        <w:t>N</w:t>
      </w:r>
      <w:r w:rsidRPr="00DB4CEA">
        <w:t xml:space="preserve"> – </w:t>
      </w:r>
      <w:r>
        <w:t>множество нетерминальных символов</w:t>
      </w:r>
    </w:p>
    <w:p w:rsidR="009260C4" w:rsidRDefault="009260C4">
      <w:r>
        <w:rPr>
          <w:lang w:val="en-US"/>
        </w:rPr>
        <w:t>T</w:t>
      </w:r>
      <w:r w:rsidRPr="00DB4CEA">
        <w:t xml:space="preserve"> –</w:t>
      </w:r>
      <w:r>
        <w:t xml:space="preserve"> множество терминальных символов</w:t>
      </w:r>
    </w:p>
    <w:p w:rsidR="009260C4" w:rsidRDefault="009260C4">
      <w:r>
        <w:rPr>
          <w:lang w:val="en-US"/>
        </w:rPr>
        <w:t>P</w:t>
      </w:r>
      <w:r>
        <w:t xml:space="preserve"> </w:t>
      </w:r>
      <w:r w:rsidRPr="00DB4CEA">
        <w:t>–</w:t>
      </w:r>
      <w:r>
        <w:t xml:space="preserve"> множество правил</w:t>
      </w:r>
    </w:p>
    <w:p w:rsidR="009260C4" w:rsidRDefault="009260C4">
      <w:r>
        <w:rPr>
          <w:lang w:val="en-US"/>
        </w:rPr>
        <w:t>S</w:t>
      </w:r>
      <w:r w:rsidRPr="009260C4">
        <w:t xml:space="preserve"> – </w:t>
      </w:r>
      <w:r>
        <w:t>начальный символ вывода</w:t>
      </w:r>
    </w:p>
    <w:p w:rsidR="009260C4" w:rsidRDefault="009260C4"/>
    <w:p w:rsidR="009260C4" w:rsidRDefault="009260C4">
      <w:r>
        <w:t xml:space="preserve">В этой структуре из начального символа с помощью правил можно построить все правильные цепочки. В дальнейшем под цепочкой будем понимать слово, предложение или даже кусок текста. В записи цепочек участвуют исключительно члены множества </w:t>
      </w:r>
      <w:r>
        <w:rPr>
          <w:lang w:val="en-US"/>
        </w:rPr>
        <w:t>T</w:t>
      </w:r>
      <w:r w:rsidRPr="009260C4">
        <w:t xml:space="preserve">, </w:t>
      </w:r>
      <w:r>
        <w:t xml:space="preserve">а члены множества </w:t>
      </w:r>
      <w:r>
        <w:rPr>
          <w:lang w:val="en-US"/>
        </w:rPr>
        <w:t>N</w:t>
      </w:r>
      <w:r w:rsidRPr="009260C4">
        <w:t xml:space="preserve"> </w:t>
      </w:r>
      <w:r>
        <w:t xml:space="preserve">участвуют в записи правил. </w:t>
      </w:r>
      <w:r w:rsidR="00EF7CC6">
        <w:t xml:space="preserve">Правила в множестве </w:t>
      </w:r>
      <w:r w:rsidR="00EF7CC6">
        <w:rPr>
          <w:lang w:val="en-US"/>
        </w:rPr>
        <w:t>P</w:t>
      </w:r>
      <w:r w:rsidR="00EF7CC6">
        <w:t xml:space="preserve"> исключительно верны и достаточны. Центральным аспектом теории является множество </w:t>
      </w:r>
      <w:r w:rsidR="00EF7CC6">
        <w:rPr>
          <w:lang w:val="en-US"/>
        </w:rPr>
        <w:t>P</w:t>
      </w:r>
      <w:r w:rsidR="00EF7CC6" w:rsidRPr="00EF7CC6">
        <w:t xml:space="preserve">. </w:t>
      </w:r>
      <w:r w:rsidR="00EF7CC6">
        <w:t xml:space="preserve">С точки зрения машинных алгоритмов множество </w:t>
      </w:r>
      <w:r w:rsidR="00EF7CC6">
        <w:rPr>
          <w:lang w:val="en-US"/>
        </w:rPr>
        <w:t>P</w:t>
      </w:r>
      <w:r w:rsidR="00EF7CC6" w:rsidRPr="00EF7CC6">
        <w:t xml:space="preserve"> </w:t>
      </w:r>
      <w:r w:rsidR="00EF7CC6">
        <w:t>–</w:t>
      </w:r>
      <w:r w:rsidR="00EF7CC6" w:rsidRPr="00EF7CC6">
        <w:t xml:space="preserve"> </w:t>
      </w:r>
      <w:r w:rsidR="00EF7CC6">
        <w:t>существует в двух вариантах:</w:t>
      </w:r>
    </w:p>
    <w:p w:rsidR="00EF7CC6" w:rsidRDefault="00EF7CC6" w:rsidP="00EF7CC6">
      <w:pPr>
        <w:pStyle w:val="a7"/>
        <w:numPr>
          <w:ilvl w:val="0"/>
          <w:numId w:val="1"/>
        </w:numPr>
      </w:pPr>
      <w:r>
        <w:t>Порождающая грамматика</w:t>
      </w:r>
    </w:p>
    <w:p w:rsidR="00EF7CC6" w:rsidRDefault="00EF7CC6" w:rsidP="00EF7CC6">
      <w:pPr>
        <w:pStyle w:val="a7"/>
        <w:numPr>
          <w:ilvl w:val="0"/>
          <w:numId w:val="1"/>
        </w:numPr>
      </w:pPr>
      <w:r>
        <w:t>Синтаксический граф</w:t>
      </w:r>
    </w:p>
    <w:p w:rsidR="00EF7CC6" w:rsidRDefault="00EF7CC6" w:rsidP="00EF7CC6">
      <w:r>
        <w:t>Порождающая грамматика состоит из следующих элементов:</w:t>
      </w:r>
    </w:p>
    <w:p w:rsidR="00EF7CC6" w:rsidRDefault="00EF7CC6" w:rsidP="00EF7CC6">
      <w:pPr>
        <w:pStyle w:val="a7"/>
        <w:numPr>
          <w:ilvl w:val="0"/>
          <w:numId w:val="2"/>
        </w:numPr>
      </w:pPr>
      <w:r>
        <w:t>Каждое правило представляет собой строку</w:t>
      </w:r>
    </w:p>
    <w:p w:rsidR="00EF7CC6" w:rsidRDefault="00EF7CC6" w:rsidP="00EF7CC6">
      <w:pPr>
        <w:pStyle w:val="a7"/>
        <w:numPr>
          <w:ilvl w:val="0"/>
          <w:numId w:val="2"/>
        </w:numPr>
      </w:pPr>
      <w:r>
        <w:t xml:space="preserve">У строки есть левая и правая часть </w:t>
      </w:r>
    </w:p>
    <w:p w:rsidR="00EF7CC6" w:rsidRDefault="00EF7CC6" w:rsidP="00EF7CC6">
      <w:pPr>
        <w:pStyle w:val="a7"/>
        <w:numPr>
          <w:ilvl w:val="0"/>
          <w:numId w:val="2"/>
        </w:numPr>
      </w:pPr>
      <w:r>
        <w:t xml:space="preserve">В левой части – символы из множества </w:t>
      </w:r>
      <w:r>
        <w:rPr>
          <w:lang w:val="en-US"/>
        </w:rPr>
        <w:t>N</w:t>
      </w:r>
      <w:r w:rsidRPr="00EF7CC6">
        <w:t xml:space="preserve"> (</w:t>
      </w:r>
      <w:r>
        <w:t xml:space="preserve">в дальнейшем будем полагать что в множество </w:t>
      </w:r>
      <w:r>
        <w:rPr>
          <w:lang w:val="en-US"/>
        </w:rPr>
        <w:t>N</w:t>
      </w:r>
      <w:r w:rsidRPr="00EF7CC6">
        <w:t xml:space="preserve"> </w:t>
      </w:r>
      <w:r>
        <w:t>входят заглавные латинские буквы)</w:t>
      </w:r>
    </w:p>
    <w:p w:rsidR="00EF7CC6" w:rsidRPr="00933204" w:rsidRDefault="00EF7CC6" w:rsidP="00EF7CC6">
      <w:pPr>
        <w:pStyle w:val="a7"/>
        <w:numPr>
          <w:ilvl w:val="0"/>
          <w:numId w:val="2"/>
        </w:numPr>
      </w:pPr>
      <w:r>
        <w:t xml:space="preserve">В правую часть могут входить элементы множества </w:t>
      </w:r>
      <w:r>
        <w:rPr>
          <w:lang w:val="en-US"/>
        </w:rPr>
        <w:t>N</w:t>
      </w:r>
      <w:r w:rsidRPr="00EF7CC6">
        <w:t xml:space="preserve">, </w:t>
      </w:r>
      <w:r>
        <w:t xml:space="preserve">элементы множества </w:t>
      </w:r>
      <w:r>
        <w:rPr>
          <w:lang w:val="en-US"/>
        </w:rPr>
        <w:t>T</w:t>
      </w:r>
      <w:r w:rsidRPr="00EF7CC6">
        <w:t xml:space="preserve"> </w:t>
      </w:r>
      <w:r>
        <w:t>и два специальных символа</w:t>
      </w:r>
      <w:r w:rsidRPr="00EF7CC6">
        <w:t xml:space="preserve"> </w:t>
      </w:r>
      <w:r>
        <w:t>(</w:t>
      </w:r>
      <w:r w:rsidRPr="00EF7CC6">
        <w:t>|, {})</w:t>
      </w:r>
    </w:p>
    <w:p w:rsidR="00933204" w:rsidRDefault="00933204" w:rsidP="00933204">
      <w:r>
        <w:t xml:space="preserve">Грамматика такого вида называется </w:t>
      </w:r>
      <w:proofErr w:type="spellStart"/>
      <w:r>
        <w:t>бекус-науровой</w:t>
      </w:r>
      <w:proofErr w:type="spellEnd"/>
      <w:r>
        <w:t xml:space="preserve"> формой. </w:t>
      </w:r>
    </w:p>
    <w:p w:rsidR="00933204" w:rsidRPr="00DB4CEA" w:rsidRDefault="00933204" w:rsidP="00933204">
      <w:r>
        <w:t>Операция отождествления заключается в следующем – левая часть правила должна заменяться на правую до тех пор, пока в ней не останется ни терминальных символов, ни специальных элементов. Вертикальная черта означает альтернативу</w:t>
      </w:r>
      <w:proofErr w:type="gramStart"/>
      <w:r w:rsidRPr="00933204">
        <w:t>;</w:t>
      </w:r>
      <w:r>
        <w:t xml:space="preserve"> При</w:t>
      </w:r>
      <w:proofErr w:type="gramEnd"/>
      <w:r>
        <w:t xml:space="preserve"> отождествлении можно взять любую часть альтернативы. При отождествлении тело цикла можно взять любое количество раз, начиная от нуля. </w:t>
      </w:r>
    </w:p>
    <w:p w:rsidR="00DB4CEA" w:rsidRDefault="00DB4CEA" w:rsidP="00933204">
      <w:r>
        <w:br w:type="page"/>
      </w:r>
    </w:p>
    <w:p w:rsidR="00DB4CEA" w:rsidRDefault="00DB4CEA" w:rsidP="00933204">
      <w:r>
        <w:rPr>
          <w:lang w:val="en-US"/>
        </w:rPr>
        <w:lastRenderedPageBreak/>
        <w:t xml:space="preserve">30.10 </w:t>
      </w:r>
      <w:r>
        <w:t xml:space="preserve">Окончательная постановка задачи. </w:t>
      </w:r>
    </w:p>
    <w:p w:rsidR="00DB4CEA" w:rsidRDefault="00DB4CEA" w:rsidP="00933204">
      <w:r w:rsidRPr="00DB4CEA">
        <w:t>&lt;</w:t>
      </w:r>
      <w:r>
        <w:t>оператор</w:t>
      </w:r>
      <w:r w:rsidRPr="00DB4CEA">
        <w:t>&gt;</w:t>
      </w:r>
      <w:r>
        <w:t>=</w:t>
      </w:r>
      <w:r w:rsidRPr="00DB4CEA">
        <w:t xml:space="preserve"> </w:t>
      </w:r>
      <w:r>
        <w:rPr>
          <w:lang w:val="en-US"/>
        </w:rPr>
        <w:t>if</w:t>
      </w:r>
      <w:r w:rsidRPr="00DB4CEA">
        <w:t xml:space="preserve"> &lt;</w:t>
      </w:r>
      <w:r>
        <w:t>условие</w:t>
      </w:r>
      <w:r w:rsidRPr="00DB4CEA">
        <w:t>&gt;</w:t>
      </w:r>
      <w:r>
        <w:t xml:space="preserve"> </w:t>
      </w:r>
      <w:r>
        <w:rPr>
          <w:lang w:val="en-US"/>
        </w:rPr>
        <w:t>then</w:t>
      </w:r>
      <w:r w:rsidRPr="00DB4CEA">
        <w:t xml:space="preserve"> &lt;</w:t>
      </w:r>
      <w:r>
        <w:t>действие 1</w:t>
      </w:r>
      <w:r w:rsidRPr="00DB4CEA">
        <w:t>&gt;</w:t>
      </w:r>
    </w:p>
    <w:p w:rsidR="00DB4CEA" w:rsidRPr="00DB4CEA" w:rsidRDefault="00DB4CEA" w:rsidP="00933204">
      <w:r>
        <w:tab/>
      </w:r>
      <w:r w:rsidRPr="00DB4CEA">
        <w:t>[</w:t>
      </w:r>
      <w:r>
        <w:rPr>
          <w:lang w:val="en-US"/>
        </w:rPr>
        <w:t>else</w:t>
      </w:r>
      <w:r w:rsidRPr="00DB4CEA">
        <w:t xml:space="preserve"> &lt;</w:t>
      </w:r>
      <w:r>
        <w:t>действие 2</w:t>
      </w:r>
      <w:r w:rsidRPr="00DB4CEA">
        <w:t>&gt;]</w:t>
      </w:r>
    </w:p>
    <w:p w:rsidR="00DB4CEA" w:rsidRDefault="00DB4CEA" w:rsidP="00933204">
      <w:pPr>
        <w:rPr>
          <w:lang w:val="en-US"/>
        </w:rPr>
      </w:pPr>
      <w:r w:rsidRPr="00DB4CEA">
        <w:t>&lt;</w:t>
      </w:r>
      <w:r>
        <w:t>условие</w:t>
      </w:r>
      <w:r w:rsidRPr="00DB4CEA">
        <w:t>&gt;</w:t>
      </w:r>
      <w:r>
        <w:t>=</w:t>
      </w:r>
      <w:r w:rsidRPr="00DB4CEA">
        <w:t>$$$</w:t>
      </w:r>
      <w:proofErr w:type="gramStart"/>
      <w:r w:rsidRPr="00DB4CEA">
        <w:t>|&lt;</w:t>
      </w:r>
      <w:proofErr w:type="gramEnd"/>
      <w:r>
        <w:t>логическое выражение</w:t>
      </w:r>
      <w:r w:rsidRPr="00DB4CEA">
        <w:t>&gt;;</w:t>
      </w:r>
    </w:p>
    <w:p w:rsidR="00DB4CEA" w:rsidRDefault="00DB4CEA" w:rsidP="00DB4CEA">
      <w:r w:rsidRPr="00DB4CEA">
        <w:t>&lt;</w:t>
      </w:r>
      <w:r>
        <w:t xml:space="preserve">действие </w:t>
      </w:r>
      <w:proofErr w:type="gramStart"/>
      <w:r>
        <w:t>12</w:t>
      </w:r>
      <w:r w:rsidRPr="00DB4CEA">
        <w:t>&gt;</w:t>
      </w:r>
      <w:r>
        <w:t>=</w:t>
      </w:r>
      <w:proofErr w:type="gramEnd"/>
      <w:r w:rsidRPr="00DB4CEA">
        <w:t>$$$|&lt;</w:t>
      </w:r>
      <w:r>
        <w:t>оператор</w:t>
      </w:r>
      <w:r w:rsidRPr="00DB4CEA">
        <w:t>&gt;;</w:t>
      </w:r>
    </w:p>
    <w:p w:rsidR="00DB4CEA" w:rsidRDefault="00DB4CEA" w:rsidP="00DB4CEA"/>
    <w:p w:rsidR="00DB4CEA" w:rsidRPr="00DB4CEA" w:rsidRDefault="00DB4CEA" w:rsidP="00DB4CEA">
      <w:r w:rsidRPr="00DB4CEA">
        <w:t>&lt;</w:t>
      </w:r>
      <w:r>
        <w:t>Логическое выражение</w:t>
      </w:r>
      <w:r w:rsidRPr="00DB4CEA">
        <w:t>&gt;</w:t>
      </w:r>
      <w:r>
        <w:t xml:space="preserve"> – связка переменных </w:t>
      </w:r>
      <w:r>
        <w:rPr>
          <w:lang w:val="en-US"/>
        </w:rPr>
        <w:t>and</w:t>
      </w:r>
      <w:r w:rsidRPr="00DB4CEA">
        <w:t xml:space="preserve">; </w:t>
      </w:r>
      <w:r>
        <w:rPr>
          <w:lang w:val="en-US"/>
        </w:rPr>
        <w:t>or</w:t>
      </w:r>
      <w:r w:rsidRPr="00DB4CEA">
        <w:t xml:space="preserve">; </w:t>
      </w:r>
      <w:r>
        <w:rPr>
          <w:lang w:val="en-US"/>
        </w:rPr>
        <w:t>not</w:t>
      </w:r>
      <w:r w:rsidRPr="00DB4CEA">
        <w:t>; (</w:t>
      </w:r>
      <w:proofErr w:type="gramStart"/>
      <w:r w:rsidRPr="00DB4CEA">
        <w:t>; )</w:t>
      </w:r>
      <w:proofErr w:type="gramEnd"/>
      <w:r w:rsidRPr="00DB4CEA">
        <w:t>;</w:t>
      </w:r>
    </w:p>
    <w:p w:rsidR="00DB4CEA" w:rsidRPr="00DB4CEA" w:rsidRDefault="00DB4CEA" w:rsidP="00933204"/>
    <w:sectPr w:rsidR="00DB4CEA" w:rsidRPr="00DB4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40E"/>
    <w:multiLevelType w:val="hybridMultilevel"/>
    <w:tmpl w:val="9AE01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12F7E"/>
    <w:multiLevelType w:val="hybridMultilevel"/>
    <w:tmpl w:val="051C4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85530">
    <w:abstractNumId w:val="0"/>
  </w:num>
  <w:num w:numId="2" w16cid:durableId="1883010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C4"/>
    <w:rsid w:val="001A624C"/>
    <w:rsid w:val="003A136A"/>
    <w:rsid w:val="00401986"/>
    <w:rsid w:val="0067598C"/>
    <w:rsid w:val="00914728"/>
    <w:rsid w:val="009260C4"/>
    <w:rsid w:val="00933204"/>
    <w:rsid w:val="00A152B6"/>
    <w:rsid w:val="00B63F15"/>
    <w:rsid w:val="00BF4590"/>
    <w:rsid w:val="00DB0783"/>
    <w:rsid w:val="00DB4CEA"/>
    <w:rsid w:val="00E10C65"/>
    <w:rsid w:val="00E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3EA27"/>
  <w15:chartTrackingRefBased/>
  <w15:docId w15:val="{E770C4A7-1A53-CA44-B524-62EA0AE2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6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6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60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60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60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60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60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60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60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60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6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6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60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60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60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6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60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6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3</cp:revision>
  <dcterms:created xsi:type="dcterms:W3CDTF">2024-10-02T09:59:00Z</dcterms:created>
  <dcterms:modified xsi:type="dcterms:W3CDTF">2024-10-30T10:45:00Z</dcterms:modified>
</cp:coreProperties>
</file>