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DF5D" w14:textId="30C33EB3" w:rsid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12845A0A" w14:textId="4D492CDF" w:rsidR="007C5B3A" w:rsidRPr="00AC7D41" w:rsidRDefault="00164A13" w:rsidP="001B3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41">
        <w:rPr>
          <w:rFonts w:ascii="Times New Roman" w:hAnsi="Times New Roman" w:cs="Times New Roman"/>
          <w:b/>
          <w:sz w:val="28"/>
          <w:szCs w:val="28"/>
        </w:rPr>
        <w:t>Нейтронно-физический расчет</w:t>
      </w:r>
    </w:p>
    <w:p w14:paraId="6FB82FA9" w14:textId="4061DF36" w:rsidR="00164A13" w:rsidRPr="00AC7D41" w:rsidRDefault="00D15809" w:rsidP="001B32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B28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164A13" w:rsidRPr="00AC7D41">
        <w:rPr>
          <w:rFonts w:ascii="Times New Roman" w:hAnsi="Times New Roman" w:cs="Times New Roman"/>
          <w:b/>
          <w:sz w:val="28"/>
          <w:szCs w:val="28"/>
        </w:rPr>
        <w:t>Формирование картограммы загрузки реактора.</w:t>
      </w:r>
    </w:p>
    <w:p w14:paraId="07644D4E" w14:textId="1F8BC518" w:rsidR="00164A13" w:rsidRPr="00AC7D41" w:rsidRDefault="00164A13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b/>
          <w:sz w:val="28"/>
          <w:szCs w:val="28"/>
        </w:rPr>
        <w:tab/>
      </w:r>
      <w:r w:rsidRPr="00AC7D41">
        <w:rPr>
          <w:rFonts w:ascii="Times New Roman" w:hAnsi="Times New Roman" w:cs="Times New Roman"/>
          <w:sz w:val="28"/>
          <w:szCs w:val="28"/>
        </w:rPr>
        <w:t xml:space="preserve">Данные по конструкции ядерных реакторов и структуре активных зон судовых установок в доступной литературе предоставлены неполно, в связи с этим при проектировании морского транспортного </w:t>
      </w:r>
      <w:r w:rsidR="00F76F3F" w:rsidRPr="00AC7D41">
        <w:rPr>
          <w:rFonts w:ascii="Times New Roman" w:hAnsi="Times New Roman" w:cs="Times New Roman"/>
          <w:sz w:val="28"/>
          <w:szCs w:val="28"/>
        </w:rPr>
        <w:t xml:space="preserve">реактора следует ориентироваться на теплофизические и нейтронно – физические параметры, а </w:t>
      </w:r>
      <w:r w:rsidR="0064093B" w:rsidRPr="00AC7D41">
        <w:rPr>
          <w:rFonts w:ascii="Times New Roman" w:hAnsi="Times New Roman" w:cs="Times New Roman"/>
          <w:sz w:val="28"/>
          <w:szCs w:val="28"/>
        </w:rPr>
        <w:t>также</w:t>
      </w:r>
      <w:r w:rsidR="00F76F3F" w:rsidRPr="00AC7D41">
        <w:rPr>
          <w:rFonts w:ascii="Times New Roman" w:hAnsi="Times New Roman" w:cs="Times New Roman"/>
          <w:sz w:val="28"/>
          <w:szCs w:val="28"/>
        </w:rPr>
        <w:t xml:space="preserve"> конструктивные решения, принятые в уже существующих судовых ядерных установках и реакторах типа ВВЭР. Кроме того, в дальнейшем,</w:t>
      </w:r>
      <w:r w:rsidR="000B74E7" w:rsidRPr="00AC7D41">
        <w:rPr>
          <w:rFonts w:ascii="Times New Roman" w:hAnsi="Times New Roman" w:cs="Times New Roman"/>
          <w:sz w:val="28"/>
          <w:szCs w:val="28"/>
        </w:rPr>
        <w:t xml:space="preserve"> выбранная компоновка активной зоны будет корректироваться рядом взаимоуточняющих нейтронно-физических и теплогидравлических расчетов.</w:t>
      </w:r>
    </w:p>
    <w:p w14:paraId="48DBCFB4" w14:textId="77777777" w:rsidR="008B0A52" w:rsidRPr="00AC7D41" w:rsidRDefault="000B74E7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ab/>
      </w:r>
      <w:r w:rsidR="008B0A52" w:rsidRPr="00AC7D41">
        <w:rPr>
          <w:rFonts w:ascii="Times New Roman" w:hAnsi="Times New Roman" w:cs="Times New Roman"/>
          <w:sz w:val="28"/>
          <w:szCs w:val="28"/>
        </w:rPr>
        <w:t>Активная зона проектируемого реактора содержит:</w:t>
      </w:r>
    </w:p>
    <w:p w14:paraId="52613369" w14:textId="5AD2EC0B" w:rsidR="008B0A52" w:rsidRPr="0064093B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два типа твэлов разного обогащения: </w:t>
      </w:r>
      <w:r w:rsidR="0064093B" w:rsidRPr="0064093B">
        <w:rPr>
          <w:rFonts w:ascii="Times New Roman" w:hAnsi="Times New Roman" w:cs="Times New Roman"/>
          <w:sz w:val="28"/>
          <w:szCs w:val="28"/>
        </w:rPr>
        <w:t>“</w:t>
      </w:r>
      <w:r w:rsidRPr="00AC7D41">
        <w:rPr>
          <w:rFonts w:ascii="Times New Roman" w:hAnsi="Times New Roman" w:cs="Times New Roman"/>
          <w:sz w:val="28"/>
          <w:szCs w:val="28"/>
        </w:rPr>
        <w:t>легкие</w:t>
      </w:r>
      <w:r w:rsidR="0064093B" w:rsidRPr="0064093B">
        <w:rPr>
          <w:rFonts w:ascii="Times New Roman" w:hAnsi="Times New Roman" w:cs="Times New Roman"/>
          <w:sz w:val="28"/>
          <w:szCs w:val="28"/>
        </w:rPr>
        <w:t>”</w:t>
      </w:r>
      <w:r w:rsidRPr="0064093B">
        <w:rPr>
          <w:rFonts w:ascii="Times New Roman" w:hAnsi="Times New Roman" w:cs="Times New Roman"/>
          <w:sz w:val="28"/>
          <w:szCs w:val="28"/>
        </w:rPr>
        <w:t xml:space="preserve"> твэлы и </w:t>
      </w:r>
      <w:r w:rsidR="0064093B" w:rsidRPr="0064093B">
        <w:rPr>
          <w:rFonts w:ascii="Times New Roman" w:hAnsi="Times New Roman" w:cs="Times New Roman"/>
          <w:sz w:val="28"/>
          <w:szCs w:val="28"/>
        </w:rPr>
        <w:t>“</w:t>
      </w:r>
      <w:r w:rsidRPr="0064093B">
        <w:rPr>
          <w:rFonts w:ascii="Times New Roman" w:hAnsi="Times New Roman" w:cs="Times New Roman"/>
          <w:sz w:val="28"/>
          <w:szCs w:val="28"/>
        </w:rPr>
        <w:t>тяжелые</w:t>
      </w:r>
      <w:r w:rsidR="0064093B" w:rsidRPr="0064093B">
        <w:rPr>
          <w:rFonts w:ascii="Times New Roman" w:hAnsi="Times New Roman" w:cs="Times New Roman"/>
          <w:sz w:val="28"/>
          <w:szCs w:val="28"/>
        </w:rPr>
        <w:t>”</w:t>
      </w:r>
      <w:r w:rsidRPr="0064093B">
        <w:rPr>
          <w:rFonts w:ascii="Times New Roman" w:hAnsi="Times New Roman" w:cs="Times New Roman"/>
          <w:sz w:val="28"/>
          <w:szCs w:val="28"/>
        </w:rPr>
        <w:t xml:space="preserve"> твэлы;</w:t>
      </w:r>
    </w:p>
    <w:p w14:paraId="42A37B07" w14:textId="077DB0BC" w:rsidR="000B74E7" w:rsidRPr="00AC7D41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два типа СВП: меньшего и большего диаметра;</w:t>
      </w:r>
    </w:p>
    <w:p w14:paraId="7BF1C488" w14:textId="2E47148B" w:rsidR="008B0A52" w:rsidRPr="00AC7D41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кластеры, содержащие компенсирующие стержни (ПЭЛы);</w:t>
      </w:r>
    </w:p>
    <w:p w14:paraId="39A5F6AE" w14:textId="4AF2B32D" w:rsidR="00944E24" w:rsidRPr="001B32A0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стержни аварийной защиты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C7D41">
        <w:rPr>
          <w:rFonts w:ascii="Times New Roman" w:hAnsi="Times New Roman" w:cs="Times New Roman"/>
          <w:sz w:val="28"/>
          <w:szCs w:val="28"/>
        </w:rPr>
        <w:t>АЗ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C4D8ABF" w14:textId="2EF5474E" w:rsidR="008B0A52" w:rsidRPr="00AC7D41" w:rsidRDefault="000710E5" w:rsidP="001B32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Рассмотрим основные типы и состав ТВС активной зоны:</w:t>
      </w:r>
    </w:p>
    <w:p w14:paraId="12BD49DD" w14:textId="57FA3EC9" w:rsidR="00944E24" w:rsidRPr="00AC7D41" w:rsidRDefault="000E2C01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Типы и состав ТВС активной зоны реактора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1282"/>
        <w:gridCol w:w="1497"/>
        <w:gridCol w:w="1502"/>
        <w:gridCol w:w="1403"/>
        <w:gridCol w:w="1426"/>
      </w:tblGrid>
      <w:tr w:rsidR="00800B38" w:rsidRPr="00AC7D41" w14:paraId="6E70B91A" w14:textId="77777777" w:rsidTr="00800B38">
        <w:tc>
          <w:tcPr>
            <w:tcW w:w="2309" w:type="dxa"/>
            <w:vAlign w:val="center"/>
          </w:tcPr>
          <w:p w14:paraId="4C4EEB53" w14:textId="2DA8FC53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Тип ТВС</w:t>
            </w:r>
          </w:p>
        </w:tc>
        <w:tc>
          <w:tcPr>
            <w:tcW w:w="1372" w:type="dxa"/>
            <w:vAlign w:val="center"/>
          </w:tcPr>
          <w:p w14:paraId="0AA6A2A0" w14:textId="32F45DD2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ТВС</w:t>
            </w:r>
          </w:p>
        </w:tc>
        <w:tc>
          <w:tcPr>
            <w:tcW w:w="1559" w:type="dxa"/>
            <w:vAlign w:val="center"/>
          </w:tcPr>
          <w:p w14:paraId="35B994F0" w14:textId="2FFCAFFF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легких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твэлов</w:t>
            </w:r>
          </w:p>
        </w:tc>
        <w:tc>
          <w:tcPr>
            <w:tcW w:w="1255" w:type="dxa"/>
            <w:vAlign w:val="center"/>
          </w:tcPr>
          <w:p w14:paraId="2B939999" w14:textId="33162D55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тяжелых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твэлов</w:t>
            </w:r>
          </w:p>
        </w:tc>
        <w:tc>
          <w:tcPr>
            <w:tcW w:w="1414" w:type="dxa"/>
            <w:vAlign w:val="center"/>
          </w:tcPr>
          <w:p w14:paraId="58785753" w14:textId="2382268F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СВП большего диаметра</w:t>
            </w:r>
          </w:p>
        </w:tc>
        <w:tc>
          <w:tcPr>
            <w:tcW w:w="1436" w:type="dxa"/>
            <w:vAlign w:val="center"/>
          </w:tcPr>
          <w:p w14:paraId="1BBAF5B4" w14:textId="205634BD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СВП меньшего диаметра</w:t>
            </w:r>
          </w:p>
        </w:tc>
      </w:tr>
      <w:tr w:rsidR="00800B38" w:rsidRPr="00AC7D41" w14:paraId="505368FD" w14:textId="77777777" w:rsidTr="00800B38">
        <w:tc>
          <w:tcPr>
            <w:tcW w:w="2309" w:type="dxa"/>
            <w:vAlign w:val="center"/>
          </w:tcPr>
          <w:p w14:paraId="69FDCA4E" w14:textId="130C9D4B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центральной зоны</w:t>
            </w:r>
          </w:p>
        </w:tc>
        <w:tc>
          <w:tcPr>
            <w:tcW w:w="1372" w:type="dxa"/>
            <w:vAlign w:val="center"/>
          </w:tcPr>
          <w:p w14:paraId="4846FCBC" w14:textId="2C4C9CEA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  <w:vAlign w:val="center"/>
          </w:tcPr>
          <w:p w14:paraId="665A8F70" w14:textId="507938F9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55" w:type="dxa"/>
            <w:vAlign w:val="center"/>
          </w:tcPr>
          <w:p w14:paraId="3B3D9F0B" w14:textId="558B8D16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4" w:type="dxa"/>
            <w:vAlign w:val="center"/>
          </w:tcPr>
          <w:p w14:paraId="460B3D4A" w14:textId="65B05CA8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383B26FC" w14:textId="39DF86CD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0B38" w:rsidRPr="00AC7D41" w14:paraId="4A699F9F" w14:textId="77777777" w:rsidTr="00800B38">
        <w:tc>
          <w:tcPr>
            <w:tcW w:w="2309" w:type="dxa"/>
            <w:vAlign w:val="center"/>
          </w:tcPr>
          <w:p w14:paraId="32811852" w14:textId="44B231F8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ТВС периферийной зоны</w:t>
            </w:r>
          </w:p>
        </w:tc>
        <w:tc>
          <w:tcPr>
            <w:tcW w:w="1372" w:type="dxa"/>
            <w:vAlign w:val="center"/>
          </w:tcPr>
          <w:p w14:paraId="1D8ED0C4" w14:textId="74A140FA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59" w:type="dxa"/>
            <w:vAlign w:val="center"/>
          </w:tcPr>
          <w:p w14:paraId="0AEBB3EA" w14:textId="5905088F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0F61E124" w14:textId="24E99D2E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3906E058" w14:textId="207A0850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6" w:type="dxa"/>
            <w:vAlign w:val="center"/>
          </w:tcPr>
          <w:p w14:paraId="57D967A2" w14:textId="049DA714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00B38" w:rsidRPr="00AC7D41" w14:paraId="3D168FE0" w14:textId="77777777" w:rsidTr="00800B38">
        <w:tc>
          <w:tcPr>
            <w:tcW w:w="2309" w:type="dxa"/>
            <w:vAlign w:val="center"/>
          </w:tcPr>
          <w:p w14:paraId="511D7492" w14:textId="33B76639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со стержнем АЗ</w:t>
            </w:r>
          </w:p>
        </w:tc>
        <w:tc>
          <w:tcPr>
            <w:tcW w:w="1372" w:type="dxa"/>
            <w:vAlign w:val="center"/>
          </w:tcPr>
          <w:p w14:paraId="720DEEC3" w14:textId="1DD974A5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center"/>
          </w:tcPr>
          <w:p w14:paraId="1B8D93FF" w14:textId="11486DBD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21735982" w14:textId="6D08B553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613D88B9" w14:textId="02212200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10B2F967" w14:textId="4C21FC64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E50B6" w:rsidRPr="00AC7D41" w14:paraId="49F23360" w14:textId="77777777" w:rsidTr="00800B38">
        <w:tc>
          <w:tcPr>
            <w:tcW w:w="2309" w:type="dxa"/>
            <w:vAlign w:val="center"/>
          </w:tcPr>
          <w:p w14:paraId="5DDC7880" w14:textId="7A7CBB89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с пустым каналом</w:t>
            </w:r>
          </w:p>
        </w:tc>
        <w:tc>
          <w:tcPr>
            <w:tcW w:w="1372" w:type="dxa"/>
            <w:vAlign w:val="center"/>
          </w:tcPr>
          <w:p w14:paraId="6E07AAE7" w14:textId="1E336B96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3734490B" w14:textId="320DCBDE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6BE2FED7" w14:textId="19E46583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7E5761C2" w14:textId="6A17011E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794E3FCA" w14:textId="0F92D463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5A6A6A4" w14:textId="49D2F188" w:rsidR="00164A13" w:rsidRPr="00AC7D41" w:rsidRDefault="00164A13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92FA0" w14:textId="77777777" w:rsidR="00944E24" w:rsidRPr="00AC7D41" w:rsidRDefault="00FE50B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Конструкция всех типов ТВС практически одинакова и отличается лишь составом твэлов и формой центрального вытеснителя.</w:t>
      </w:r>
      <w:r w:rsidR="00944E24" w:rsidRPr="00AC7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42B96" w14:textId="52F8D249" w:rsidR="001B32A0" w:rsidRPr="00AC7D41" w:rsidRDefault="00944E24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Рассмотрим схемы всех ТВС активной зоны реактора:</w:t>
      </w:r>
    </w:p>
    <w:p w14:paraId="4A92709B" w14:textId="211C15DE" w:rsidR="00944E24" w:rsidRPr="00AC7D41" w:rsidRDefault="00944E24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ТВС </w:t>
      </w:r>
      <w:r w:rsidR="0055668D" w:rsidRPr="00AC7D41">
        <w:rPr>
          <w:rFonts w:ascii="Times New Roman" w:hAnsi="Times New Roman" w:cs="Times New Roman"/>
          <w:sz w:val="28"/>
          <w:szCs w:val="28"/>
        </w:rPr>
        <w:t>периферийной</w:t>
      </w:r>
      <w:r w:rsidRPr="00AC7D41">
        <w:rPr>
          <w:rFonts w:ascii="Times New Roman" w:hAnsi="Times New Roman" w:cs="Times New Roman"/>
          <w:sz w:val="28"/>
          <w:szCs w:val="28"/>
        </w:rPr>
        <w:t xml:space="preserve"> зоны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D11A67" w14:textId="36478C1F" w:rsidR="00944E24" w:rsidRDefault="00944E24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BAD32" wp14:editId="2EA82E96">
            <wp:extent cx="2361600" cy="198000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58B3" w14:textId="4E4D6E2B" w:rsid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 xml:space="preserve"> Схема ТВС периферийной зоны</w:t>
      </w:r>
    </w:p>
    <w:p w14:paraId="0B88547F" w14:textId="5BD0A541" w:rsid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09BA2" w14:textId="0B3F7AB5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3381D" w14:textId="1C9C7985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E93A5" w14:textId="10A300DA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471DA" w14:textId="20709D0D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5C1EF" w14:textId="77777777" w:rsidR="001B32A0" w:rsidRPr="00AC7D41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E8DD3" w14:textId="76BBE96E" w:rsidR="00944E24" w:rsidRPr="00AC7D41" w:rsidRDefault="00944E24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sz w:val="28"/>
          <w:szCs w:val="28"/>
        </w:rPr>
        <w:lastRenderedPageBreak/>
        <w:t xml:space="preserve">ТВС </w:t>
      </w:r>
      <w:r w:rsidR="0055668D" w:rsidRPr="00AC7D41">
        <w:rPr>
          <w:rFonts w:ascii="Times New Roman" w:hAnsi="Times New Roman" w:cs="Times New Roman"/>
          <w:sz w:val="28"/>
          <w:szCs w:val="28"/>
        </w:rPr>
        <w:t>центральной</w:t>
      </w:r>
      <w:r w:rsidRPr="00AC7D41">
        <w:rPr>
          <w:rFonts w:ascii="Times New Roman" w:hAnsi="Times New Roman" w:cs="Times New Roman"/>
          <w:sz w:val="28"/>
          <w:szCs w:val="28"/>
        </w:rPr>
        <w:t xml:space="preserve"> зоны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2BA39" w14:textId="475A7396" w:rsidR="00944E24" w:rsidRDefault="003F4A4E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E5595" wp14:editId="050FF1D5">
            <wp:extent cx="2372400" cy="1980000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1E40" w14:textId="43271B41" w:rsidR="000E2C01" w:rsidRP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3.2</w:t>
      </w:r>
      <w:r>
        <w:rPr>
          <w:rFonts w:ascii="Times New Roman" w:hAnsi="Times New Roman" w:cs="Times New Roman"/>
          <w:sz w:val="28"/>
          <w:szCs w:val="28"/>
        </w:rPr>
        <w:t xml:space="preserve"> Схема ТВС центральной зоны</w:t>
      </w:r>
    </w:p>
    <w:p w14:paraId="64E33854" w14:textId="37153E60" w:rsidR="00944E24" w:rsidRPr="00AC7D41" w:rsidRDefault="00E7171C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sz w:val="28"/>
          <w:szCs w:val="28"/>
        </w:rPr>
        <w:t>ТВС со стержнем АЗ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6CA95" w14:textId="58066B89" w:rsidR="004267D6" w:rsidRDefault="004267D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4BEDF3" wp14:editId="4FBD3AD7">
            <wp:extent cx="2512800" cy="198000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3CA4" w14:textId="42ED4788" w:rsidR="000E2C01" w:rsidRP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3.3</w:t>
      </w:r>
      <w:r>
        <w:rPr>
          <w:rFonts w:ascii="Times New Roman" w:hAnsi="Times New Roman" w:cs="Times New Roman"/>
          <w:sz w:val="28"/>
          <w:szCs w:val="28"/>
        </w:rPr>
        <w:t xml:space="preserve"> Схема ТВС со стержнем АЗ</w:t>
      </w:r>
    </w:p>
    <w:p w14:paraId="1278C31D" w14:textId="75FE240B" w:rsidR="004267D6" w:rsidRPr="000E2C01" w:rsidRDefault="004267D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9AEA9" w14:textId="69FEF3C8" w:rsidR="004267D6" w:rsidRPr="00AC7D41" w:rsidRDefault="004267D6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ТВС с пустым каналом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B23FB" w14:textId="198DFA72" w:rsidR="004267D6" w:rsidRDefault="004267D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65886" wp14:editId="2987285E">
            <wp:extent cx="2354400" cy="1980000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B2A4" w14:textId="31E72C1E" w:rsidR="000E2C01" w:rsidRPr="00AC7D4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3.4</w:t>
      </w:r>
      <w:r>
        <w:rPr>
          <w:rFonts w:ascii="Times New Roman" w:hAnsi="Times New Roman" w:cs="Times New Roman"/>
          <w:sz w:val="28"/>
          <w:szCs w:val="28"/>
        </w:rPr>
        <w:t xml:space="preserve"> Схема ТВС с пустым каналом</w:t>
      </w:r>
    </w:p>
    <w:p w14:paraId="0F316BB8" w14:textId="6BC4096E" w:rsidR="004267D6" w:rsidRPr="00AC7D41" w:rsidRDefault="004267D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lastRenderedPageBreak/>
        <w:t>На всех схемах приняты следующие обозначения:</w:t>
      </w:r>
    </w:p>
    <w:p w14:paraId="5004D94C" w14:textId="7622D031" w:rsidR="00AC7D41" w:rsidRDefault="004267D6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1 – </w:t>
      </w:r>
      <w:r w:rsidR="00141375" w:rsidRPr="00AC7D41">
        <w:rPr>
          <w:rFonts w:ascii="Times New Roman" w:hAnsi="Times New Roman" w:cs="Times New Roman"/>
          <w:sz w:val="28"/>
          <w:szCs w:val="28"/>
        </w:rPr>
        <w:t>тяжелые</w:t>
      </w:r>
      <w:r w:rsidRPr="00AC7D41">
        <w:rPr>
          <w:rFonts w:ascii="Times New Roman" w:hAnsi="Times New Roman" w:cs="Times New Roman"/>
          <w:sz w:val="28"/>
          <w:szCs w:val="28"/>
        </w:rPr>
        <w:t xml:space="preserve"> твэлы; 2 –</w:t>
      </w:r>
      <w:r w:rsidR="00141375" w:rsidRPr="00AC7D41">
        <w:rPr>
          <w:rFonts w:ascii="Times New Roman" w:hAnsi="Times New Roman" w:cs="Times New Roman"/>
          <w:sz w:val="28"/>
          <w:szCs w:val="28"/>
        </w:rPr>
        <w:t xml:space="preserve"> легкие </w:t>
      </w:r>
      <w:r w:rsidRPr="00AC7D41">
        <w:rPr>
          <w:rFonts w:ascii="Times New Roman" w:hAnsi="Times New Roman" w:cs="Times New Roman"/>
          <w:sz w:val="28"/>
          <w:szCs w:val="28"/>
        </w:rPr>
        <w:t xml:space="preserve">твэлы; 3 – СВП большего диаметра; </w:t>
      </w:r>
      <w:r w:rsidR="0055668D" w:rsidRPr="00AC7D41">
        <w:rPr>
          <w:rFonts w:ascii="Times New Roman" w:hAnsi="Times New Roman" w:cs="Times New Roman"/>
          <w:sz w:val="28"/>
          <w:szCs w:val="28"/>
        </w:rPr>
        <w:t>• - СВП меньшего диаметра; 5 – ПЭЛы; 6 – стержень АЗ; 8 – пустой канал.</w:t>
      </w:r>
    </w:p>
    <w:p w14:paraId="3099D8B8" w14:textId="5B08AA49" w:rsidR="00B65B96" w:rsidRDefault="00B65B96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параметры ТВС указаны в тепловом расчете. </w:t>
      </w:r>
    </w:p>
    <w:p w14:paraId="76798ED4" w14:textId="3958398B" w:rsidR="00844A65" w:rsidRPr="009F79A3" w:rsidRDefault="00844A65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Решетка твэлов и СВП заполнена теплоносителем. </w:t>
      </w:r>
      <w:r w:rsidR="009F79A3">
        <w:rPr>
          <w:rFonts w:ascii="Times New Roman" w:hAnsi="Times New Roman" w:cs="Times New Roman"/>
          <w:sz w:val="28"/>
          <w:szCs w:val="28"/>
        </w:rPr>
        <w:t xml:space="preserve">В центральной и периферийных ТВС пространство также заполнено теплоносителем и предназначено для размещения компенсирующих ПЭЛов. Вытеснитель в ТВС со стержнем АЗ и пустым каналом имеет форму толстостенной гильзы </w:t>
      </w:r>
      <w:r w:rsidR="00926496">
        <w:rPr>
          <w:rFonts w:ascii="Times New Roman" w:hAnsi="Times New Roman" w:cs="Times New Roman"/>
          <w:sz w:val="28"/>
          <w:szCs w:val="28"/>
        </w:rPr>
        <w:t>и заполнен</w:t>
      </w:r>
      <w:r w:rsidR="009F79A3">
        <w:rPr>
          <w:rFonts w:ascii="Times New Roman" w:hAnsi="Times New Roman" w:cs="Times New Roman"/>
          <w:sz w:val="28"/>
          <w:szCs w:val="28"/>
        </w:rPr>
        <w:t xml:space="preserve"> воздухом для предотвращения гидравлического сопротивления в аварийной ситуации.</w:t>
      </w:r>
    </w:p>
    <w:p w14:paraId="13D90D47" w14:textId="17BE710C" w:rsidR="00AC7D41" w:rsidRPr="00BF70D1" w:rsidRDefault="0092649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 xml:space="preserve">ТВС </w:t>
      </w:r>
      <w:r w:rsidR="00E71ADE" w:rsidRPr="00BF70D1">
        <w:rPr>
          <w:rFonts w:ascii="Times New Roman" w:hAnsi="Times New Roman" w:cs="Times New Roman"/>
          <w:sz w:val="28"/>
          <w:szCs w:val="28"/>
        </w:rPr>
        <w:t xml:space="preserve">периферийной зоны содержат твэлы всех типов обогащения и составляют основную массу ТВС активной зоны ЯЭУ. В случае отсутствия ПЭЛов, в </w:t>
      </w:r>
      <w:r w:rsidR="002F283A" w:rsidRPr="00BF70D1">
        <w:rPr>
          <w:rFonts w:ascii="Times New Roman" w:hAnsi="Times New Roman" w:cs="Times New Roman"/>
          <w:sz w:val="28"/>
          <w:szCs w:val="28"/>
        </w:rPr>
        <w:t>вытеснители остается теплоноситель, хорошо замедляющий нейтроны, что способствует образованию всплеска энерговыделения в твэлах, окружающий вытеснитель. Для компенсации всплеска и выравнивания энерговыделения ТВС вокруг чехла размещаются стержни</w:t>
      </w:r>
      <w:r w:rsidR="0064093B" w:rsidRPr="00BF70D1">
        <w:rPr>
          <w:rFonts w:ascii="Times New Roman" w:hAnsi="Times New Roman" w:cs="Times New Roman"/>
          <w:sz w:val="28"/>
          <w:szCs w:val="28"/>
        </w:rPr>
        <w:t xml:space="preserve"> СВП</w:t>
      </w:r>
      <w:r w:rsidR="002F283A" w:rsidRPr="00BF70D1">
        <w:rPr>
          <w:rFonts w:ascii="Times New Roman" w:hAnsi="Times New Roman" w:cs="Times New Roman"/>
          <w:sz w:val="28"/>
          <w:szCs w:val="28"/>
        </w:rPr>
        <w:t xml:space="preserve"> меньшего диаметра</w:t>
      </w:r>
      <w:r w:rsidR="0064093B" w:rsidRPr="00BF70D1">
        <w:rPr>
          <w:rFonts w:ascii="Times New Roman" w:hAnsi="Times New Roman" w:cs="Times New Roman"/>
          <w:sz w:val="28"/>
          <w:szCs w:val="28"/>
        </w:rPr>
        <w:t>, а также внешнее кольцо стержней СВП большего диаметра</w:t>
      </w:r>
      <w:r w:rsidR="002F283A" w:rsidRPr="00BF70D1">
        <w:rPr>
          <w:rFonts w:ascii="Times New Roman" w:hAnsi="Times New Roman" w:cs="Times New Roman"/>
          <w:sz w:val="28"/>
          <w:szCs w:val="28"/>
        </w:rPr>
        <w:t>.</w:t>
      </w:r>
    </w:p>
    <w:p w14:paraId="00038FB0" w14:textId="5AFCEF2F" w:rsidR="0064093B" w:rsidRPr="00BF70D1" w:rsidRDefault="0064093B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ТВС центральной зоны содержат только “легкие” твэлы.</w:t>
      </w:r>
    </w:p>
    <w:p w14:paraId="3470D73C" w14:textId="3CB3CC74" w:rsidR="0064093B" w:rsidRPr="00BF70D1" w:rsidRDefault="0064093B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ТВС со стержнями АЗ расположены парами в разных частях активной зоны. В случае аварийной ситуации, все 6 стержней аварийной защиты сбрасываются, в результате чего цепная реакция деления должна быть прекращена. Для оперативности сброса стержней АЗ, вытеснитель ТВС со стрежнем АЗ заполнен воздухом.</w:t>
      </w:r>
    </w:p>
    <w:p w14:paraId="0F5B73A1" w14:textId="426F9E99" w:rsidR="00F046FC" w:rsidRPr="00BF70D1" w:rsidRDefault="00E20DB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 xml:space="preserve">ТВС с пустым каналом располагаются вблизи отражателя активной зоны и предназначены для размещения пускового источника нейтронов, детекторов нейтронного поля и термопреобразователей. </w:t>
      </w:r>
    </w:p>
    <w:p w14:paraId="66337A16" w14:textId="62A21E35" w:rsidR="003D1F9D" w:rsidRDefault="003D1F9D" w:rsidP="001B32A0">
      <w:pPr>
        <w:spacing w:line="360" w:lineRule="auto"/>
        <w:ind w:firstLine="708"/>
        <w:jc w:val="both"/>
        <w:rPr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Рассмотрим основные элементы ТВС и их составы:</w:t>
      </w:r>
    </w:p>
    <w:p w14:paraId="006DB1D9" w14:textId="1E923787" w:rsidR="00F046FC" w:rsidRDefault="000E2C01" w:rsidP="001B32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3.2 – Элементы ТВС активной зоны реактора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5320" w14:paraId="73EA6770" w14:textId="77777777" w:rsidTr="00C274A9">
        <w:tc>
          <w:tcPr>
            <w:tcW w:w="3115" w:type="dxa"/>
            <w:vAlign w:val="center"/>
          </w:tcPr>
          <w:p w14:paraId="58E108C8" w14:textId="39BA0415" w:rsidR="00F45320" w:rsidRPr="00BF70D1" w:rsidRDefault="00F45320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Элемент ТВС</w:t>
            </w:r>
          </w:p>
        </w:tc>
        <w:tc>
          <w:tcPr>
            <w:tcW w:w="3115" w:type="dxa"/>
            <w:vAlign w:val="center"/>
          </w:tcPr>
          <w:p w14:paraId="4C1AC6EF" w14:textId="609E7925" w:rsidR="00F45320" w:rsidRPr="007C0256" w:rsidRDefault="00F45320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Материал, </w:t>
            </w:r>
            <w:r w:rsidR="00344317" w:rsidRPr="007C0256">
              <w:rPr>
                <w:rFonts w:ascii="Times New Roman" w:hAnsi="Times New Roman" w:cs="Times New Roman"/>
                <w:sz w:val="28"/>
                <w:szCs w:val="28"/>
              </w:rPr>
              <w:t>его состав</w:t>
            </w:r>
            <w:r w:rsidR="00EA0776"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74A9" w:rsidRPr="007C0256">
              <w:rPr>
                <w:rFonts w:ascii="Times New Roman" w:hAnsi="Times New Roman" w:cs="Times New Roman"/>
                <w:sz w:val="28"/>
                <w:szCs w:val="28"/>
              </w:rPr>
              <w:t>и плотность (г/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="00C274A9"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3115" w:type="dxa"/>
            <w:vAlign w:val="center"/>
          </w:tcPr>
          <w:p w14:paraId="3A4E9657" w14:textId="5FF3946B" w:rsidR="00F45320" w:rsidRPr="007C0256" w:rsidRDefault="00C274A9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>Химические элементы</w:t>
            </w:r>
            <w:r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изотопы</w:t>
            </w:r>
          </w:p>
        </w:tc>
      </w:tr>
      <w:tr w:rsidR="00374828" w14:paraId="7789A143" w14:textId="77777777" w:rsidTr="00C274A9">
        <w:tc>
          <w:tcPr>
            <w:tcW w:w="3115" w:type="dxa"/>
            <w:vAlign w:val="center"/>
          </w:tcPr>
          <w:p w14:paraId="2E0A97D0" w14:textId="7AB8FA5C" w:rsidR="00374828" w:rsidRPr="00BF70D1" w:rsidRDefault="00374828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 xml:space="preserve">Сердечник “тяжелого” твэла, </w:t>
            </w:r>
            <w:r w:rsidRPr="00BF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BF7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30% </w:t>
            </w:r>
          </w:p>
        </w:tc>
        <w:tc>
          <w:tcPr>
            <w:tcW w:w="3115" w:type="dxa"/>
            <w:vMerge w:val="restart"/>
            <w:vAlign w:val="center"/>
          </w:tcPr>
          <w:p w14:paraId="676EC760" w14:textId="48E5BCE7" w:rsidR="00374828" w:rsidRPr="007C0256" w:rsidRDefault="0037482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>МОКС-топливо (</w:t>
            </w:r>
            <w:r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PuO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=11,</m:t>
              </m:r>
            </m:oMath>
            <w:r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239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-52%, 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-24%, 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-15%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1FE38C49" w14:textId="0E83A74E" w:rsidR="00374828" w:rsidRPr="007C0256" w:rsidRDefault="0019741C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239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238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e>
              </m:sPre>
            </m:oMath>
          </w:p>
        </w:tc>
      </w:tr>
      <w:tr w:rsidR="00374828" w14:paraId="3720F591" w14:textId="77777777" w:rsidTr="00234296">
        <w:trPr>
          <w:trHeight w:val="974"/>
        </w:trPr>
        <w:tc>
          <w:tcPr>
            <w:tcW w:w="3115" w:type="dxa"/>
            <w:vAlign w:val="center"/>
          </w:tcPr>
          <w:p w14:paraId="4CFAA271" w14:textId="0E6C0391" w:rsidR="00374828" w:rsidRPr="00BF70D1" w:rsidRDefault="00374828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 xml:space="preserve">Сердечник “тяжелого” твэла, </w:t>
            </w:r>
            <w:r w:rsidRPr="00BF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BF7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28%</w:t>
            </w:r>
          </w:p>
        </w:tc>
        <w:tc>
          <w:tcPr>
            <w:tcW w:w="3115" w:type="dxa"/>
            <w:vMerge/>
            <w:vAlign w:val="center"/>
          </w:tcPr>
          <w:p w14:paraId="4636ACB5" w14:textId="77777777" w:rsidR="00374828" w:rsidRPr="007C0256" w:rsidRDefault="0037482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A8C658F" w14:textId="77777777" w:rsidR="00374828" w:rsidRPr="007C0256" w:rsidRDefault="0037482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569" w14:paraId="4F02CE6F" w14:textId="77777777" w:rsidTr="00C274A9">
        <w:tc>
          <w:tcPr>
            <w:tcW w:w="3115" w:type="dxa"/>
            <w:vAlign w:val="center"/>
          </w:tcPr>
          <w:p w14:paraId="379484BF" w14:textId="528EF796" w:rsidR="00852569" w:rsidRPr="00BF70D1" w:rsidRDefault="00852569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СВП меньшего диаметра</w:t>
            </w:r>
          </w:p>
        </w:tc>
        <w:tc>
          <w:tcPr>
            <w:tcW w:w="3115" w:type="dxa"/>
            <w:vMerge w:val="restart"/>
            <w:vAlign w:val="center"/>
          </w:tcPr>
          <w:p w14:paraId="57B56E89" w14:textId="020A7462" w:rsidR="00852569" w:rsidRPr="007C0256" w:rsidRDefault="0019741C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=7,6</m:t>
              </m:r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>, естественный состав</w:t>
            </w:r>
          </w:p>
        </w:tc>
        <w:tc>
          <w:tcPr>
            <w:tcW w:w="3115" w:type="dxa"/>
            <w:vMerge w:val="restart"/>
            <w:vAlign w:val="center"/>
          </w:tcPr>
          <w:p w14:paraId="665E6984" w14:textId="61FA5C95" w:rsidR="00852569" w:rsidRPr="007C0256" w:rsidRDefault="0019741C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</m:sPre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157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</m:sPre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852569" w14:paraId="01420738" w14:textId="77777777" w:rsidTr="00C274A9">
        <w:tc>
          <w:tcPr>
            <w:tcW w:w="3115" w:type="dxa"/>
            <w:vAlign w:val="center"/>
          </w:tcPr>
          <w:p w14:paraId="2A8A1711" w14:textId="1B47D477" w:rsidR="00852569" w:rsidRPr="00BF70D1" w:rsidRDefault="00852569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СВП большего диаметра</w:t>
            </w:r>
          </w:p>
        </w:tc>
        <w:tc>
          <w:tcPr>
            <w:tcW w:w="3115" w:type="dxa"/>
            <w:vMerge/>
            <w:vAlign w:val="center"/>
          </w:tcPr>
          <w:p w14:paraId="0EA3BB66" w14:textId="77777777" w:rsidR="00852569" w:rsidRPr="007C0256" w:rsidRDefault="00852569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A58F1D3" w14:textId="77777777" w:rsidR="00852569" w:rsidRPr="007C0256" w:rsidRDefault="00852569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1CE" w14:paraId="7595C36D" w14:textId="77777777" w:rsidTr="00C274A9">
        <w:tc>
          <w:tcPr>
            <w:tcW w:w="3115" w:type="dxa"/>
            <w:vAlign w:val="center"/>
          </w:tcPr>
          <w:p w14:paraId="105BA245" w14:textId="41EE3859" w:rsidR="000B71CE" w:rsidRPr="00BF70D1" w:rsidRDefault="000B71CE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ПЭЛа</w:t>
            </w:r>
          </w:p>
        </w:tc>
        <w:tc>
          <w:tcPr>
            <w:tcW w:w="3115" w:type="dxa"/>
            <w:vAlign w:val="center"/>
          </w:tcPr>
          <w:p w14:paraId="266CDEC6" w14:textId="5270CFB3" w:rsidR="000B71CE" w:rsidRPr="007C0256" w:rsidRDefault="0019741C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-70%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39AB2420" w14:textId="33E6098D" w:rsidR="000B71CE" w:rsidRPr="007C0256" w:rsidRDefault="0019741C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sPre>
            </m:oMath>
          </w:p>
        </w:tc>
      </w:tr>
      <w:tr w:rsidR="000B71CE" w14:paraId="4E7A91DE" w14:textId="77777777" w:rsidTr="00C274A9">
        <w:tc>
          <w:tcPr>
            <w:tcW w:w="3115" w:type="dxa"/>
            <w:vAlign w:val="center"/>
          </w:tcPr>
          <w:p w14:paraId="2DFA0B7A" w14:textId="3B8C59ED" w:rsidR="000B71CE" w:rsidRPr="00BF70D1" w:rsidRDefault="000B71CE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стержня АЗ</w:t>
            </w:r>
          </w:p>
        </w:tc>
        <w:tc>
          <w:tcPr>
            <w:tcW w:w="3115" w:type="dxa"/>
            <w:vAlign w:val="center"/>
          </w:tcPr>
          <w:p w14:paraId="6C9715B1" w14:textId="63234D68" w:rsidR="000B71CE" w:rsidRPr="007C0256" w:rsidRDefault="0019741C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-90%</m:t>
              </m:r>
            </m:oMath>
          </w:p>
        </w:tc>
        <w:tc>
          <w:tcPr>
            <w:tcW w:w="3115" w:type="dxa"/>
            <w:vMerge/>
            <w:vAlign w:val="center"/>
          </w:tcPr>
          <w:p w14:paraId="7B28275A" w14:textId="77777777" w:rsidR="000B71CE" w:rsidRPr="007C0256" w:rsidRDefault="000B71CE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1CE" w14:paraId="35A1A211" w14:textId="77777777" w:rsidTr="00C274A9">
        <w:tc>
          <w:tcPr>
            <w:tcW w:w="3115" w:type="dxa"/>
            <w:vAlign w:val="center"/>
          </w:tcPr>
          <w:p w14:paraId="7259E530" w14:textId="57E95347" w:rsidR="000B71CE" w:rsidRPr="00BF70D1" w:rsidRDefault="000B71CE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Теплоноситель</w:t>
            </w:r>
          </w:p>
        </w:tc>
        <w:tc>
          <w:tcPr>
            <w:tcW w:w="3115" w:type="dxa"/>
            <w:vAlign w:val="center"/>
          </w:tcPr>
          <w:p w14:paraId="7DBA4DCF" w14:textId="292EF6F7" w:rsidR="000B71CE" w:rsidRPr="007C0256" w:rsidRDefault="0019741C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0B71CE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O,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γ=0,7</m:t>
              </m:r>
            </m:oMath>
          </w:p>
        </w:tc>
        <w:tc>
          <w:tcPr>
            <w:tcW w:w="3115" w:type="dxa"/>
            <w:vAlign w:val="center"/>
          </w:tcPr>
          <w:p w14:paraId="6F47EED0" w14:textId="00DEA052" w:rsidR="000B71CE" w:rsidRPr="007C0256" w:rsidRDefault="0019741C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sPre>
            </m:oMath>
            <w:r w:rsidR="006D5473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6D5473" w14:paraId="705C708A" w14:textId="77777777" w:rsidTr="00C274A9">
        <w:tc>
          <w:tcPr>
            <w:tcW w:w="3115" w:type="dxa"/>
            <w:vAlign w:val="center"/>
          </w:tcPr>
          <w:p w14:paraId="23F95DFB" w14:textId="49FBC827" w:rsidR="006D5473" w:rsidRPr="00BF70D1" w:rsidRDefault="006D5473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Пустой канал</w:t>
            </w:r>
          </w:p>
        </w:tc>
        <w:tc>
          <w:tcPr>
            <w:tcW w:w="3115" w:type="dxa"/>
            <w:vAlign w:val="center"/>
          </w:tcPr>
          <w:p w14:paraId="309726B3" w14:textId="51448524" w:rsidR="006D5473" w:rsidRPr="007C0256" w:rsidRDefault="002F0FE9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Воздух, 75%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+ 25%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γ=1,45</m:t>
              </m:r>
            </m:oMath>
          </w:p>
        </w:tc>
        <w:tc>
          <w:tcPr>
            <w:tcW w:w="3115" w:type="dxa"/>
            <w:vAlign w:val="center"/>
          </w:tcPr>
          <w:p w14:paraId="31B46391" w14:textId="7B17A012" w:rsidR="006D5473" w:rsidRPr="007C0256" w:rsidRDefault="0019741C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sPre>
            </m:oMath>
            <w:r w:rsidR="002F0FE9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C90FBF" w14:paraId="0F0B6714" w14:textId="77777777" w:rsidTr="00C274A9">
        <w:tc>
          <w:tcPr>
            <w:tcW w:w="3115" w:type="dxa"/>
            <w:vAlign w:val="center"/>
          </w:tcPr>
          <w:p w14:paraId="3362AE3B" w14:textId="06A32B92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Чехол ТВС</w:t>
            </w:r>
          </w:p>
        </w:tc>
        <w:tc>
          <w:tcPr>
            <w:tcW w:w="3115" w:type="dxa"/>
            <w:vMerge w:val="restart"/>
            <w:vAlign w:val="center"/>
          </w:tcPr>
          <w:p w14:paraId="6BC2D6B6" w14:textId="60B74FE2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Сплав Э-110 (Zr + 1% Nb),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=6,5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2CB3F6AF" w14:textId="1648B93B" w:rsidR="00C90FBF" w:rsidRPr="007C0256" w:rsidRDefault="00B57723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Zr, Nb</m:t>
                </m:r>
              </m:oMath>
            </m:oMathPara>
          </w:p>
        </w:tc>
      </w:tr>
      <w:tr w:rsidR="00180250" w14:paraId="19DC9076" w14:textId="77777777" w:rsidTr="00C274A9">
        <w:tc>
          <w:tcPr>
            <w:tcW w:w="3115" w:type="dxa"/>
            <w:vAlign w:val="center"/>
          </w:tcPr>
          <w:p w14:paraId="7FAD5F2E" w14:textId="18B00A98" w:rsidR="00180250" w:rsidRPr="00BF70D1" w:rsidRDefault="00180250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Конструкционный материал</w:t>
            </w:r>
          </w:p>
        </w:tc>
        <w:tc>
          <w:tcPr>
            <w:tcW w:w="3115" w:type="dxa"/>
            <w:vMerge/>
            <w:vAlign w:val="center"/>
          </w:tcPr>
          <w:p w14:paraId="39295183" w14:textId="77777777" w:rsidR="00180250" w:rsidRPr="007C0256" w:rsidRDefault="00180250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0128EB6E" w14:textId="77777777" w:rsidR="00180250" w:rsidRPr="007C0256" w:rsidRDefault="00180250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0FBF" w14:paraId="5B5DF6C0" w14:textId="77777777" w:rsidTr="00C274A9">
        <w:tc>
          <w:tcPr>
            <w:tcW w:w="3115" w:type="dxa"/>
            <w:vAlign w:val="center"/>
          </w:tcPr>
          <w:p w14:paraId="24B6AFDF" w14:textId="61C3F37D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Чехол вытеснителя для ПЭЛов</w:t>
            </w:r>
          </w:p>
        </w:tc>
        <w:tc>
          <w:tcPr>
            <w:tcW w:w="3115" w:type="dxa"/>
            <w:vMerge/>
            <w:vAlign w:val="center"/>
          </w:tcPr>
          <w:p w14:paraId="0F85CBB7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1AE4ECD2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0D79DF45" w14:textId="77777777" w:rsidTr="00C274A9">
        <w:tc>
          <w:tcPr>
            <w:tcW w:w="3115" w:type="dxa"/>
            <w:vAlign w:val="center"/>
          </w:tcPr>
          <w:p w14:paraId="61A86ED4" w14:textId="6E317A62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Оболочка СВП</w:t>
            </w:r>
          </w:p>
        </w:tc>
        <w:tc>
          <w:tcPr>
            <w:tcW w:w="3115" w:type="dxa"/>
            <w:vMerge/>
            <w:vAlign w:val="center"/>
          </w:tcPr>
          <w:p w14:paraId="15B0A2F2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467CEEB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1F6401DD" w14:textId="77777777" w:rsidTr="00C274A9">
        <w:tc>
          <w:tcPr>
            <w:tcW w:w="3115" w:type="dxa"/>
            <w:vAlign w:val="center"/>
          </w:tcPr>
          <w:p w14:paraId="017245FA" w14:textId="18F2C8F9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Гильза для стержня АЗ</w:t>
            </w:r>
          </w:p>
        </w:tc>
        <w:tc>
          <w:tcPr>
            <w:tcW w:w="3115" w:type="dxa"/>
            <w:vMerge/>
            <w:vAlign w:val="center"/>
          </w:tcPr>
          <w:p w14:paraId="17F34198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6A28196B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677D5F25" w14:textId="77777777" w:rsidTr="00C274A9">
        <w:tc>
          <w:tcPr>
            <w:tcW w:w="3115" w:type="dxa"/>
            <w:vAlign w:val="center"/>
          </w:tcPr>
          <w:p w14:paraId="77BD5F90" w14:textId="1D94B173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Оболочка твэла</w:t>
            </w:r>
          </w:p>
        </w:tc>
        <w:tc>
          <w:tcPr>
            <w:tcW w:w="3115" w:type="dxa"/>
            <w:vMerge/>
            <w:vAlign w:val="center"/>
          </w:tcPr>
          <w:p w14:paraId="37080336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496FF7AC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61E5" w14:paraId="4202967A" w14:textId="77777777" w:rsidTr="00C274A9">
        <w:tc>
          <w:tcPr>
            <w:tcW w:w="3115" w:type="dxa"/>
            <w:vAlign w:val="center"/>
          </w:tcPr>
          <w:p w14:paraId="1B97B264" w14:textId="461C5FB9" w:rsidR="003961E5" w:rsidRPr="00BF70D1" w:rsidRDefault="003961E5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C90FBF" w:rsidRPr="00BF70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D053A" w:rsidRPr="00BF70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90FBF" w:rsidRPr="00BF70D1">
              <w:rPr>
                <w:rFonts w:ascii="Times New Roman" w:hAnsi="Times New Roman" w:cs="Times New Roman"/>
                <w:sz w:val="28"/>
                <w:szCs w:val="28"/>
              </w:rPr>
              <w:t>чка ПЭЛа</w:t>
            </w:r>
          </w:p>
        </w:tc>
        <w:tc>
          <w:tcPr>
            <w:tcW w:w="3115" w:type="dxa"/>
            <w:vAlign w:val="center"/>
          </w:tcPr>
          <w:p w14:paraId="25A35D54" w14:textId="19DB0F00" w:rsidR="003961E5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Сплав 42ХНМ (42% С</w:t>
            </w:r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 + 56% Ni</w:t>
            </w: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14:paraId="07401F6F" w14:textId="2D548784" w:rsidR="003961E5" w:rsidRPr="007C0256" w:rsidRDefault="00B57723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Cr, Ni</m:t>
                </m:r>
              </m:oMath>
            </m:oMathPara>
          </w:p>
        </w:tc>
      </w:tr>
    </w:tbl>
    <w:p w14:paraId="1B4A5848" w14:textId="77777777" w:rsidR="003D1F9D" w:rsidRPr="003D1F9D" w:rsidRDefault="003D1F9D" w:rsidP="001B32A0">
      <w:pPr>
        <w:spacing w:line="360" w:lineRule="auto"/>
        <w:ind w:firstLine="708"/>
        <w:jc w:val="both"/>
        <w:rPr>
          <w:sz w:val="28"/>
          <w:szCs w:val="28"/>
        </w:rPr>
      </w:pPr>
    </w:p>
    <w:p w14:paraId="41A8C052" w14:textId="412464F5" w:rsidR="000E2C01" w:rsidRDefault="00944E24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046FC" w:rsidRPr="007C0256">
        <w:rPr>
          <w:rFonts w:ascii="Times New Roman" w:hAnsi="Times New Roman" w:cs="Times New Roman"/>
          <w:sz w:val="28"/>
          <w:szCs w:val="28"/>
        </w:rPr>
        <w:t xml:space="preserve">Данные, приведенные в таблице </w:t>
      </w:r>
      <w:r w:rsidR="000E2C01">
        <w:rPr>
          <w:rFonts w:ascii="Times New Roman" w:hAnsi="Times New Roman" w:cs="Times New Roman"/>
          <w:sz w:val="28"/>
          <w:szCs w:val="28"/>
        </w:rPr>
        <w:t>3.2</w:t>
      </w:r>
      <w:r w:rsidR="00F046FC" w:rsidRPr="007C0256">
        <w:rPr>
          <w:rFonts w:ascii="Times New Roman" w:hAnsi="Times New Roman" w:cs="Times New Roman"/>
          <w:sz w:val="28"/>
          <w:szCs w:val="28"/>
        </w:rPr>
        <w:t xml:space="preserve"> в дальнейшем будут использованы для расчета и формирования библиотеки макроскопических констант, необходимых для дальнейшего нейтронно – физического расчета.</w:t>
      </w:r>
    </w:p>
    <w:p w14:paraId="68F3EDCC" w14:textId="6CF1848D" w:rsidR="007C0256" w:rsidRDefault="00514FE7" w:rsidP="001B32A0">
      <w:pPr>
        <w:spacing w:line="360" w:lineRule="auto"/>
        <w:jc w:val="center"/>
        <w:rPr>
          <w:sz w:val="28"/>
          <w:szCs w:val="28"/>
        </w:rPr>
      </w:pPr>
      <w:r w:rsidRPr="000E2C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FB92DE" wp14:editId="5F42A72A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5935980" cy="402336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C01" w:rsidRPr="000E2C01">
        <w:rPr>
          <w:rFonts w:ascii="Times New Roman" w:hAnsi="Times New Roman" w:cs="Times New Roman"/>
          <w:b/>
          <w:sz w:val="28"/>
          <w:szCs w:val="28"/>
        </w:rPr>
        <w:t>Рисунок 3.5</w:t>
      </w:r>
      <w:r w:rsidR="000E2C01">
        <w:rPr>
          <w:sz w:val="28"/>
          <w:szCs w:val="28"/>
        </w:rPr>
        <w:t xml:space="preserve"> Схема активной зоны реактора</w:t>
      </w:r>
    </w:p>
    <w:p w14:paraId="1ACD4539" w14:textId="5260157A" w:rsidR="007C0256" w:rsidRDefault="007B6C98" w:rsidP="001B32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B28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7C0256" w:rsidRPr="007C0256">
        <w:rPr>
          <w:rFonts w:ascii="Times New Roman" w:hAnsi="Times New Roman" w:cs="Times New Roman"/>
          <w:b/>
          <w:sz w:val="28"/>
          <w:szCs w:val="28"/>
        </w:rPr>
        <w:t>Подготовка макроскопических констант.</w:t>
      </w:r>
    </w:p>
    <w:p w14:paraId="13CB8AD5" w14:textId="1454AC79" w:rsidR="007C0256" w:rsidRDefault="00CC6BAD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дальнейшего нейтронно-физического расчета, необходимо найти двухгрупповые макроскопические параметры для каждого типа ТВС. Более того</w:t>
      </w:r>
      <w:r w:rsidRPr="00CC6B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ТВС центральной и периферийной зон необходимо знать макроскопические параметры в двух случаях</w:t>
      </w:r>
      <w:r w:rsidRPr="00CC6B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случае погруженных </w:t>
      </w:r>
      <w:r w:rsidR="007C7760"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</w:rPr>
        <w:t xml:space="preserve">ов и в случае выведенных </w:t>
      </w:r>
      <w:r w:rsidR="007C7760"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</w:rPr>
        <w:t xml:space="preserve">ов из активной зоны </w:t>
      </w:r>
      <w:r w:rsidR="007C7760">
        <w:rPr>
          <w:rFonts w:ascii="Times New Roman" w:hAnsi="Times New Roman" w:cs="Times New Roman"/>
          <w:sz w:val="28"/>
          <w:szCs w:val="28"/>
        </w:rPr>
        <w:t>реактора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, </w:t>
      </w:r>
      <w:r w:rsidR="007C7760">
        <w:rPr>
          <w:rFonts w:ascii="Times New Roman" w:hAnsi="Times New Roman" w:cs="Times New Roman"/>
          <w:sz w:val="28"/>
          <w:szCs w:val="28"/>
        </w:rPr>
        <w:t>аналогично для ТВС со стержнем АЗ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: </w:t>
      </w:r>
      <w:r w:rsidR="007C7760">
        <w:rPr>
          <w:rFonts w:ascii="Times New Roman" w:hAnsi="Times New Roman" w:cs="Times New Roman"/>
          <w:sz w:val="28"/>
          <w:szCs w:val="28"/>
        </w:rPr>
        <w:t>в случае сброшенного стержня аварийной защиты и в случае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, </w:t>
      </w:r>
      <w:r w:rsidR="007C7760">
        <w:rPr>
          <w:rFonts w:ascii="Times New Roman" w:hAnsi="Times New Roman" w:cs="Times New Roman"/>
          <w:sz w:val="28"/>
          <w:szCs w:val="28"/>
        </w:rPr>
        <w:t>когда стержень аварийной защиты выведен из реактора.</w:t>
      </w:r>
    </w:p>
    <w:p w14:paraId="0F6949F1" w14:textId="717AB8B8" w:rsidR="001E7E61" w:rsidRPr="00180250" w:rsidRDefault="001E7E61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всех необходимых макроконстант </w:t>
      </w:r>
      <w:r w:rsidR="00180250">
        <w:rPr>
          <w:rFonts w:ascii="Times New Roman" w:hAnsi="Times New Roman" w:cs="Times New Roman"/>
          <w:sz w:val="28"/>
          <w:szCs w:val="28"/>
        </w:rPr>
        <w:t>выполним</w:t>
      </w:r>
      <w:r>
        <w:rPr>
          <w:rFonts w:ascii="Times New Roman" w:hAnsi="Times New Roman" w:cs="Times New Roman"/>
          <w:sz w:val="28"/>
          <w:szCs w:val="28"/>
        </w:rPr>
        <w:t xml:space="preserve"> при помощи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GETERA</w:t>
      </w:r>
      <w:r w:rsidRPr="001E7E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задается модель полиячейки</w:t>
      </w:r>
      <w:r w:rsidRPr="001802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параметрами которой являются</w:t>
      </w:r>
      <w:r w:rsidRPr="00180250">
        <w:rPr>
          <w:rFonts w:ascii="Times New Roman" w:hAnsi="Times New Roman" w:cs="Times New Roman"/>
          <w:sz w:val="28"/>
          <w:szCs w:val="28"/>
        </w:rPr>
        <w:t>:</w:t>
      </w:r>
    </w:p>
    <w:p w14:paraId="3B75C12F" w14:textId="0446D651" w:rsid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концентрация нуклидов в каждой отдельной зоне</w:t>
      </w:r>
      <w:r w:rsidRPr="001E7E61">
        <w:rPr>
          <w:rFonts w:ascii="Times New Roman" w:hAnsi="Times New Roman" w:cs="Times New Roman"/>
          <w:sz w:val="28"/>
          <w:szCs w:val="28"/>
        </w:rPr>
        <w:t>;</w:t>
      </w:r>
    </w:p>
    <w:p w14:paraId="063FE466" w14:textId="6B5B60FB" w:rsidR="001E7E61" w:rsidRP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 ячеек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A45C7E" w14:textId="73B1E87F" w:rsid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перетечек нейтронов между ячейками</w:t>
      </w:r>
      <w:r w:rsidRPr="001E7E61">
        <w:rPr>
          <w:rFonts w:ascii="Times New Roman" w:hAnsi="Times New Roman" w:cs="Times New Roman"/>
          <w:sz w:val="28"/>
          <w:szCs w:val="28"/>
        </w:rPr>
        <w:t>;</w:t>
      </w:r>
    </w:p>
    <w:p w14:paraId="0B3135BE" w14:textId="71CE45C2" w:rsidR="001E7E61" w:rsidRP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температуры зон ячеек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5719CB" w14:textId="782BFB1F" w:rsidR="001E7E61" w:rsidRPr="001E7E61" w:rsidRDefault="001E7E61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Концентрации нуклидов рассчитаем по формуле</w:t>
      </w:r>
      <w:r w:rsidRPr="001E7E61">
        <w:rPr>
          <w:rFonts w:ascii="Times New Roman" w:hAnsi="Times New Roman" w:cs="Times New Roman"/>
          <w:sz w:val="28"/>
          <w:szCs w:val="28"/>
        </w:rPr>
        <w:t>:</w:t>
      </w:r>
    </w:p>
    <w:p w14:paraId="4A4DBEE2" w14:textId="2433600F" w:rsidR="001E7E61" w:rsidRPr="00392FAD" w:rsidRDefault="0019741C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39B7E38" w14:textId="59863A45" w:rsidR="00392FAD" w:rsidRDefault="00392FAD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массовая доля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 вещества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молярная масса вещества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F207DD" w14:textId="35EB2ECE" w:rsidR="00BB5BFF" w:rsidRDefault="00DF14C8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7F70">
        <w:rPr>
          <w:rFonts w:ascii="Times New Roman" w:eastAsiaTheme="minorEastAsia" w:hAnsi="Times New Roman" w:cs="Times New Roman"/>
          <w:sz w:val="28"/>
          <w:szCs w:val="28"/>
        </w:rPr>
        <w:t>Приведем таблицу концентраций основных веществ активной зоны, на основе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которой можно рассчитать концентрации отдельных нуклидов</w:t>
      </w:r>
      <w:r w:rsidRPr="00DF14C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3E8B30" w14:textId="0A642C6C" w:rsidR="000E2C01" w:rsidRDefault="000E2C01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3.3 – Свойства веществ, содержащихся в активной зоне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14C8" w14:paraId="24F7F092" w14:textId="77777777" w:rsidTr="009639AF">
        <w:trPr>
          <w:trHeight w:val="838"/>
        </w:trPr>
        <w:tc>
          <w:tcPr>
            <w:tcW w:w="3115" w:type="dxa"/>
            <w:vAlign w:val="center"/>
          </w:tcPr>
          <w:p w14:paraId="5269AB68" w14:textId="4CFFAD96" w:rsidR="00DF14C8" w:rsidRPr="00DF14C8" w:rsidRDefault="00DF14C8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115" w:type="dxa"/>
            <w:vAlign w:val="center"/>
          </w:tcPr>
          <w:p w14:paraId="3AE183C2" w14:textId="1BED92E9" w:rsidR="00DF14C8" w:rsidRPr="009639AF" w:rsidRDefault="0019741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моль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 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г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78886E2F" w14:textId="52159542" w:rsidR="00DF14C8" w:rsidRPr="009639AF" w:rsidRDefault="0019741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639AF" w14:paraId="2B4063AB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728B30EE" w14:textId="733133EB" w:rsidR="009639AF" w:rsidRDefault="009639A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Диоксид урана</w:t>
            </w:r>
            <w:r w:rsidR="006E7F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E7F70"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60E10276" w14:textId="4C93BEB0" w:rsidR="009639AF" w:rsidRPr="006E7F70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=270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γ=11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3284734" w14:textId="0DA12684" w:rsidR="009639AF" w:rsidRPr="00C64137" w:rsidRDefault="006E7F70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7F7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E7F70">
              <w:rPr>
                <w:rFonts w:ascii="Times New Roman" w:eastAsia="Times New Roman" w:hAnsi="Times New Roman" w:cs="Times New Roman"/>
                <w:sz w:val="28"/>
                <w:szCs w:val="28"/>
              </w:rPr>
              <w:t>022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E7F70" w14:paraId="5C37A153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10308FBA" w14:textId="6FFD857F" w:rsidR="006E7F70" w:rsidRPr="006E7F70" w:rsidRDefault="006E7F7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Оксид гадолиния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3206829A" w14:textId="71D38DA4" w:rsidR="006E7F70" w:rsidRPr="006E7F70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=362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γ=7,6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ECD11FB" w14:textId="2CC80BFD" w:rsidR="006E7F70" w:rsidRPr="00113874" w:rsidRDefault="00113874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0126</w:t>
            </w:r>
          </w:p>
        </w:tc>
      </w:tr>
      <w:tr w:rsidR="00113874" w14:paraId="61854118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69E816A" w14:textId="41E997AA" w:rsidR="00113874" w:rsidRPr="00C64137" w:rsidRDefault="00C64137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Карбид бора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</w:tc>
        <w:tc>
          <w:tcPr>
            <w:tcW w:w="3115" w:type="dxa"/>
            <w:vAlign w:val="center"/>
          </w:tcPr>
          <w:p w14:paraId="69D7B5E4" w14:textId="3122D1DA" w:rsidR="00113874" w:rsidRPr="00C64137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=362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γ=2.5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1369EBBC" w14:textId="6346C343" w:rsidR="00113874" w:rsidRDefault="00C6413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0,0288</w:t>
            </w:r>
          </w:p>
        </w:tc>
      </w:tr>
      <w:tr w:rsidR="00992584" w14:paraId="051C9539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0CF884D" w14:textId="6A8DB602" w:rsidR="00992584" w:rsidRPr="006D044F" w:rsidRDefault="006D044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Вода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115" w:type="dxa"/>
            <w:vAlign w:val="center"/>
          </w:tcPr>
          <w:p w14:paraId="14ACCD2A" w14:textId="5778B5E7" w:rsidR="00992584" w:rsidRPr="00DF056A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γ=0.7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444779E8" w14:textId="6CCA5840" w:rsidR="00992584" w:rsidRDefault="00DF056A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0,0233</w:t>
            </w:r>
          </w:p>
        </w:tc>
      </w:tr>
      <w:tr w:rsidR="00DF056A" w14:paraId="0D685052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57610276" w14:textId="51504E59" w:rsidR="00DF056A" w:rsidRPr="00DF056A" w:rsidRDefault="00DF056A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Кислород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7A122996" w14:textId="77777777" w:rsidR="00DF056A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γ=1,2</m:t>
              </m:r>
            </m:oMath>
            <w:r w:rsidR="00DF05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3FA8427B" w14:textId="3A464928" w:rsidR="00DF056A" w:rsidRPr="00DF056A" w:rsidRDefault="0018525B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=25%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50B4BD1" w14:textId="7F89FED1" w:rsidR="00DF056A" w:rsidRPr="00DF056A" w:rsidRDefault="00DF056A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,0045</w:t>
            </w:r>
          </w:p>
        </w:tc>
      </w:tr>
      <w:tr w:rsidR="00DF056A" w14:paraId="781E0310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3121B3E6" w14:textId="263F5043" w:rsidR="00DF056A" w:rsidRPr="00DF056A" w:rsidRDefault="00DF056A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Азот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006E5623" w14:textId="24909EF1" w:rsidR="00DF056A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=14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γ=1,25</m:t>
              </m:r>
            </m:oMath>
            <w:r w:rsidR="00DF05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74FF4403" w14:textId="303A7289" w:rsidR="00DF056A" w:rsidRPr="004C72B2" w:rsidRDefault="0018525B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=75%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7FE10F89" w14:textId="19AE87BE" w:rsidR="00DF056A" w:rsidRPr="0018525B" w:rsidRDefault="0018525B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0,0144</w:t>
            </w:r>
          </w:p>
        </w:tc>
      </w:tr>
      <w:tr w:rsidR="003F4ED5" w14:paraId="44F51735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3B1FE13" w14:textId="6223549F" w:rsidR="003F4ED5" w:rsidRPr="003F4ED5" w:rsidRDefault="003F4ED5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Цирконий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Zr</w:t>
            </w:r>
          </w:p>
        </w:tc>
        <w:tc>
          <w:tcPr>
            <w:tcW w:w="3115" w:type="dxa"/>
            <w:vAlign w:val="center"/>
          </w:tcPr>
          <w:p w14:paraId="3E6D1BBC" w14:textId="5124B371" w:rsidR="003F4ED5" w:rsidRPr="003F4ED5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=91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γ=6,5</m:t>
              </m:r>
            </m:oMath>
            <w:r w:rsidR="003F4ED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7ACDD1C3" w14:textId="7A76DD7A" w:rsidR="003F4ED5" w:rsidRDefault="003F4ED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0,0429</w:t>
            </w:r>
          </w:p>
        </w:tc>
      </w:tr>
      <w:tr w:rsidR="00574605" w14:paraId="6AC77D4C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7450E6D6" w14:textId="242197E2" w:rsidR="00574605" w:rsidRPr="00574605" w:rsidRDefault="00574605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Никель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3115" w:type="dxa"/>
            <w:vAlign w:val="center"/>
          </w:tcPr>
          <w:p w14:paraId="540D25BC" w14:textId="247D61E9" w:rsidR="00574605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=58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γ=8,9</m:t>
              </m:r>
            </m:oMath>
            <w:r w:rsidR="005746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5EB48378" w14:textId="00D0CBEB" w:rsidR="00574605" w:rsidRPr="004C72B2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=56%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4E2489CE" w14:textId="5A24EC88" w:rsidR="00574605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7E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4605" w14:paraId="2FFE6327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0D070574" w14:textId="5141968C" w:rsidR="00574605" w:rsidRPr="00574605" w:rsidRDefault="00574605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Хром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3115" w:type="dxa"/>
            <w:vAlign w:val="center"/>
          </w:tcPr>
          <w:p w14:paraId="7D32008A" w14:textId="50E91A96" w:rsidR="00574605" w:rsidRDefault="0019741C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=52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γ=7,19</m:t>
              </m:r>
            </m:oMath>
            <w:r w:rsidR="005746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6168F00E" w14:textId="201CF4AA" w:rsidR="00574605" w:rsidRPr="004C72B2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=42%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11CE3CC7" w14:textId="5661A82E" w:rsidR="00574605" w:rsidRPr="00574605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7E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69F0E86" w14:textId="77777777" w:rsidR="00DF14C8" w:rsidRPr="00DF14C8" w:rsidRDefault="00DF14C8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468C1D" w14:textId="0C627716" w:rsidR="001E7E61" w:rsidRDefault="00180250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GETERA</w:t>
      </w:r>
      <w:r w:rsidRPr="0018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6 типов ячеек</w:t>
      </w:r>
      <w:r w:rsidRPr="00180250">
        <w:rPr>
          <w:rFonts w:ascii="Times New Roman" w:hAnsi="Times New Roman" w:cs="Times New Roman"/>
          <w:sz w:val="28"/>
          <w:szCs w:val="28"/>
        </w:rPr>
        <w:t>:</w:t>
      </w:r>
    </w:p>
    <w:p w14:paraId="387F3154" w14:textId="1974CF6A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тяжелый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твэл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5E47C" w14:textId="58CD429D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легкий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твэл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15BFF" w14:textId="316E5A3F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СВП большего диаметра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8F754" w14:textId="48A31E25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СВП меньшего диаметра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C85446" w14:textId="58F2A115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A9471" w14:textId="3737DE7E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Конструкционный материал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01415D" w14:textId="77777777" w:rsidR="008E16AB" w:rsidRDefault="00FB5325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перетечек нейтронов между ячейками определяется следующим образом</w:t>
      </w:r>
      <w:r w:rsidRPr="00FB53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рассчитывается вероятность перехода нейтрона из ячейки </w:t>
      </w:r>
      <w:r w:rsidRPr="00FB532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B53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FB532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B53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отношение площади</w:t>
      </w:r>
      <w:r w:rsidRPr="00FB53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смежной между обоими типами ячеек поверхности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FB53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площади поверхности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B53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ячейки типа </w:t>
      </w:r>
      <w:r w:rsidRPr="00FB53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FB532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0DE10B" w14:textId="7287F15A" w:rsidR="008E16AB" w:rsidRDefault="0019741C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755F61C2" w14:textId="2F329937" w:rsidR="00180250" w:rsidRDefault="00FB5325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расчета матриц перетечек для различных ТВС приведены в таблицах </w:t>
      </w:r>
      <w:r w:rsidR="00234296">
        <w:rPr>
          <w:rFonts w:ascii="Times New Roman" w:eastAsiaTheme="minorEastAsia" w:hAnsi="Times New Roman" w:cs="Times New Roman"/>
          <w:sz w:val="28"/>
          <w:szCs w:val="28"/>
        </w:rPr>
        <w:t>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234296">
        <w:rPr>
          <w:rFonts w:ascii="Times New Roman" w:eastAsiaTheme="minorEastAsia" w:hAnsi="Times New Roman" w:cs="Times New Roman"/>
          <w:sz w:val="28"/>
          <w:szCs w:val="28"/>
        </w:rPr>
        <w:t>3.5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ECC6C3" w14:textId="3E26B6D8" w:rsidR="008E16AB" w:rsidRDefault="000E2C01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3.4 - </w:t>
      </w:r>
      <w:r w:rsidR="008E16AB">
        <w:rPr>
          <w:rFonts w:ascii="Times New Roman" w:eastAsiaTheme="minorEastAsia" w:hAnsi="Times New Roman" w:cs="Times New Roman"/>
          <w:sz w:val="28"/>
          <w:szCs w:val="28"/>
        </w:rPr>
        <w:t xml:space="preserve">Матрица перетечек для центральной и периферийной </w:t>
      </w:r>
      <w:r w:rsidR="003E392F">
        <w:rPr>
          <w:rFonts w:ascii="Times New Roman" w:eastAsiaTheme="minorEastAsia" w:hAnsi="Times New Roman" w:cs="Times New Roman"/>
          <w:sz w:val="28"/>
          <w:szCs w:val="28"/>
        </w:rPr>
        <w:t>ТВС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560"/>
        <w:gridCol w:w="1331"/>
        <w:gridCol w:w="1361"/>
        <w:gridCol w:w="1390"/>
        <w:gridCol w:w="1071"/>
        <w:gridCol w:w="1071"/>
      </w:tblGrid>
      <w:tr w:rsidR="008E16AB" w14:paraId="1C8EAE29" w14:textId="77777777" w:rsidTr="003E392F">
        <w:tc>
          <w:tcPr>
            <w:tcW w:w="1335" w:type="dxa"/>
            <w:vMerge w:val="restart"/>
          </w:tcPr>
          <w:p w14:paraId="31734B71" w14:textId="6F774DA2" w:rsidR="008E16AB" w:rsidRDefault="008E16AB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ячейки</w:t>
            </w:r>
          </w:p>
        </w:tc>
        <w:tc>
          <w:tcPr>
            <w:tcW w:w="8010" w:type="dxa"/>
            <w:gridSpan w:val="6"/>
          </w:tcPr>
          <w:p w14:paraId="5589A513" w14:textId="0AFDAAE7" w:rsidR="008E16AB" w:rsidRDefault="0019741C" w:rsidP="001B32A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</w:tr>
      <w:tr w:rsidR="00374C2C" w14:paraId="6DFF7538" w14:textId="77777777" w:rsidTr="00374C2C">
        <w:tc>
          <w:tcPr>
            <w:tcW w:w="1335" w:type="dxa"/>
            <w:vMerge/>
          </w:tcPr>
          <w:p w14:paraId="28BC0FB9" w14:textId="77777777" w:rsidR="008E16AB" w:rsidRDefault="008E16AB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51B3E1DB" w14:textId="72445277" w:rsidR="008E16AB" w:rsidRP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  <w:vAlign w:val="center"/>
          </w:tcPr>
          <w:p w14:paraId="7CEC6A7E" w14:textId="5EDADECE" w:rsidR="008E16AB" w:rsidRP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  <w:vAlign w:val="center"/>
          </w:tcPr>
          <w:p w14:paraId="14BE5F1C" w14:textId="438D6808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  <w:vAlign w:val="center"/>
          </w:tcPr>
          <w:p w14:paraId="6653680C" w14:textId="114BD4CB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  <w:vAlign w:val="center"/>
          </w:tcPr>
          <w:p w14:paraId="28CB7B03" w14:textId="19F81FC1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  <w:vAlign w:val="center"/>
          </w:tcPr>
          <w:p w14:paraId="213AF616" w14:textId="0A526675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</w:tr>
      <w:tr w:rsidR="00374C2C" w14:paraId="7603C7C1" w14:textId="77777777" w:rsidTr="008E16AB">
        <w:tc>
          <w:tcPr>
            <w:tcW w:w="1335" w:type="dxa"/>
          </w:tcPr>
          <w:p w14:paraId="7C40CD44" w14:textId="44BED476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</w:tcPr>
          <w:p w14:paraId="5D0FA782" w14:textId="4A0FBE09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0,5882</w:t>
            </w:r>
          </w:p>
        </w:tc>
        <w:tc>
          <w:tcPr>
            <w:tcW w:w="1335" w:type="dxa"/>
          </w:tcPr>
          <w:p w14:paraId="3C99FF2B" w14:textId="3BAE15DC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0,1372</w:t>
            </w:r>
          </w:p>
        </w:tc>
        <w:tc>
          <w:tcPr>
            <w:tcW w:w="1335" w:type="dxa"/>
          </w:tcPr>
          <w:p w14:paraId="7ADEDF65" w14:textId="7F20A9F8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0,1176</w:t>
            </w:r>
          </w:p>
        </w:tc>
        <w:tc>
          <w:tcPr>
            <w:tcW w:w="1335" w:type="dxa"/>
          </w:tcPr>
          <w:p w14:paraId="532D3088" w14:textId="6C46AE35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7ABC194" w14:textId="28D975A7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32DFB05" w14:textId="1057246F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0,1586</w:t>
            </w:r>
          </w:p>
        </w:tc>
      </w:tr>
      <w:tr w:rsidR="00374C2C" w14:paraId="43F070D1" w14:textId="77777777" w:rsidTr="008E16AB">
        <w:tc>
          <w:tcPr>
            <w:tcW w:w="1335" w:type="dxa"/>
          </w:tcPr>
          <w:p w14:paraId="0A132842" w14:textId="7450B012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</w:tcPr>
          <w:p w14:paraId="1BFC2A3F" w14:textId="4FFE7B9F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0,3888</w:t>
            </w:r>
          </w:p>
        </w:tc>
        <w:tc>
          <w:tcPr>
            <w:tcW w:w="1335" w:type="dxa"/>
          </w:tcPr>
          <w:p w14:paraId="33ED6431" w14:textId="6E1F5007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5297335" w14:textId="45FBA518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359611" w14:textId="6E15EFB9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2CCACD8A" w14:textId="05F74557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0,0555</w:t>
            </w:r>
          </w:p>
        </w:tc>
        <w:tc>
          <w:tcPr>
            <w:tcW w:w="1335" w:type="dxa"/>
          </w:tcPr>
          <w:p w14:paraId="7B3BE5EB" w14:textId="57B8862E" w:rsidR="008E16AB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481595AB" w14:textId="77777777" w:rsidTr="008E16AB">
        <w:tc>
          <w:tcPr>
            <w:tcW w:w="1335" w:type="dxa"/>
          </w:tcPr>
          <w:p w14:paraId="7D422BF8" w14:textId="0EFC6350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</w:tcPr>
          <w:p w14:paraId="6E9DB151" w14:textId="70A9630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32A863BE" w14:textId="15EBE9F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107387C" w14:textId="3E3F0A63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D0E92F7" w14:textId="36CCD6A2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328BDC4" w14:textId="61EE0A8F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D04B160" w14:textId="0F83A59D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</w:tr>
      <w:tr w:rsidR="00374C2C" w14:paraId="1E1461E5" w14:textId="77777777" w:rsidTr="008E16AB">
        <w:tc>
          <w:tcPr>
            <w:tcW w:w="1335" w:type="dxa"/>
          </w:tcPr>
          <w:p w14:paraId="0DF980ED" w14:textId="0953A62A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СВП меньшего диаметра</w:t>
            </w:r>
          </w:p>
        </w:tc>
        <w:tc>
          <w:tcPr>
            <w:tcW w:w="1335" w:type="dxa"/>
          </w:tcPr>
          <w:p w14:paraId="37D3B5C7" w14:textId="5D9F4570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FF1572D" w14:textId="66EE2065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78AA48EA" w14:textId="113A03A3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BC249B" w14:textId="1DF88924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7D521DA" w14:textId="0D5995E9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56809657" w14:textId="0D373FD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555F2E6B" w14:textId="77777777" w:rsidTr="008E16AB">
        <w:tc>
          <w:tcPr>
            <w:tcW w:w="1335" w:type="dxa"/>
          </w:tcPr>
          <w:p w14:paraId="05AC86C1" w14:textId="7D49DFA8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</w:tcPr>
          <w:p w14:paraId="46BA566E" w14:textId="1467DA25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5929C44" w14:textId="28D6E1BF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0,1428</w:t>
            </w:r>
          </w:p>
        </w:tc>
        <w:tc>
          <w:tcPr>
            <w:tcW w:w="1335" w:type="dxa"/>
          </w:tcPr>
          <w:p w14:paraId="1481C289" w14:textId="1F9F238A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5110AF8D" w14:textId="5F5718FE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0,2857</w:t>
            </w:r>
          </w:p>
        </w:tc>
        <w:tc>
          <w:tcPr>
            <w:tcW w:w="1335" w:type="dxa"/>
          </w:tcPr>
          <w:p w14:paraId="082B8D64" w14:textId="13CFF826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0,5714</w:t>
            </w:r>
          </w:p>
        </w:tc>
        <w:tc>
          <w:tcPr>
            <w:tcW w:w="1335" w:type="dxa"/>
          </w:tcPr>
          <w:p w14:paraId="09DBEEA7" w14:textId="682C4A25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4D6A230E" w14:textId="77777777" w:rsidTr="008E16AB">
        <w:tc>
          <w:tcPr>
            <w:tcW w:w="1335" w:type="dxa"/>
          </w:tcPr>
          <w:p w14:paraId="3D708BDE" w14:textId="6B182AD0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1335" w:type="dxa"/>
          </w:tcPr>
          <w:p w14:paraId="21B292A0" w14:textId="10E27FE2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5AAFC8D5" w14:textId="7383CB63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4B882E0" w14:textId="57A33331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0,0833</w:t>
            </w:r>
          </w:p>
        </w:tc>
        <w:tc>
          <w:tcPr>
            <w:tcW w:w="1335" w:type="dxa"/>
          </w:tcPr>
          <w:p w14:paraId="558189A4" w14:textId="0223910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58A303E" w14:textId="71DF55EE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169A84C" w14:textId="356F13DE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0,6944</w:t>
            </w:r>
          </w:p>
        </w:tc>
      </w:tr>
    </w:tbl>
    <w:p w14:paraId="25CE252F" w14:textId="77777777" w:rsidR="008E16AB" w:rsidRPr="008E16AB" w:rsidRDefault="008E16AB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5328259" w14:textId="2673A8FD" w:rsidR="003E392F" w:rsidRDefault="000E2C01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3.5 - </w:t>
      </w:r>
      <w:r w:rsidR="003E392F">
        <w:rPr>
          <w:rFonts w:ascii="Times New Roman" w:hAnsi="Times New Roman" w:cs="Times New Roman"/>
          <w:sz w:val="28"/>
          <w:szCs w:val="28"/>
        </w:rPr>
        <w:t>Матрица перетечек для ТВС со стержнем АЗ и ТВС с пустым каналом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560"/>
        <w:gridCol w:w="1331"/>
        <w:gridCol w:w="1361"/>
        <w:gridCol w:w="1390"/>
        <w:gridCol w:w="1071"/>
        <w:gridCol w:w="1071"/>
      </w:tblGrid>
      <w:tr w:rsidR="003E392F" w14:paraId="59D46B04" w14:textId="77777777" w:rsidTr="003E392F">
        <w:tc>
          <w:tcPr>
            <w:tcW w:w="1335" w:type="dxa"/>
            <w:vMerge w:val="restart"/>
          </w:tcPr>
          <w:p w14:paraId="2CB62DAB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ячейки</w:t>
            </w:r>
          </w:p>
        </w:tc>
        <w:tc>
          <w:tcPr>
            <w:tcW w:w="8010" w:type="dxa"/>
            <w:gridSpan w:val="6"/>
          </w:tcPr>
          <w:p w14:paraId="6402C88B" w14:textId="77777777" w:rsidR="003E392F" w:rsidRDefault="0019741C" w:rsidP="001B32A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</w:tr>
      <w:tr w:rsidR="003E392F" w14:paraId="477B60B6" w14:textId="77777777" w:rsidTr="003E392F">
        <w:tc>
          <w:tcPr>
            <w:tcW w:w="1335" w:type="dxa"/>
            <w:vMerge/>
          </w:tcPr>
          <w:p w14:paraId="451A4F38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1D5DFE39" w14:textId="77777777" w:rsidR="003E392F" w:rsidRPr="00374C2C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  <w:vAlign w:val="center"/>
          </w:tcPr>
          <w:p w14:paraId="39EE933E" w14:textId="77777777" w:rsidR="003E392F" w:rsidRPr="00374C2C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  <w:vAlign w:val="center"/>
          </w:tcPr>
          <w:p w14:paraId="109396C1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  <w:vAlign w:val="center"/>
          </w:tcPr>
          <w:p w14:paraId="090B2CCE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  <w:vAlign w:val="center"/>
          </w:tcPr>
          <w:p w14:paraId="0CC28147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  <w:vAlign w:val="center"/>
          </w:tcPr>
          <w:p w14:paraId="1CE63B3D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</w:tr>
      <w:tr w:rsidR="003E392F" w:rsidRPr="00513690" w14:paraId="501F1A94" w14:textId="77777777" w:rsidTr="003E392F">
        <w:tc>
          <w:tcPr>
            <w:tcW w:w="1335" w:type="dxa"/>
          </w:tcPr>
          <w:p w14:paraId="6339FFE1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</w:tcPr>
          <w:p w14:paraId="431A4BCE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0,5882</w:t>
            </w:r>
          </w:p>
        </w:tc>
        <w:tc>
          <w:tcPr>
            <w:tcW w:w="1335" w:type="dxa"/>
          </w:tcPr>
          <w:p w14:paraId="62DAFB58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0,1372</w:t>
            </w:r>
          </w:p>
        </w:tc>
        <w:tc>
          <w:tcPr>
            <w:tcW w:w="1335" w:type="dxa"/>
          </w:tcPr>
          <w:p w14:paraId="05E95330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0,1176</w:t>
            </w:r>
          </w:p>
        </w:tc>
        <w:tc>
          <w:tcPr>
            <w:tcW w:w="1335" w:type="dxa"/>
          </w:tcPr>
          <w:p w14:paraId="63290159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2593EA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A85705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0,1586</w:t>
            </w:r>
          </w:p>
        </w:tc>
      </w:tr>
      <w:tr w:rsidR="003E392F" w:rsidRPr="003E392F" w14:paraId="2E3B204F" w14:textId="77777777" w:rsidTr="003E392F">
        <w:tc>
          <w:tcPr>
            <w:tcW w:w="1335" w:type="dxa"/>
          </w:tcPr>
          <w:p w14:paraId="544B8FB5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</w:tcPr>
          <w:p w14:paraId="71D4FAD4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0,3888</w:t>
            </w:r>
          </w:p>
        </w:tc>
        <w:tc>
          <w:tcPr>
            <w:tcW w:w="1335" w:type="dxa"/>
          </w:tcPr>
          <w:p w14:paraId="12A77C52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E591F72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C182117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44BA76E7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0,0555</w:t>
            </w:r>
          </w:p>
        </w:tc>
        <w:tc>
          <w:tcPr>
            <w:tcW w:w="1335" w:type="dxa"/>
          </w:tcPr>
          <w:p w14:paraId="40704606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270F5FCF" w14:textId="77777777" w:rsidTr="003E392F">
        <w:tc>
          <w:tcPr>
            <w:tcW w:w="1335" w:type="dxa"/>
          </w:tcPr>
          <w:p w14:paraId="2D533F28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</w:tcPr>
          <w:p w14:paraId="6DAAADCE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47DAB497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C4EEF55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B4047A0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C08A45D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96322B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</w:tr>
      <w:tr w:rsidR="003E392F" w:rsidRPr="003E392F" w14:paraId="2905C811" w14:textId="77777777" w:rsidTr="003E392F">
        <w:tc>
          <w:tcPr>
            <w:tcW w:w="1335" w:type="dxa"/>
          </w:tcPr>
          <w:p w14:paraId="13DB46EB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</w:tcPr>
          <w:p w14:paraId="5E3C5A1E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C5A2C4E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3A628C65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1B0D348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7A67422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7C2034F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5A8DFACC" w14:textId="77777777" w:rsidTr="003E392F">
        <w:tc>
          <w:tcPr>
            <w:tcW w:w="1335" w:type="dxa"/>
          </w:tcPr>
          <w:p w14:paraId="5DD8E9E6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</w:tcPr>
          <w:p w14:paraId="6591FF75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D0222B7" w14:textId="64A79FBF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335" w:type="dxa"/>
          </w:tcPr>
          <w:p w14:paraId="45FA9FF2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AD6DC1C" w14:textId="3990171F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335" w:type="dxa"/>
          </w:tcPr>
          <w:p w14:paraId="5FC6E5CD" w14:textId="6770860C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35" w:type="dxa"/>
          </w:tcPr>
          <w:p w14:paraId="6C6ADC2F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49D3BA6C" w14:textId="77777777" w:rsidTr="003E392F">
        <w:tc>
          <w:tcPr>
            <w:tcW w:w="1335" w:type="dxa"/>
          </w:tcPr>
          <w:p w14:paraId="13DB4A8A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1335" w:type="dxa"/>
          </w:tcPr>
          <w:p w14:paraId="5EC74F39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1F37154D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F38EB6A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0,0833</w:t>
            </w:r>
          </w:p>
        </w:tc>
        <w:tc>
          <w:tcPr>
            <w:tcW w:w="1335" w:type="dxa"/>
          </w:tcPr>
          <w:p w14:paraId="65ABFD13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18AB41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576E9EEC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0,6944</w:t>
            </w:r>
          </w:p>
        </w:tc>
      </w:tr>
    </w:tbl>
    <w:p w14:paraId="4AF131D3" w14:textId="577D1AEE" w:rsidR="003E392F" w:rsidRDefault="003E392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7F0DE6" w14:textId="11AE0B3E" w:rsidR="00167EC6" w:rsidRDefault="00167EC6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Температуры зон ячеек возьмем из теплогидравлического расчета.</w:t>
      </w:r>
    </w:p>
    <w:p w14:paraId="5CF1F14F" w14:textId="5E2C1853" w:rsidR="00167EC6" w:rsidRPr="00B936D2" w:rsidRDefault="00167EC6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36D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основе вышепредставленных данных были рас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читаны макроскопические параметры для всех типов ТВС</w:t>
      </w:r>
      <w:r w:rsidR="00B936D2" w:rsidRPr="00B936D2">
        <w:rPr>
          <w:rFonts w:ascii="Times New Roman" w:hAnsi="Times New Roman" w:cs="Times New Roman"/>
          <w:sz w:val="28"/>
          <w:szCs w:val="28"/>
        </w:rPr>
        <w:t xml:space="preserve">, </w:t>
      </w:r>
      <w:r w:rsidR="00B936D2">
        <w:rPr>
          <w:rFonts w:ascii="Times New Roman" w:hAnsi="Times New Roman" w:cs="Times New Roman"/>
          <w:sz w:val="28"/>
          <w:szCs w:val="28"/>
        </w:rPr>
        <w:t>необходимые для дальнейшего стационарного и динамического расчета</w:t>
      </w:r>
      <w:r w:rsidRPr="00167E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Pr="00B936D2">
        <w:rPr>
          <w:rFonts w:ascii="Times New Roman" w:hAnsi="Times New Roman" w:cs="Times New Roman"/>
          <w:sz w:val="28"/>
          <w:szCs w:val="28"/>
        </w:rPr>
        <w:t>:</w:t>
      </w:r>
    </w:p>
    <w:p w14:paraId="6B741805" w14:textId="434ED8D2" w:rsidR="00167EC6" w:rsidRDefault="00167EC6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коэффициенты диффузии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14:paraId="42E0CC73" w14:textId="4CF36552" w:rsidR="00B936D2" w:rsidRPr="00B936D2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сечения поглощения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082E99C" w14:textId="553CFFA5" w:rsidR="00B936D2" w:rsidRPr="00B936D2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сечения 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0283E5A" w14:textId="2614D82D" w:rsidR="00B936D2" w:rsidRPr="00B936D2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межгруппового перевода</w:t>
      </w:r>
      <w:r w:rsidRPr="00B936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B936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620B2DF" w14:textId="263E1B52" w:rsidR="00693F9E" w:rsidRPr="00693F9E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сечения генерации нейтронов</w:t>
      </w:r>
      <w:r w:rsidRPr="00B936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Pr="00B936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4912CD" w14:textId="188B7B6E" w:rsidR="00B936D2" w:rsidRDefault="00A45460" w:rsidP="001B32A0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072326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B936D2" w:rsidRPr="00693F9E">
        <w:rPr>
          <w:rFonts w:ascii="Times New Roman" w:hAnsi="Times New Roman" w:cs="Times New Roman"/>
          <w:b/>
          <w:sz w:val="28"/>
          <w:szCs w:val="28"/>
        </w:rPr>
        <w:t>Стационарный расчет реактора в начале компании.</w:t>
      </w:r>
    </w:p>
    <w:p w14:paraId="3A0AE8DA" w14:textId="582C8F6D" w:rsidR="00072326" w:rsidRDefault="00072326" w:rsidP="001B32A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Стационарный расчет реактора в начале компании проведем при помощи программы</w:t>
      </w:r>
      <w:r w:rsidR="00106CA2">
        <w:rPr>
          <w:rFonts w:ascii="Times New Roman" w:hAnsi="Times New Roman" w:cs="Times New Roman"/>
          <w:sz w:val="28"/>
          <w:szCs w:val="28"/>
        </w:rPr>
        <w:t xml:space="preserve"> </w:t>
      </w:r>
      <w:r w:rsidR="00106CA2">
        <w:rPr>
          <w:rFonts w:ascii="Times New Roman" w:hAnsi="Times New Roman" w:cs="Times New Roman"/>
          <w:sz w:val="28"/>
          <w:szCs w:val="28"/>
          <w:lang w:val="en-US"/>
        </w:rPr>
        <w:t>SKETCH</w:t>
      </w:r>
      <w:r>
        <w:rPr>
          <w:rFonts w:ascii="Times New Roman" w:hAnsi="Times New Roman" w:cs="Times New Roman"/>
          <w:sz w:val="28"/>
          <w:szCs w:val="28"/>
        </w:rPr>
        <w:t xml:space="preserve"> для нейтронно-физического расчета активной зоны реактора</w:t>
      </w:r>
      <w:r w:rsidRPr="00072326">
        <w:rPr>
          <w:rFonts w:ascii="Times New Roman" w:hAnsi="Times New Roman" w:cs="Times New Roman"/>
          <w:sz w:val="28"/>
          <w:szCs w:val="28"/>
        </w:rPr>
        <w:t>.</w:t>
      </w:r>
      <w:r w:rsidR="00106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737CB" w14:textId="02136A63" w:rsidR="00106CA2" w:rsidRDefault="00106CA2" w:rsidP="001B32A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начальном этапе расчета необходимо задать входные данные</w:t>
      </w:r>
      <w:r w:rsidRPr="00106C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необходимые для расчета</w:t>
      </w:r>
      <w:r w:rsidRPr="00106CA2">
        <w:rPr>
          <w:rFonts w:ascii="Times New Roman" w:hAnsi="Times New Roman" w:cs="Times New Roman"/>
          <w:sz w:val="28"/>
          <w:szCs w:val="28"/>
        </w:rPr>
        <w:t>:</w:t>
      </w:r>
    </w:p>
    <w:p w14:paraId="372DE3D8" w14:textId="3BC497B0" w:rsidR="00EB1B28" w:rsidRP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картограмму загрузки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3B88D" w14:textId="49EC1C59" w:rsidR="00EB1B28" w:rsidRP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тепловую мощность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0851AF" w14:textId="4909D54F" w:rsid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активной зоны</w:t>
      </w:r>
      <w:r w:rsidR="000D53F8" w:rsidRPr="000D53F8">
        <w:rPr>
          <w:rFonts w:ascii="Times New Roman" w:hAnsi="Times New Roman" w:cs="Times New Roman"/>
          <w:sz w:val="28"/>
          <w:szCs w:val="28"/>
        </w:rPr>
        <w:t xml:space="preserve"> </w:t>
      </w:r>
      <w:r w:rsidR="000D53F8">
        <w:rPr>
          <w:rFonts w:ascii="Times New Roman" w:hAnsi="Times New Roman" w:cs="Times New Roman"/>
          <w:sz w:val="28"/>
          <w:szCs w:val="28"/>
        </w:rPr>
        <w:t>по высоте</w:t>
      </w:r>
      <w:r>
        <w:rPr>
          <w:rFonts w:ascii="Times New Roman" w:hAnsi="Times New Roman" w:cs="Times New Roman"/>
          <w:sz w:val="28"/>
          <w:szCs w:val="28"/>
        </w:rPr>
        <w:t xml:space="preserve"> на слои</w:t>
      </w:r>
      <w:r w:rsidRPr="00EB1B28">
        <w:rPr>
          <w:rFonts w:ascii="Times New Roman" w:hAnsi="Times New Roman" w:cs="Times New Roman"/>
          <w:sz w:val="28"/>
          <w:szCs w:val="28"/>
        </w:rPr>
        <w:t>;</w:t>
      </w:r>
    </w:p>
    <w:p w14:paraId="7682AC89" w14:textId="6D0476F8" w:rsid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макроскопические параметры всех типов ТВС.</w:t>
      </w:r>
    </w:p>
    <w:p w14:paraId="5F550153" w14:textId="28EFBA29" w:rsidR="00EB1B28" w:rsidRDefault="009E72D1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Картограмма загрузки активной зоны реактора составляется на основе рисунка 3.4</w:t>
      </w:r>
      <w:r w:rsidRPr="009E72D1">
        <w:rPr>
          <w:rFonts w:ascii="Times New Roman" w:hAnsi="Times New Roman" w:cs="Times New Roman"/>
          <w:sz w:val="28"/>
          <w:szCs w:val="28"/>
        </w:rPr>
        <w:t>.</w:t>
      </w:r>
    </w:p>
    <w:p w14:paraId="0FC5717E" w14:textId="560A2075" w:rsidR="009E72D1" w:rsidRDefault="009E72D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5C4B50" wp14:editId="717318F6">
            <wp:extent cx="3002280" cy="3055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F913" w14:textId="1A5A7F79" w:rsidR="00106CA2" w:rsidRPr="00234296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3.6</w:t>
      </w:r>
      <w:r>
        <w:rPr>
          <w:rFonts w:ascii="Times New Roman" w:hAnsi="Times New Roman" w:cs="Times New Roman"/>
          <w:sz w:val="28"/>
          <w:szCs w:val="28"/>
        </w:rPr>
        <w:t xml:space="preserve"> – Картограмма загрузки реактора для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: 1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центральной зоны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2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периферийной зоны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3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со стержнем АЗ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4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с пустым каналом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5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отражатель</w:t>
      </w:r>
    </w:p>
    <w:p w14:paraId="06C92BA2" w14:textId="3CA621A6" w:rsidR="006F3559" w:rsidRDefault="006F3559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Тепловую мощность реактора возьмем из теплогидравлического</w:t>
      </w:r>
      <w:r w:rsidR="000D53F8" w:rsidRPr="000D53F8">
        <w:rPr>
          <w:rFonts w:ascii="Times New Roman" w:hAnsi="Times New Roman" w:cs="Times New Roman"/>
          <w:sz w:val="28"/>
          <w:szCs w:val="28"/>
        </w:rPr>
        <w:t xml:space="preserve"> </w:t>
      </w:r>
      <w:r w:rsidR="000D53F8">
        <w:rPr>
          <w:rFonts w:ascii="Times New Roman" w:hAnsi="Times New Roman" w:cs="Times New Roman"/>
          <w:sz w:val="28"/>
          <w:szCs w:val="28"/>
        </w:rPr>
        <w:t>расчета</w:t>
      </w:r>
      <w:r>
        <w:rPr>
          <w:rFonts w:ascii="Times New Roman" w:hAnsi="Times New Roman" w:cs="Times New Roman"/>
          <w:sz w:val="28"/>
          <w:szCs w:val="28"/>
        </w:rPr>
        <w:t xml:space="preserve"> и 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132.8 МВт.</w:t>
      </w:r>
      <w:r w:rsidR="000D53F8">
        <w:rPr>
          <w:rFonts w:ascii="Times New Roman" w:eastAsiaTheme="minorEastAsia" w:hAnsi="Times New Roman" w:cs="Times New Roman"/>
          <w:sz w:val="28"/>
          <w:szCs w:val="28"/>
        </w:rPr>
        <w:t xml:space="preserve"> Высоту активной зоны разобьем на слои по 0.13 м. Макроскопические параметры всех типов ТВС были получены в пункте 3.2 данной главы.</w:t>
      </w:r>
    </w:p>
    <w:p w14:paraId="4C65B4AC" w14:textId="54C7AE5C" w:rsidR="00896F61" w:rsidRDefault="00E70072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начала необходимо провести расчет условно – критической задачи для определения критической загрузки. Для этого будем погружать поглощающие стержни на различную глубину и следить за изменением эффективного коэффициента размножения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ADE">
        <w:rPr>
          <w:rFonts w:ascii="Times New Roman" w:eastAsiaTheme="minorEastAsia" w:hAnsi="Times New Roman" w:cs="Times New Roman"/>
          <w:sz w:val="28"/>
          <w:szCs w:val="28"/>
        </w:rPr>
        <w:t xml:space="preserve"> Предполагаем вначале, что глубина погружения всех стержней одинакова</w:t>
      </w:r>
      <w:r w:rsidR="00862ADE" w:rsidRPr="00862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ADE">
        <w:rPr>
          <w:rFonts w:ascii="Times New Roman" w:eastAsiaTheme="minorEastAsia" w:hAnsi="Times New Roman" w:cs="Times New Roman"/>
          <w:sz w:val="28"/>
          <w:szCs w:val="28"/>
        </w:rPr>
        <w:t>Результаты представлены на рисунке 3.7.</w:t>
      </w:r>
    </w:p>
    <w:p w14:paraId="0B78D9F0" w14:textId="255276B2" w:rsidR="0027267D" w:rsidRDefault="00B64467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341531" wp14:editId="554B3D3A">
            <wp:extent cx="3429000" cy="252898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6" cy="25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2481" w14:textId="693C203B" w:rsidR="00862ADE" w:rsidRPr="00862ADE" w:rsidRDefault="0027267D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4467">
        <w:rPr>
          <w:rFonts w:ascii="Times New Roman" w:eastAsiaTheme="minorEastAsia" w:hAnsi="Times New Roman" w:cs="Times New Roman"/>
          <w:b/>
          <w:sz w:val="28"/>
          <w:szCs w:val="28"/>
        </w:rPr>
        <w:t>Рисунок 3.7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467">
        <w:rPr>
          <w:rFonts w:ascii="Times New Roman" w:eastAsiaTheme="minorEastAsia" w:hAnsi="Times New Roman" w:cs="Times New Roman"/>
          <w:sz w:val="28"/>
          <w:szCs w:val="28"/>
        </w:rPr>
        <w:t xml:space="preserve">График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 w:rsidR="00B64467">
        <w:rPr>
          <w:rFonts w:ascii="Times New Roman" w:eastAsiaTheme="minorEastAsia" w:hAnsi="Times New Roman" w:cs="Times New Roman"/>
          <w:sz w:val="28"/>
          <w:szCs w:val="28"/>
        </w:rPr>
        <w:t xml:space="preserve"> от глубины погружения поглощающих стержней</w:t>
      </w:r>
    </w:p>
    <w:p w14:paraId="587CCF63" w14:textId="4D046EBC" w:rsidR="000D53F8" w:rsidRDefault="00B64467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расчета следует, что глубина поглощающих стержней, при которой реактор становится критичным, равна </w:t>
      </w:r>
      <w:r w:rsidRPr="00B64467">
        <w:rPr>
          <w:rFonts w:ascii="Times New Roman" w:eastAsiaTheme="minorEastAsia" w:hAnsi="Times New Roman" w:cs="Times New Roman"/>
          <w:sz w:val="28"/>
          <w:szCs w:val="28"/>
        </w:rPr>
        <w:t xml:space="preserve">0.85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м. </w:t>
      </w:r>
    </w:p>
    <w:p w14:paraId="3E18F6AB" w14:textId="68834A3A" w:rsidR="00B64467" w:rsidRDefault="00B64467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Определим эффективность системы аварийной защиты.</w:t>
      </w:r>
      <w:r w:rsidR="001112F6">
        <w:rPr>
          <w:rFonts w:ascii="Times New Roman" w:eastAsiaTheme="minorEastAsia" w:hAnsi="Times New Roman" w:cs="Times New Roman"/>
          <w:sz w:val="28"/>
          <w:szCs w:val="28"/>
        </w:rPr>
        <w:t xml:space="preserve"> Для этого </w:t>
      </w:r>
      <w:r w:rsidR="00E95625">
        <w:rPr>
          <w:rFonts w:ascii="Times New Roman" w:eastAsiaTheme="minorEastAsia" w:hAnsi="Times New Roman" w:cs="Times New Roman"/>
          <w:sz w:val="28"/>
          <w:szCs w:val="28"/>
        </w:rPr>
        <w:t>приведем реактор в критическое состояние и опустим стержни аварийной защиты. Результаты</w:t>
      </w:r>
      <w:r w:rsidR="00E95625" w:rsidRPr="00E956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625">
        <w:rPr>
          <w:rFonts w:ascii="Times New Roman" w:eastAsiaTheme="minorEastAsia" w:hAnsi="Times New Roman" w:cs="Times New Roman"/>
          <w:sz w:val="28"/>
          <w:szCs w:val="28"/>
        </w:rPr>
        <w:t>расчетов приведены в таблице 3.6.</w:t>
      </w:r>
    </w:p>
    <w:p w14:paraId="1A33665A" w14:textId="7D590AF8" w:rsidR="00E95625" w:rsidRDefault="00E95625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3.6</w:t>
      </w:r>
      <w:r w:rsidR="00700D4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Воздействие органов аварийной защиты на реактивность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5625" w14:paraId="1BBCB97E" w14:textId="77777777" w:rsidTr="00E95625">
        <w:tc>
          <w:tcPr>
            <w:tcW w:w="3115" w:type="dxa"/>
          </w:tcPr>
          <w:p w14:paraId="396A4347" w14:textId="7A50D17F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групп АЗ</w:t>
            </w:r>
          </w:p>
        </w:tc>
        <w:tc>
          <w:tcPr>
            <w:tcW w:w="3115" w:type="dxa"/>
          </w:tcPr>
          <w:p w14:paraId="3CA3D3A9" w14:textId="55EDC78C" w:rsidR="00E95625" w:rsidRDefault="0019741C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эф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73FBBE34" w14:textId="4382C8F1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∆ρ</m:t>
                </m:r>
              </m:oMath>
            </m:oMathPara>
          </w:p>
        </w:tc>
      </w:tr>
      <w:tr w:rsidR="00E95625" w14:paraId="2F184394" w14:textId="77777777" w:rsidTr="00E95625">
        <w:tc>
          <w:tcPr>
            <w:tcW w:w="3115" w:type="dxa"/>
          </w:tcPr>
          <w:p w14:paraId="7F56E849" w14:textId="45BF5721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Одна группа стержней</w:t>
            </w:r>
          </w:p>
        </w:tc>
        <w:tc>
          <w:tcPr>
            <w:tcW w:w="3115" w:type="dxa"/>
          </w:tcPr>
          <w:p w14:paraId="441A344D" w14:textId="7E1F1125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0,006053</w:t>
            </w:r>
          </w:p>
        </w:tc>
        <w:tc>
          <w:tcPr>
            <w:tcW w:w="3115" w:type="dxa"/>
          </w:tcPr>
          <w:p w14:paraId="3C554A82" w14:textId="7735F34A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0,003947</w:t>
            </w:r>
          </w:p>
        </w:tc>
      </w:tr>
      <w:tr w:rsidR="00E95625" w14:paraId="2C4D72CF" w14:textId="77777777" w:rsidTr="00E95625">
        <w:tc>
          <w:tcPr>
            <w:tcW w:w="3115" w:type="dxa"/>
          </w:tcPr>
          <w:p w14:paraId="1F90E83C" w14:textId="69606492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Две группы стержней</w:t>
            </w:r>
          </w:p>
        </w:tc>
        <w:tc>
          <w:tcPr>
            <w:tcW w:w="3115" w:type="dxa"/>
          </w:tcPr>
          <w:p w14:paraId="152A0185" w14:textId="17FDF7D4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0,991576</w:t>
            </w:r>
          </w:p>
        </w:tc>
        <w:tc>
          <w:tcPr>
            <w:tcW w:w="3115" w:type="dxa"/>
          </w:tcPr>
          <w:p w14:paraId="0788F5E1" w14:textId="65F4DC6F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0,008424</w:t>
            </w:r>
          </w:p>
        </w:tc>
      </w:tr>
      <w:tr w:rsidR="00E95625" w14:paraId="02A866CA" w14:textId="77777777" w:rsidTr="00E95625">
        <w:tc>
          <w:tcPr>
            <w:tcW w:w="3115" w:type="dxa"/>
          </w:tcPr>
          <w:p w14:paraId="1A8130E0" w14:textId="5DA82BC7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Три группы стержней </w:t>
            </w:r>
          </w:p>
        </w:tc>
        <w:tc>
          <w:tcPr>
            <w:tcW w:w="3115" w:type="dxa"/>
          </w:tcPr>
          <w:p w14:paraId="693CAEDB" w14:textId="552A05B6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,986962</w:t>
            </w:r>
          </w:p>
        </w:tc>
        <w:tc>
          <w:tcPr>
            <w:tcW w:w="3115" w:type="dxa"/>
          </w:tcPr>
          <w:p w14:paraId="580CEB36" w14:textId="7B81220C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0,013038</w:t>
            </w:r>
          </w:p>
        </w:tc>
      </w:tr>
    </w:tbl>
    <w:p w14:paraId="4985D089" w14:textId="77777777" w:rsidR="00E95625" w:rsidRPr="00E95625" w:rsidRDefault="00E95625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9775FFA" w14:textId="599C1C62" w:rsidR="00B936D2" w:rsidRDefault="00C13503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="001A3A5E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1A3A5E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="001A3A5E" w:rsidRPr="001A3A5E">
        <w:rPr>
          <w:rFonts w:ascii="Times New Roman" w:hAnsi="Times New Roman" w:cs="Times New Roman"/>
          <w:sz w:val="28"/>
          <w:szCs w:val="28"/>
        </w:rPr>
        <w:t xml:space="preserve"> </w:t>
      </w:r>
      <w:r w:rsidR="001A3A5E">
        <w:rPr>
          <w:rFonts w:ascii="Times New Roman" w:hAnsi="Times New Roman" w:cs="Times New Roman"/>
          <w:sz w:val="28"/>
          <w:szCs w:val="28"/>
        </w:rPr>
        <w:t>позволяет получить данные о энерговыделении в активной зоне</w:t>
      </w:r>
      <w:r w:rsidR="001A3A5E" w:rsidRPr="001A3A5E">
        <w:rPr>
          <w:rFonts w:ascii="Times New Roman" w:hAnsi="Times New Roman" w:cs="Times New Roman"/>
          <w:sz w:val="28"/>
          <w:szCs w:val="28"/>
        </w:rPr>
        <w:t xml:space="preserve">, </w:t>
      </w:r>
      <w:r w:rsidR="001A3A5E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1A3A5E" w:rsidRPr="001A3A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3A5E">
        <w:rPr>
          <w:rFonts w:ascii="Times New Roman" w:eastAsiaTheme="minorEastAsia" w:hAnsi="Times New Roman" w:cs="Times New Roman"/>
          <w:sz w:val="28"/>
          <w:szCs w:val="28"/>
        </w:rPr>
        <w:t>На рисунке 3.8 представлено распределение плотности теплового потока</w:t>
      </w:r>
      <w:r w:rsidR="001C146B"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центрального максимально нагруженного твэл</w:t>
      </w:r>
      <w:r w:rsidR="001A3A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05C0">
        <w:rPr>
          <w:rFonts w:ascii="Times New Roman" w:eastAsiaTheme="minorEastAsia" w:hAnsi="Times New Roman" w:cs="Times New Roman"/>
          <w:sz w:val="28"/>
          <w:szCs w:val="28"/>
        </w:rPr>
        <w:t xml:space="preserve">по высоте </w:t>
      </w:r>
      <w:r w:rsidR="001C146B">
        <w:rPr>
          <w:rFonts w:ascii="Times New Roman" w:eastAsiaTheme="minorEastAsia" w:hAnsi="Times New Roman" w:cs="Times New Roman"/>
          <w:sz w:val="28"/>
          <w:szCs w:val="28"/>
        </w:rPr>
        <w:t>ТВСМ</w:t>
      </w:r>
      <w:r w:rsidR="001C146B" w:rsidRPr="001C14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028AFA" w14:textId="589B91BC" w:rsidR="004F6004" w:rsidRDefault="00700D46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C46281" wp14:editId="6332CABD">
            <wp:extent cx="3445200" cy="2538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7126" w14:textId="5C839974" w:rsidR="00F568A8" w:rsidRDefault="00F568A8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7FFA">
        <w:rPr>
          <w:rFonts w:ascii="Times New Roman" w:eastAsiaTheme="minorEastAsia" w:hAnsi="Times New Roman" w:cs="Times New Roman"/>
          <w:b/>
          <w:sz w:val="28"/>
          <w:szCs w:val="28"/>
        </w:rPr>
        <w:t>Рисунок 3.8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плотности теплового потока на поверхности максимально нагруженного твэла по высоте ТВСМ</w:t>
      </w:r>
    </w:p>
    <w:p w14:paraId="684B2385" w14:textId="77777777" w:rsidR="00803F49" w:rsidRPr="00F568A8" w:rsidRDefault="00803F49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2026469" w14:textId="3E57B6D4" w:rsidR="001C146B" w:rsidRDefault="00CE7FFA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3.7 </w:t>
      </w:r>
      <w:r w:rsidR="00F725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2587">
        <w:rPr>
          <w:rFonts w:ascii="Times New Roman" w:hAnsi="Times New Roman" w:cs="Times New Roman"/>
          <w:sz w:val="28"/>
          <w:szCs w:val="28"/>
        </w:rPr>
        <w:t>Параметры поля энерговыделения активной зоны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F72587" w14:paraId="188DF7BC" w14:textId="77777777" w:rsidTr="000D76FB">
        <w:tc>
          <w:tcPr>
            <w:tcW w:w="7933" w:type="dxa"/>
          </w:tcPr>
          <w:p w14:paraId="30544027" w14:textId="121A49F9" w:rsidR="00F72587" w:rsidRDefault="00F72587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412" w:type="dxa"/>
          </w:tcPr>
          <w:p w14:paraId="2B2DD696" w14:textId="528AC8EF" w:rsidR="00F72587" w:rsidRDefault="00F72587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D76FB" w14:paraId="1BE0E8B3" w14:textId="77777777" w:rsidTr="000D76FB">
        <w:tc>
          <w:tcPr>
            <w:tcW w:w="7933" w:type="dxa"/>
          </w:tcPr>
          <w:p w14:paraId="69973082" w14:textId="00BEE906" w:rsidR="000D76FB" w:rsidRDefault="000D76FB" w:rsidP="001B32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радиусу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oMath>
          </w:p>
        </w:tc>
        <w:tc>
          <w:tcPr>
            <w:tcW w:w="1412" w:type="dxa"/>
          </w:tcPr>
          <w:p w14:paraId="682CDB2B" w14:textId="49BEFC79" w:rsidR="000D76FB" w:rsidRDefault="000D76FB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54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0D76FB" w14:paraId="4A1CCFB1" w14:textId="77777777" w:rsidTr="000D76FB">
        <w:tc>
          <w:tcPr>
            <w:tcW w:w="7933" w:type="dxa"/>
          </w:tcPr>
          <w:p w14:paraId="3B417DED" w14:textId="1BDE38B9" w:rsidR="000D76FB" w:rsidRDefault="000D76FB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высоте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oMath>
          </w:p>
        </w:tc>
        <w:tc>
          <w:tcPr>
            <w:tcW w:w="1412" w:type="dxa"/>
          </w:tcPr>
          <w:p w14:paraId="5A88B88D" w14:textId="783E7F55" w:rsidR="000D76FB" w:rsidRDefault="000D76FB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6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4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D76FB">
              <w:rPr>
                <w:rFonts w:ascii="Times New Roman" w:hAnsi="Times New Roman" w:cs="Times New Roman"/>
                <w:sz w:val="28"/>
                <w:szCs w:val="28"/>
              </w:rPr>
              <w:t>043</w:t>
            </w:r>
          </w:p>
        </w:tc>
      </w:tr>
      <w:tr w:rsidR="000D76FB" w14:paraId="3FF2528B" w14:textId="77777777" w:rsidTr="000D76FB">
        <w:tc>
          <w:tcPr>
            <w:tcW w:w="7933" w:type="dxa"/>
          </w:tcPr>
          <w:p w14:paraId="39C646C6" w14:textId="47976417" w:rsidR="000D76FB" w:rsidRDefault="000D76FB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объему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oMath>
          </w:p>
        </w:tc>
        <w:tc>
          <w:tcPr>
            <w:tcW w:w="1412" w:type="dxa"/>
          </w:tcPr>
          <w:p w14:paraId="0695E802" w14:textId="3AA9BFDD" w:rsidR="000D76FB" w:rsidRPr="000D76FB" w:rsidRDefault="000D76FB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2,378</w:t>
            </w:r>
          </w:p>
        </w:tc>
      </w:tr>
    </w:tbl>
    <w:p w14:paraId="54D9C091" w14:textId="77777777" w:rsidR="005543D0" w:rsidRDefault="005543D0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C64799" w14:textId="1300F2F5" w:rsidR="005543D0" w:rsidRDefault="005543D0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Найденное поле энерговыделения имеет коэффициент неравномерности по объему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=2,378</m:t>
        </m:r>
      </m:oMath>
      <w:r w:rsidRPr="005543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превышает значение, полученное в теплогидравлическом расчете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=1,93</m:t>
        </m:r>
      </m:oMath>
      <w:r w:rsidRPr="005543D0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Попробуем выровнять поле энерговыделения за счет поиска более оптимального размещения поглощающих стержней.</w:t>
      </w:r>
    </w:p>
    <w:p w14:paraId="669322C4" w14:textId="2582AB79" w:rsidR="00C03783" w:rsidRDefault="00D63A9F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Схема активной зоны реактора состоит из двух основных групп</w:t>
      </w:r>
      <w:r w:rsidRPr="00D63A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периферийной и центральной. </w:t>
      </w:r>
      <w:r w:rsidR="007A5D54">
        <w:rPr>
          <w:rFonts w:ascii="Times New Roman" w:hAnsi="Times New Roman" w:cs="Times New Roman"/>
          <w:sz w:val="28"/>
          <w:szCs w:val="28"/>
        </w:rPr>
        <w:t xml:space="preserve">Для выравнивания поля энерговыделения поднимем поглощающие стержни периферийной зоны на </w:t>
      </w:r>
      <w:r w:rsidR="00C03783" w:rsidRPr="00C03783">
        <w:rPr>
          <w:rFonts w:ascii="Times New Roman" w:hAnsi="Times New Roman" w:cs="Times New Roman"/>
          <w:sz w:val="28"/>
          <w:szCs w:val="28"/>
        </w:rPr>
        <w:t>1</w:t>
      </w:r>
      <w:r w:rsidR="007A5D54">
        <w:rPr>
          <w:rFonts w:ascii="Times New Roman" w:hAnsi="Times New Roman" w:cs="Times New Roman"/>
          <w:sz w:val="28"/>
          <w:szCs w:val="28"/>
        </w:rPr>
        <w:t xml:space="preserve"> сло</w:t>
      </w:r>
      <w:r w:rsidR="00C03783">
        <w:rPr>
          <w:rFonts w:ascii="Times New Roman" w:hAnsi="Times New Roman" w:cs="Times New Roman"/>
          <w:sz w:val="28"/>
          <w:szCs w:val="28"/>
        </w:rPr>
        <w:t>й</w:t>
      </w:r>
      <w:r w:rsidR="007A5D54">
        <w:rPr>
          <w:rFonts w:ascii="Times New Roman" w:hAnsi="Times New Roman" w:cs="Times New Roman"/>
          <w:sz w:val="28"/>
          <w:szCs w:val="28"/>
        </w:rPr>
        <w:t xml:space="preserve"> вверх (</w:t>
      </w:r>
      <w:r w:rsidR="007A5D54" w:rsidRPr="007A5D54">
        <w:rPr>
          <w:rFonts w:ascii="Times New Roman" w:hAnsi="Times New Roman" w:cs="Times New Roman"/>
          <w:sz w:val="28"/>
          <w:szCs w:val="28"/>
        </w:rPr>
        <w:t>0.</w:t>
      </w:r>
      <w:r w:rsidR="00C03783">
        <w:rPr>
          <w:rFonts w:ascii="Times New Roman" w:hAnsi="Times New Roman" w:cs="Times New Roman"/>
          <w:sz w:val="28"/>
          <w:szCs w:val="28"/>
        </w:rPr>
        <w:t>13</w:t>
      </w:r>
      <w:r w:rsidR="007A5D54" w:rsidRPr="007A5D54">
        <w:rPr>
          <w:rFonts w:ascii="Times New Roman" w:hAnsi="Times New Roman" w:cs="Times New Roman"/>
          <w:sz w:val="28"/>
          <w:szCs w:val="28"/>
        </w:rPr>
        <w:t xml:space="preserve"> </w:t>
      </w:r>
      <w:r w:rsidR="007A5D54">
        <w:rPr>
          <w:rFonts w:ascii="Times New Roman" w:hAnsi="Times New Roman" w:cs="Times New Roman"/>
          <w:sz w:val="28"/>
          <w:szCs w:val="28"/>
        </w:rPr>
        <w:t>м)</w:t>
      </w:r>
      <w:r w:rsidR="00C03783">
        <w:rPr>
          <w:rFonts w:ascii="Times New Roman" w:hAnsi="Times New Roman" w:cs="Times New Roman"/>
          <w:sz w:val="28"/>
          <w:szCs w:val="28"/>
        </w:rPr>
        <w:t xml:space="preserve">. </w:t>
      </w:r>
      <w:r w:rsidR="00280AF6">
        <w:rPr>
          <w:rFonts w:ascii="Times New Roman" w:hAnsi="Times New Roman" w:cs="Times New Roman"/>
          <w:sz w:val="28"/>
          <w:szCs w:val="28"/>
        </w:rPr>
        <w:t>Р</w:t>
      </w:r>
      <w:r w:rsidR="00C03783">
        <w:rPr>
          <w:rFonts w:ascii="Times New Roman" w:hAnsi="Times New Roman" w:cs="Times New Roman"/>
          <w:sz w:val="28"/>
          <w:szCs w:val="28"/>
        </w:rPr>
        <w:t>ешая условно – критическую задачу, получаем</w:t>
      </w:r>
      <w:r w:rsidR="00C03783" w:rsidRPr="00C03783">
        <w:rPr>
          <w:rFonts w:ascii="Times New Roman" w:hAnsi="Times New Roman" w:cs="Times New Roman"/>
          <w:sz w:val="28"/>
          <w:szCs w:val="28"/>
        </w:rPr>
        <w:t xml:space="preserve">, </w:t>
      </w:r>
      <w:r w:rsidR="00C03783">
        <w:rPr>
          <w:rFonts w:ascii="Times New Roman" w:hAnsi="Times New Roman" w:cs="Times New Roman"/>
          <w:sz w:val="28"/>
          <w:szCs w:val="28"/>
        </w:rPr>
        <w:t xml:space="preserve">что реактор достигает </w:t>
      </w:r>
      <w:r w:rsidR="00C03783">
        <w:rPr>
          <w:rFonts w:ascii="Times New Roman" w:hAnsi="Times New Roman" w:cs="Times New Roman"/>
          <w:sz w:val="28"/>
          <w:szCs w:val="28"/>
        </w:rPr>
        <w:lastRenderedPageBreak/>
        <w:t>критического состояния при полностью погруженных центральных поглощающих стержнях (рисунок 3.9).</w:t>
      </w:r>
    </w:p>
    <w:p w14:paraId="3971F7BE" w14:textId="34C583BE" w:rsidR="00C03783" w:rsidRPr="00234296" w:rsidRDefault="00156DA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179CD94" wp14:editId="32D340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45200" cy="253800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1AE582" w14:textId="35CD5AA6" w:rsidR="00280AF6" w:rsidRPr="00862ADE" w:rsidRDefault="00803F49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4467">
        <w:rPr>
          <w:rFonts w:ascii="Times New Roman" w:eastAsiaTheme="minorEastAsia" w:hAnsi="Times New Roman" w:cs="Times New Roman"/>
          <w:b/>
          <w:sz w:val="28"/>
          <w:szCs w:val="28"/>
        </w:rPr>
        <w:t>Рисунок 3.</w:t>
      </w:r>
      <w:r w:rsidR="008F50A2" w:rsidRPr="008F50A2">
        <w:rPr>
          <w:rFonts w:ascii="Times New Roman" w:eastAsiaTheme="minorEastAsia" w:hAnsi="Times New Roman" w:cs="Times New Roman"/>
          <w:b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глубины погружения поглощающих стержней центральной зоны</w:t>
      </w:r>
    </w:p>
    <w:p w14:paraId="5603EAEE" w14:textId="79C2537E" w:rsidR="00280AF6" w:rsidRDefault="00280AF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Аналогично, найдем распределение плотности теплового потока и параметры поля энерговыделения активной зоны</w:t>
      </w:r>
      <w:r w:rsidRPr="00280AF6">
        <w:rPr>
          <w:rFonts w:ascii="Times New Roman" w:hAnsi="Times New Roman" w:cs="Times New Roman"/>
          <w:sz w:val="28"/>
          <w:szCs w:val="28"/>
        </w:rPr>
        <w:t>:</w:t>
      </w:r>
    </w:p>
    <w:p w14:paraId="2F09FD97" w14:textId="53A68DC7" w:rsidR="008F50A2" w:rsidRDefault="00E67E42" w:rsidP="001B32A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BE66C" wp14:editId="3799E3B6">
            <wp:extent cx="3448800" cy="253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4F67" w14:textId="42108783" w:rsidR="008F50A2" w:rsidRDefault="008F50A2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7FFA">
        <w:rPr>
          <w:rFonts w:ascii="Times New Roman" w:eastAsiaTheme="minorEastAsia" w:hAnsi="Times New Roman" w:cs="Times New Roman"/>
          <w:b/>
          <w:sz w:val="28"/>
          <w:szCs w:val="28"/>
        </w:rPr>
        <w:t>Рисунок 3.</w:t>
      </w:r>
      <w:r w:rsidRPr="008F50A2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плотности теплового потока на поверхности максимально нагруженного твэла по высоте ТВСМ</w:t>
      </w:r>
    </w:p>
    <w:p w14:paraId="344DA02E" w14:textId="77777777" w:rsidR="00BB5BFF" w:rsidRDefault="00BB5BF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70CF1" w14:textId="77777777" w:rsidR="00BB5BFF" w:rsidRDefault="00BB5BF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C05F7D" w14:textId="2106D2F0" w:rsidR="008F50A2" w:rsidRDefault="008F50A2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Pr="00EC56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поля энерговыделения активной зоны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EC56BF" w14:paraId="36545A51" w14:textId="77777777" w:rsidTr="00234296">
        <w:tc>
          <w:tcPr>
            <w:tcW w:w="7933" w:type="dxa"/>
          </w:tcPr>
          <w:p w14:paraId="57C6C86E" w14:textId="77777777" w:rsid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412" w:type="dxa"/>
          </w:tcPr>
          <w:p w14:paraId="00040C31" w14:textId="77777777" w:rsid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C56BF" w14:paraId="11894CFC" w14:textId="77777777" w:rsidTr="00234296">
        <w:tc>
          <w:tcPr>
            <w:tcW w:w="7933" w:type="dxa"/>
          </w:tcPr>
          <w:p w14:paraId="5D1996D7" w14:textId="77777777" w:rsidR="00EC56BF" w:rsidRDefault="00EC56BF" w:rsidP="001B32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радиусу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oMath>
          </w:p>
        </w:tc>
        <w:tc>
          <w:tcPr>
            <w:tcW w:w="1412" w:type="dxa"/>
          </w:tcPr>
          <w:p w14:paraId="39BC8D66" w14:textId="1B702C6B" w:rsidR="00EC56BF" w:rsidRP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56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C56B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C56BF" w14:paraId="671396B8" w14:textId="77777777" w:rsidTr="00234296">
        <w:tc>
          <w:tcPr>
            <w:tcW w:w="7933" w:type="dxa"/>
          </w:tcPr>
          <w:p w14:paraId="5B5B2B99" w14:textId="77777777" w:rsidR="00EC56BF" w:rsidRDefault="00EC56BF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высоте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oMath>
          </w:p>
        </w:tc>
        <w:tc>
          <w:tcPr>
            <w:tcW w:w="1412" w:type="dxa"/>
          </w:tcPr>
          <w:p w14:paraId="53A4746F" w14:textId="3C8CF4D7" w:rsidR="00EC56BF" w:rsidRP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1,770</w:t>
            </w:r>
          </w:p>
        </w:tc>
      </w:tr>
      <w:tr w:rsidR="00EC56BF" w14:paraId="09BEB2F3" w14:textId="77777777" w:rsidTr="00234296">
        <w:tc>
          <w:tcPr>
            <w:tcW w:w="7933" w:type="dxa"/>
          </w:tcPr>
          <w:p w14:paraId="758A0D39" w14:textId="77777777" w:rsidR="00EC56BF" w:rsidRDefault="00EC56BF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объему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oMath>
          </w:p>
        </w:tc>
        <w:tc>
          <w:tcPr>
            <w:tcW w:w="1412" w:type="dxa"/>
          </w:tcPr>
          <w:p w14:paraId="4C2A31A0" w14:textId="06047783" w:rsidR="00EC56BF" w:rsidRPr="000D76FB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1,985</w:t>
            </w:r>
          </w:p>
        </w:tc>
      </w:tr>
    </w:tbl>
    <w:p w14:paraId="73E3D65C" w14:textId="74697DC8" w:rsidR="00EC56BF" w:rsidRDefault="00EC56B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0B4D68" w14:textId="736A120E" w:rsidR="00EC56BF" w:rsidRPr="009865D4" w:rsidRDefault="00EC56B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2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можно заметить</w:t>
      </w:r>
      <w:r w:rsidRPr="00EC5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поле энерговыделения получило более выровненную форму</w:t>
      </w:r>
      <w:r w:rsidRPr="00EC56BF">
        <w:rPr>
          <w:rFonts w:ascii="Times New Roman" w:hAnsi="Times New Roman" w:cs="Times New Roman"/>
          <w:sz w:val="28"/>
          <w:szCs w:val="28"/>
        </w:rPr>
        <w:t>,</w:t>
      </w:r>
      <w:r w:rsidR="009865D4">
        <w:rPr>
          <w:rFonts w:ascii="Times New Roman" w:hAnsi="Times New Roman" w:cs="Times New Roman"/>
          <w:sz w:val="28"/>
          <w:szCs w:val="28"/>
        </w:rPr>
        <w:t xml:space="preserve"> чем в первоначальном варианте</w:t>
      </w:r>
      <w:r w:rsidR="009865D4" w:rsidRPr="009865D4">
        <w:rPr>
          <w:rFonts w:ascii="Times New Roman" w:hAnsi="Times New Roman" w:cs="Times New Roman"/>
          <w:sz w:val="28"/>
          <w:szCs w:val="28"/>
        </w:rPr>
        <w:t>,</w:t>
      </w:r>
      <w:r w:rsidRPr="00EC5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коэффициент неравномерности по объему </w:t>
      </w:r>
      <w:r w:rsidR="009865D4">
        <w:rPr>
          <w:rFonts w:ascii="Times New Roman" w:hAnsi="Times New Roman" w:cs="Times New Roman"/>
          <w:sz w:val="28"/>
          <w:szCs w:val="28"/>
        </w:rPr>
        <w:t>приблизился к значению, полученному в теплогидравлическому расчете.</w:t>
      </w:r>
      <w:r w:rsidR="009865D4" w:rsidRPr="009865D4">
        <w:rPr>
          <w:rFonts w:ascii="Times New Roman" w:hAnsi="Times New Roman" w:cs="Times New Roman"/>
          <w:sz w:val="28"/>
          <w:szCs w:val="28"/>
        </w:rPr>
        <w:t xml:space="preserve"> </w:t>
      </w:r>
      <w:r w:rsidR="009865D4">
        <w:rPr>
          <w:rFonts w:ascii="Times New Roman" w:hAnsi="Times New Roman" w:cs="Times New Roman"/>
          <w:sz w:val="28"/>
          <w:szCs w:val="28"/>
        </w:rPr>
        <w:t>Благодаря этому, была снижена нагрузка</w:t>
      </w:r>
      <w:r w:rsidR="00D55802">
        <w:rPr>
          <w:rFonts w:ascii="Times New Roman" w:hAnsi="Times New Roman" w:cs="Times New Roman"/>
          <w:sz w:val="28"/>
          <w:szCs w:val="28"/>
        </w:rPr>
        <w:t xml:space="preserve"> на</w:t>
      </w:r>
      <w:r w:rsidR="009865D4">
        <w:rPr>
          <w:rFonts w:ascii="Times New Roman" w:hAnsi="Times New Roman" w:cs="Times New Roman"/>
          <w:sz w:val="28"/>
          <w:szCs w:val="28"/>
        </w:rPr>
        <w:t xml:space="preserve"> максимально нагруженн</w:t>
      </w:r>
      <w:r w:rsidR="00D55802">
        <w:rPr>
          <w:rFonts w:ascii="Times New Roman" w:hAnsi="Times New Roman" w:cs="Times New Roman"/>
          <w:sz w:val="28"/>
          <w:szCs w:val="28"/>
        </w:rPr>
        <w:t>ый</w:t>
      </w:r>
      <w:r w:rsidR="009865D4">
        <w:rPr>
          <w:rFonts w:ascii="Times New Roman" w:hAnsi="Times New Roman" w:cs="Times New Roman"/>
          <w:sz w:val="28"/>
          <w:szCs w:val="28"/>
        </w:rPr>
        <w:t xml:space="preserve"> твэл.</w:t>
      </w:r>
    </w:p>
    <w:p w14:paraId="0D19B62F" w14:textId="34F27D5C" w:rsidR="0028548B" w:rsidRDefault="00700D46" w:rsidP="001B32A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D46"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="00F9531D">
        <w:rPr>
          <w:rFonts w:ascii="Times New Roman" w:hAnsi="Times New Roman" w:cs="Times New Roman"/>
          <w:b/>
          <w:sz w:val="28"/>
          <w:szCs w:val="28"/>
        </w:rPr>
        <w:t>Уточнение тепло</w:t>
      </w:r>
      <w:r w:rsidR="009361CF">
        <w:rPr>
          <w:rFonts w:ascii="Times New Roman" w:hAnsi="Times New Roman" w:cs="Times New Roman"/>
          <w:b/>
          <w:sz w:val="28"/>
          <w:szCs w:val="28"/>
        </w:rPr>
        <w:t>гидравлического</w:t>
      </w:r>
      <w:r w:rsidR="00F9531D">
        <w:rPr>
          <w:rFonts w:ascii="Times New Roman" w:hAnsi="Times New Roman" w:cs="Times New Roman"/>
          <w:b/>
          <w:sz w:val="28"/>
          <w:szCs w:val="28"/>
        </w:rPr>
        <w:t xml:space="preserve"> расчета.</w:t>
      </w:r>
    </w:p>
    <w:p w14:paraId="55C0025F" w14:textId="23E38E26" w:rsidR="009361CF" w:rsidRDefault="009361CF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данных, полученных в пункте 4.3</w:t>
      </w:r>
      <w:r w:rsidRPr="009361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проведем уточнение теплогидравлического расчета. Для этого</w:t>
      </w:r>
      <w:r w:rsidR="00981E90" w:rsidRPr="00981E90">
        <w:rPr>
          <w:rFonts w:ascii="Times New Roman" w:hAnsi="Times New Roman" w:cs="Times New Roman"/>
          <w:sz w:val="28"/>
          <w:szCs w:val="28"/>
        </w:rPr>
        <w:t xml:space="preserve">, </w:t>
      </w:r>
      <w:r w:rsidR="00981E90">
        <w:rPr>
          <w:rFonts w:ascii="Times New Roman" w:hAnsi="Times New Roman" w:cs="Times New Roman"/>
          <w:sz w:val="28"/>
          <w:szCs w:val="28"/>
        </w:rPr>
        <w:t>рассмотрим тепловыделяющую сборку с максимальным энерговыделением (ТВСМ) и построим температурные зависимости по высоте ТВСМ</w:t>
      </w:r>
      <w:r w:rsidR="00981E90" w:rsidRPr="00981E90">
        <w:rPr>
          <w:rFonts w:ascii="Times New Roman" w:hAnsi="Times New Roman" w:cs="Times New Roman"/>
          <w:sz w:val="28"/>
          <w:szCs w:val="28"/>
        </w:rPr>
        <w:t>.</w:t>
      </w:r>
    </w:p>
    <w:p w14:paraId="6BD10D56" w14:textId="2A148979" w:rsidR="0019741C" w:rsidRDefault="0019741C" w:rsidP="0019741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4A2A7" wp14:editId="4495DFF7">
            <wp:extent cx="5004170" cy="33147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91" cy="3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E8F5" w14:textId="113B99B1" w:rsidR="009145B5" w:rsidRDefault="009145B5" w:rsidP="00567A3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7A3D">
        <w:rPr>
          <w:rFonts w:ascii="Times New Roman" w:hAnsi="Times New Roman" w:cs="Times New Roman"/>
          <w:b/>
          <w:sz w:val="28"/>
          <w:szCs w:val="28"/>
        </w:rPr>
        <w:t>Рисунок 3.11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 w:rsidR="00567A3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A3D">
        <w:rPr>
          <w:rFonts w:ascii="Times New Roman" w:hAnsi="Times New Roman" w:cs="Times New Roman"/>
          <w:sz w:val="28"/>
          <w:szCs w:val="28"/>
        </w:rPr>
        <w:t>температур ТВСМ</w:t>
      </w:r>
    </w:p>
    <w:p w14:paraId="2161829A" w14:textId="05AAB5F1" w:rsidR="009145B5" w:rsidRPr="00AD643F" w:rsidRDefault="00D73F03" w:rsidP="00D73F0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Из рисунка 3.11 видно</w:t>
      </w:r>
      <w:r w:rsidRPr="00D73F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максимальная температура топлива</w:t>
      </w:r>
      <w:r w:rsidR="00282BAF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топ35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=431℃</m:t>
        </m:r>
      </m:oMath>
      <w:r w:rsidRPr="00D73F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значительно ниже проектного предела (600 </w:t>
      </w:r>
      <m:oMath>
        <m:r>
          <w:rPr>
            <w:rFonts w:ascii="Cambria Math" w:hAnsi="Cambria Math" w:cs="Times New Roman"/>
            <w:sz w:val="28"/>
            <w:szCs w:val="28"/>
          </w:rPr>
          <m:t>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73F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даже при уменьшении коэффициента теплопроводности топлива при высокой глубине выгорания максимальная температура составляет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топ14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=515℃</m:t>
        </m:r>
      </m:oMath>
      <w:r w:rsidRPr="00D73F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удовлетворяет проектному пределу. Температура воды не превышает температуру насыщения при давлении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p=12,7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D643F" w:rsidRPr="00AD64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643F">
        <w:rPr>
          <w:rFonts w:ascii="Times New Roman" w:eastAsiaTheme="minorEastAsia" w:hAnsi="Times New Roman" w:cs="Times New Roman"/>
          <w:sz w:val="28"/>
          <w:szCs w:val="28"/>
        </w:rPr>
        <w:t>Температура внешней оболочки твэла превышает температуру насыщения воды на значительном участке, однако, как показывает расчет</w:t>
      </w:r>
      <w:r w:rsidR="00AD643F" w:rsidRPr="00AD64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D643F">
        <w:rPr>
          <w:rFonts w:ascii="Times New Roman" w:eastAsiaTheme="minorEastAsia" w:hAnsi="Times New Roman" w:cs="Times New Roman"/>
          <w:sz w:val="28"/>
          <w:szCs w:val="28"/>
        </w:rPr>
        <w:t>недогрев потока воды до температуры насыщения на данном участке достаточно велик, следовательно, поверхностное кипение здесь маловероятно.</w:t>
      </w:r>
      <w:r w:rsidR="008A743E">
        <w:rPr>
          <w:rFonts w:ascii="Times New Roman" w:eastAsiaTheme="minorEastAsia" w:hAnsi="Times New Roman" w:cs="Times New Roman"/>
          <w:sz w:val="28"/>
          <w:szCs w:val="28"/>
        </w:rPr>
        <w:t xml:space="preserve"> Кроме того, температура внешней оболочки твэла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об.н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=332.6 ℃</m:t>
        </m:r>
      </m:oMath>
      <w:r w:rsidR="008A743E" w:rsidRPr="008A743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A743E">
        <w:rPr>
          <w:rFonts w:ascii="Times New Roman" w:eastAsiaTheme="minorEastAsia" w:hAnsi="Times New Roman" w:cs="Times New Roman"/>
          <w:sz w:val="28"/>
          <w:szCs w:val="28"/>
        </w:rPr>
        <w:t xml:space="preserve">что меньше проектного предела 334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℃</m:t>
        </m:r>
      </m:oMath>
      <w:r w:rsidR="008A74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D643F">
        <w:rPr>
          <w:rFonts w:ascii="Times New Roman" w:eastAsiaTheme="minorEastAsia" w:hAnsi="Times New Roman" w:cs="Times New Roman"/>
          <w:sz w:val="28"/>
          <w:szCs w:val="28"/>
        </w:rPr>
        <w:t>Из вышесказанного можно сделать вывод о том</w:t>
      </w:r>
      <w:r w:rsidR="00AD643F" w:rsidRPr="00AD64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D643F">
        <w:rPr>
          <w:rFonts w:ascii="Times New Roman" w:eastAsiaTheme="minorEastAsia" w:hAnsi="Times New Roman" w:cs="Times New Roman"/>
          <w:sz w:val="28"/>
          <w:szCs w:val="28"/>
        </w:rPr>
        <w:t>что полученная конфигурация активной зоны удовлетворяет теплогидравлическим требованиям.</w:t>
      </w:r>
      <w:bookmarkStart w:id="0" w:name="_GoBack"/>
      <w:bookmarkEnd w:id="0"/>
    </w:p>
    <w:p w14:paraId="533C1F92" w14:textId="3DC68282" w:rsidR="0028548B" w:rsidRDefault="00F9531D" w:rsidP="001B32A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4.5 Оценка </w:t>
      </w:r>
      <w:r w:rsidR="0028548B">
        <w:rPr>
          <w:rFonts w:ascii="Times New Roman" w:hAnsi="Times New Roman" w:cs="Times New Roman"/>
          <w:b/>
          <w:sz w:val="28"/>
          <w:szCs w:val="28"/>
        </w:rPr>
        <w:t>компании реактора при однократной загрузке топлива.</w:t>
      </w:r>
    </w:p>
    <w:p w14:paraId="3E1141C9" w14:textId="4D4FA2BA" w:rsidR="0028548B" w:rsidRPr="004E5B0F" w:rsidRDefault="0028548B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компании реактора</w:t>
      </w:r>
      <w:r w:rsidRPr="002854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выгорания топлива при однократной загрузке реактора. Основным критерием определения длительности компании</w:t>
      </w:r>
      <w:r w:rsidR="001B3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1B32A0">
        <w:rPr>
          <w:rFonts w:ascii="Times New Roman" w:hAnsi="Times New Roman" w:cs="Times New Roman"/>
          <w:sz w:val="28"/>
          <w:szCs w:val="28"/>
        </w:rPr>
        <w:t xml:space="preserve">выход реактора </w:t>
      </w:r>
      <w:r w:rsidR="00BB5BFF">
        <w:rPr>
          <w:rFonts w:ascii="Times New Roman" w:hAnsi="Times New Roman" w:cs="Times New Roman"/>
          <w:sz w:val="28"/>
          <w:szCs w:val="28"/>
        </w:rPr>
        <w:t>в</w:t>
      </w:r>
      <w:r w:rsidR="001B32A0">
        <w:rPr>
          <w:rFonts w:ascii="Times New Roman" w:hAnsi="Times New Roman" w:cs="Times New Roman"/>
          <w:sz w:val="28"/>
          <w:szCs w:val="28"/>
        </w:rPr>
        <w:t xml:space="preserve"> критическое состояние. Следовательно, для оценки компании реактора и потенциала топлива необходимо построить график</w:t>
      </w:r>
      <w:r w:rsidR="004E5B0F">
        <w:rPr>
          <w:rFonts w:ascii="Times New Roman" w:hAnsi="Times New Roman" w:cs="Times New Roman"/>
          <w:sz w:val="28"/>
          <w:szCs w:val="28"/>
        </w:rPr>
        <w:t>и</w:t>
      </w:r>
      <w:r w:rsidR="001B32A0">
        <w:rPr>
          <w:rFonts w:ascii="Times New Roman" w:hAnsi="Times New Roman" w:cs="Times New Roman"/>
          <w:sz w:val="28"/>
          <w:szCs w:val="28"/>
        </w:rPr>
        <w:t xml:space="preserve">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4E5B0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F542365" w14:textId="77777777" w:rsidR="00BF7A54" w:rsidRDefault="00283FF7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097759">
        <w:rPr>
          <w:rFonts w:ascii="Times New Roman" w:eastAsiaTheme="minorEastAsia" w:hAnsi="Times New Roman" w:cs="Times New Roman"/>
          <w:sz w:val="28"/>
          <w:szCs w:val="28"/>
        </w:rPr>
        <w:t>предварительной оценки компании реактора временно перейдем от рассмотрения пространственного распределения выгорания топлива в активной зоне к рассмотрению отдельной ТВС. В рассматриваемом проекте присутствуют 2 типа ТВС – центральные и п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>ериферийные</w:t>
      </w:r>
      <w:r w:rsidR="00BF7A54" w:rsidRPr="00BF7A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>отличающиеся типами твэлов</w:t>
      </w:r>
      <w:r w:rsidR="0009775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 xml:space="preserve"> Так как обогащение двух различных типов твэлов отличается на 2%</w:t>
      </w:r>
      <w:r w:rsidR="00BF7A54" w:rsidRPr="00BF7A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 xml:space="preserve">что не дает заметных отличий в выгорании, произведем расчет для одного типа ТВС (центрального). </w:t>
      </w:r>
    </w:p>
    <w:p w14:paraId="03228F84" w14:textId="0A663F69" w:rsidR="004E5B0F" w:rsidRDefault="00BF7A54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Воспользуемся средствами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GETERA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 каждом шаге выгорания (шаг примем равным 50 суток) будем вычислять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программа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GETERA</w:t>
      </w:r>
      <w:r w:rsidRPr="00BF7A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позволяет получить только значение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BF7A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необходимо умножать его на вероятность утечки нейтрона из реактора</w:t>
      </w:r>
      <w:r w:rsidR="00647B32" w:rsidRPr="00647B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47B32">
        <w:rPr>
          <w:rFonts w:ascii="Times New Roman" w:eastAsiaTheme="minorEastAsia" w:hAnsi="Times New Roman" w:cs="Times New Roman"/>
          <w:sz w:val="28"/>
          <w:szCs w:val="28"/>
        </w:rPr>
        <w:t>полученную следующим образом</w:t>
      </w:r>
      <w:r w:rsidR="00647B32" w:rsidRPr="00647B3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2D987DC" w14:textId="10FF0E7B" w:rsidR="0028548B" w:rsidRPr="00647B32" w:rsidRDefault="00647B32" w:rsidP="00647B3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3DB4502" w14:textId="3F85512D" w:rsidR="00647B32" w:rsidRDefault="00647B32" w:rsidP="00647B3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(0)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было получено с помощью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SKETCH</w:t>
      </w:r>
      <w:r w:rsidR="000D6F8D" w:rsidRPr="000D6F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 xml:space="preserve">Для упрощения расчетов считаем,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0D6F8D" w:rsidRPr="000D6F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>не зависит</w:t>
      </w:r>
      <w:r w:rsidR="000D6F8D" w:rsidRPr="000D6F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>от выгорания топлива. Полученные зависимости представлены на рисунках 3.1</w:t>
      </w:r>
      <w:r w:rsidR="00567A3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 xml:space="preserve"> и 3.1</w:t>
      </w:r>
      <w:r w:rsidR="00567A3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D73907" w14:textId="5AC733F1" w:rsidR="000D6F8D" w:rsidRDefault="000D6F8D" w:rsidP="000D6F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9E18DDA" wp14:editId="4D0F3092">
            <wp:extent cx="3441600" cy="25380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9BC3" w14:textId="4F57DD21" w:rsidR="000D6F8D" w:rsidRDefault="000D6F8D" w:rsidP="000D6F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D6F8D">
        <w:rPr>
          <w:rFonts w:ascii="Times New Roman" w:eastAsiaTheme="minorEastAsia" w:hAnsi="Times New Roman" w:cs="Times New Roman"/>
          <w:b/>
          <w:sz w:val="28"/>
          <w:szCs w:val="28"/>
        </w:rPr>
        <w:t>Рисунок 3.1</w:t>
      </w:r>
      <w:r w:rsidR="00567A3D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зависимости эффективного коэффициента размножения нейтронов от времени</w:t>
      </w:r>
    </w:p>
    <w:p w14:paraId="1EAC893F" w14:textId="48F1A134" w:rsidR="000D6F8D" w:rsidRDefault="00317B8F" w:rsidP="00317B8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A38F6" wp14:editId="18CE99DE">
            <wp:extent cx="3445200" cy="2538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33A2" w14:textId="24B69A7D" w:rsidR="00317B8F" w:rsidRDefault="00317B8F" w:rsidP="00317B8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17B8F">
        <w:rPr>
          <w:rFonts w:ascii="Times New Roman" w:eastAsiaTheme="minorEastAsia" w:hAnsi="Times New Roman" w:cs="Times New Roman"/>
          <w:b/>
          <w:sz w:val="28"/>
          <w:szCs w:val="28"/>
        </w:rPr>
        <w:t>Рисунок 3.1</w:t>
      </w:r>
      <w:r w:rsidR="00567A3D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зависимости выгорания топлива от времени</w:t>
      </w:r>
    </w:p>
    <w:p w14:paraId="13ACAE14" w14:textId="2D9CA097" w:rsidR="00317B8F" w:rsidRPr="00D55802" w:rsidRDefault="00317B8F" w:rsidP="00317B8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 графиков видно, что реактор станет критичным в момент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t=920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суток</w:t>
      </w:r>
      <w:r w:rsidRPr="00317B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составляет приблизительно 2</w:t>
      </w:r>
      <w:r w:rsidRPr="00317B8F">
        <w:rPr>
          <w:rFonts w:ascii="Times New Roman" w:eastAsiaTheme="minorEastAsia" w:hAnsi="Times New Roman" w:cs="Times New Roman"/>
          <w:sz w:val="28"/>
          <w:szCs w:val="28"/>
        </w:rPr>
        <w:t xml:space="preserve">,5 </w:t>
      </w:r>
      <w:r w:rsidR="00D55802">
        <w:rPr>
          <w:rFonts w:ascii="Times New Roman" w:eastAsiaTheme="minorEastAsia" w:hAnsi="Times New Roman" w:cs="Times New Roman"/>
          <w:sz w:val="28"/>
          <w:szCs w:val="28"/>
        </w:rPr>
        <w:t>года</w:t>
      </w:r>
      <w:r w:rsidRPr="00317B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среднее выгорания топлива в конце компании реактора составляет 57</w:t>
      </w:r>
      <w:r w:rsidR="00CB4E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МВт∙сут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den>
        </m:f>
      </m:oMath>
      <w:r w:rsidR="00D55802">
        <w:rPr>
          <w:rFonts w:ascii="Times New Roman" w:eastAsiaTheme="minorEastAsia" w:hAnsi="Times New Roman" w:cs="Times New Roman"/>
          <w:sz w:val="28"/>
          <w:szCs w:val="28"/>
        </w:rPr>
        <w:t>. Компания активной зоны по проекту составляет 2</w:t>
      </w:r>
      <w:r w:rsidR="00D55802" w:rsidRPr="00D55802">
        <w:rPr>
          <w:rFonts w:ascii="Times New Roman" w:eastAsiaTheme="minorEastAsia" w:hAnsi="Times New Roman" w:cs="Times New Roman"/>
          <w:sz w:val="28"/>
          <w:szCs w:val="28"/>
        </w:rPr>
        <w:t xml:space="preserve">,5 – 3 </w:t>
      </w:r>
      <w:r w:rsidR="00D55802">
        <w:rPr>
          <w:rFonts w:ascii="Times New Roman" w:eastAsiaTheme="minorEastAsia" w:hAnsi="Times New Roman" w:cs="Times New Roman"/>
          <w:sz w:val="28"/>
          <w:szCs w:val="28"/>
        </w:rPr>
        <w:t>года</w:t>
      </w:r>
      <w:r w:rsidR="00D55802" w:rsidRPr="00D558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5802">
        <w:rPr>
          <w:rFonts w:ascii="Times New Roman" w:eastAsiaTheme="minorEastAsia" w:hAnsi="Times New Roman" w:cs="Times New Roman"/>
          <w:sz w:val="28"/>
          <w:szCs w:val="28"/>
        </w:rPr>
        <w:t>что соответствует полученным результатам.</w:t>
      </w:r>
    </w:p>
    <w:sectPr w:rsidR="00317B8F" w:rsidRPr="00D55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05694" w14:textId="77777777" w:rsidR="00AD582C" w:rsidRDefault="00AD582C" w:rsidP="009865D4">
      <w:pPr>
        <w:spacing w:after="0" w:line="240" w:lineRule="auto"/>
      </w:pPr>
      <w:r>
        <w:separator/>
      </w:r>
    </w:p>
  </w:endnote>
  <w:endnote w:type="continuationSeparator" w:id="0">
    <w:p w14:paraId="56612995" w14:textId="77777777" w:rsidR="00AD582C" w:rsidRDefault="00AD582C" w:rsidP="0098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5FA04" w14:textId="77777777" w:rsidR="00AD582C" w:rsidRDefault="00AD582C" w:rsidP="009865D4">
      <w:pPr>
        <w:spacing w:after="0" w:line="240" w:lineRule="auto"/>
      </w:pPr>
      <w:r>
        <w:separator/>
      </w:r>
    </w:p>
  </w:footnote>
  <w:footnote w:type="continuationSeparator" w:id="0">
    <w:p w14:paraId="0E38DA7D" w14:textId="77777777" w:rsidR="00AD582C" w:rsidRDefault="00AD582C" w:rsidP="00986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9DD"/>
    <w:multiLevelType w:val="hybridMultilevel"/>
    <w:tmpl w:val="29C02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0A2C96"/>
    <w:multiLevelType w:val="hybridMultilevel"/>
    <w:tmpl w:val="2034A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7F6"/>
    <w:multiLevelType w:val="hybridMultilevel"/>
    <w:tmpl w:val="8EC47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4B56AB"/>
    <w:multiLevelType w:val="hybridMultilevel"/>
    <w:tmpl w:val="DF4C0572"/>
    <w:lvl w:ilvl="0" w:tplc="A26A5C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410814"/>
    <w:multiLevelType w:val="hybridMultilevel"/>
    <w:tmpl w:val="C6E8520C"/>
    <w:lvl w:ilvl="0" w:tplc="517C6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9710E"/>
    <w:multiLevelType w:val="hybridMultilevel"/>
    <w:tmpl w:val="10DA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71CE7"/>
    <w:multiLevelType w:val="hybridMultilevel"/>
    <w:tmpl w:val="3E7693EC"/>
    <w:lvl w:ilvl="0" w:tplc="B6D24D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FD329E"/>
    <w:multiLevelType w:val="hybridMultilevel"/>
    <w:tmpl w:val="2B3E3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4196"/>
    <w:multiLevelType w:val="hybridMultilevel"/>
    <w:tmpl w:val="9CC4B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71"/>
    <w:rsid w:val="000710E5"/>
    <w:rsid w:val="00071D74"/>
    <w:rsid w:val="00072326"/>
    <w:rsid w:val="00097759"/>
    <w:rsid w:val="000B71CE"/>
    <w:rsid w:val="000B74E7"/>
    <w:rsid w:val="000D53F8"/>
    <w:rsid w:val="000D6F8D"/>
    <w:rsid w:val="000D76FB"/>
    <w:rsid w:val="000E2C01"/>
    <w:rsid w:val="00106CA2"/>
    <w:rsid w:val="001112F6"/>
    <w:rsid w:val="00113874"/>
    <w:rsid w:val="00141375"/>
    <w:rsid w:val="00156DA6"/>
    <w:rsid w:val="00164A13"/>
    <w:rsid w:val="00167EC6"/>
    <w:rsid w:val="00180250"/>
    <w:rsid w:val="0018525B"/>
    <w:rsid w:val="0019741C"/>
    <w:rsid w:val="001A3A5E"/>
    <w:rsid w:val="001B32A0"/>
    <w:rsid w:val="001C146B"/>
    <w:rsid w:val="001E7E61"/>
    <w:rsid w:val="00234296"/>
    <w:rsid w:val="0027267D"/>
    <w:rsid w:val="00280AF6"/>
    <w:rsid w:val="00282BAF"/>
    <w:rsid w:val="00283FF7"/>
    <w:rsid w:val="0028548B"/>
    <w:rsid w:val="002F0FE9"/>
    <w:rsid w:val="002F283A"/>
    <w:rsid w:val="00317B8F"/>
    <w:rsid w:val="00344317"/>
    <w:rsid w:val="00370B35"/>
    <w:rsid w:val="00374828"/>
    <w:rsid w:val="00374C2C"/>
    <w:rsid w:val="00392FAD"/>
    <w:rsid w:val="003961E5"/>
    <w:rsid w:val="00397599"/>
    <w:rsid w:val="003D1F9D"/>
    <w:rsid w:val="003E392F"/>
    <w:rsid w:val="003F4A4E"/>
    <w:rsid w:val="003F4ED5"/>
    <w:rsid w:val="004267D6"/>
    <w:rsid w:val="004E5B0F"/>
    <w:rsid w:val="004F6004"/>
    <w:rsid w:val="00513690"/>
    <w:rsid w:val="00514FE7"/>
    <w:rsid w:val="005405C0"/>
    <w:rsid w:val="005543D0"/>
    <w:rsid w:val="0055668D"/>
    <w:rsid w:val="00567A3D"/>
    <w:rsid w:val="00574605"/>
    <w:rsid w:val="005E39A4"/>
    <w:rsid w:val="00605AEB"/>
    <w:rsid w:val="0064093B"/>
    <w:rsid w:val="00647B32"/>
    <w:rsid w:val="00675F65"/>
    <w:rsid w:val="00693F9E"/>
    <w:rsid w:val="006D044F"/>
    <w:rsid w:val="006D5473"/>
    <w:rsid w:val="006E7F70"/>
    <w:rsid w:val="006F3559"/>
    <w:rsid w:val="00700D46"/>
    <w:rsid w:val="00776881"/>
    <w:rsid w:val="007A5D54"/>
    <w:rsid w:val="007B6C98"/>
    <w:rsid w:val="007C0256"/>
    <w:rsid w:val="007C5B3A"/>
    <w:rsid w:val="007C7760"/>
    <w:rsid w:val="007D053A"/>
    <w:rsid w:val="007E7471"/>
    <w:rsid w:val="00800B38"/>
    <w:rsid w:val="00803F49"/>
    <w:rsid w:val="00841661"/>
    <w:rsid w:val="00844A65"/>
    <w:rsid w:val="00852569"/>
    <w:rsid w:val="00862ADE"/>
    <w:rsid w:val="0086377C"/>
    <w:rsid w:val="00896F61"/>
    <w:rsid w:val="008A1E5F"/>
    <w:rsid w:val="008A743E"/>
    <w:rsid w:val="008B0A52"/>
    <w:rsid w:val="008E16AB"/>
    <w:rsid w:val="008F50A2"/>
    <w:rsid w:val="009145B5"/>
    <w:rsid w:val="00926496"/>
    <w:rsid w:val="009361CF"/>
    <w:rsid w:val="00944E24"/>
    <w:rsid w:val="009639AF"/>
    <w:rsid w:val="00981E90"/>
    <w:rsid w:val="009865D4"/>
    <w:rsid w:val="00992584"/>
    <w:rsid w:val="00995789"/>
    <w:rsid w:val="009E72D1"/>
    <w:rsid w:val="009F79A3"/>
    <w:rsid w:val="00A015DA"/>
    <w:rsid w:val="00A355FC"/>
    <w:rsid w:val="00A45460"/>
    <w:rsid w:val="00AC7D41"/>
    <w:rsid w:val="00AD582C"/>
    <w:rsid w:val="00AD643F"/>
    <w:rsid w:val="00B06D17"/>
    <w:rsid w:val="00B57723"/>
    <w:rsid w:val="00B64467"/>
    <w:rsid w:val="00B65B96"/>
    <w:rsid w:val="00B936D2"/>
    <w:rsid w:val="00BB5BFF"/>
    <w:rsid w:val="00BD4658"/>
    <w:rsid w:val="00BD7EF1"/>
    <w:rsid w:val="00BF70D1"/>
    <w:rsid w:val="00BF7A54"/>
    <w:rsid w:val="00C03783"/>
    <w:rsid w:val="00C07A88"/>
    <w:rsid w:val="00C13503"/>
    <w:rsid w:val="00C25387"/>
    <w:rsid w:val="00C274A9"/>
    <w:rsid w:val="00C64137"/>
    <w:rsid w:val="00C90FBF"/>
    <w:rsid w:val="00CB4EC5"/>
    <w:rsid w:val="00CC6BAD"/>
    <w:rsid w:val="00CE7FFA"/>
    <w:rsid w:val="00D15809"/>
    <w:rsid w:val="00D23D25"/>
    <w:rsid w:val="00D405B6"/>
    <w:rsid w:val="00D505BD"/>
    <w:rsid w:val="00D55802"/>
    <w:rsid w:val="00D63A9F"/>
    <w:rsid w:val="00D73F03"/>
    <w:rsid w:val="00DB0D7C"/>
    <w:rsid w:val="00DF056A"/>
    <w:rsid w:val="00DF14C8"/>
    <w:rsid w:val="00E20DB6"/>
    <w:rsid w:val="00E641A1"/>
    <w:rsid w:val="00E67E42"/>
    <w:rsid w:val="00E70072"/>
    <w:rsid w:val="00E7171C"/>
    <w:rsid w:val="00E71ADE"/>
    <w:rsid w:val="00E95625"/>
    <w:rsid w:val="00EA0776"/>
    <w:rsid w:val="00EB1B28"/>
    <w:rsid w:val="00EC56BF"/>
    <w:rsid w:val="00F046FC"/>
    <w:rsid w:val="00F27E8D"/>
    <w:rsid w:val="00F45320"/>
    <w:rsid w:val="00F568A8"/>
    <w:rsid w:val="00F72587"/>
    <w:rsid w:val="00F76F3F"/>
    <w:rsid w:val="00F9531D"/>
    <w:rsid w:val="00FB5325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6770"/>
  <w15:chartTrackingRefBased/>
  <w15:docId w15:val="{37DD396E-F4F1-42EE-8A66-E04D4FFD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52"/>
    <w:pPr>
      <w:ind w:left="720"/>
      <w:contextualSpacing/>
    </w:pPr>
  </w:style>
  <w:style w:type="table" w:styleId="a4">
    <w:name w:val="Table Grid"/>
    <w:basedOn w:val="a1"/>
    <w:uiPriority w:val="39"/>
    <w:rsid w:val="0007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274A9"/>
    <w:rPr>
      <w:color w:val="808080"/>
    </w:rPr>
  </w:style>
  <w:style w:type="paragraph" w:styleId="a6">
    <w:name w:val="header"/>
    <w:basedOn w:val="a"/>
    <w:link w:val="a7"/>
    <w:uiPriority w:val="99"/>
    <w:unhideWhenUsed/>
    <w:rsid w:val="00986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5D4"/>
  </w:style>
  <w:style w:type="paragraph" w:styleId="a8">
    <w:name w:val="footer"/>
    <w:basedOn w:val="a"/>
    <w:link w:val="a9"/>
    <w:uiPriority w:val="99"/>
    <w:unhideWhenUsed/>
    <w:rsid w:val="00986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0910-9DE8-4558-BB57-13FF7F03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18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golovpasha@gmail.com</dc:creator>
  <cp:keywords/>
  <dc:description/>
  <cp:lastModifiedBy>golovpasha@gmail.com</cp:lastModifiedBy>
  <cp:revision>76</cp:revision>
  <dcterms:created xsi:type="dcterms:W3CDTF">2017-12-02T13:06:00Z</dcterms:created>
  <dcterms:modified xsi:type="dcterms:W3CDTF">2017-12-18T09:48:00Z</dcterms:modified>
</cp:coreProperties>
</file>