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3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type="dxa" w:w="5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3"/>
        <w:gridCol w:w="465"/>
        <w:gridCol w:w="259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00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clear" w:color="auto" w:fill="ffff00"/>
                <w:rtl w:val="0"/>
                <w:lang w:val="ru-RU"/>
              </w:rPr>
              <w:t>□</w:t>
            </w:r>
          </w:p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clear" w:color="auto" w:fill="ffff00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3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shd w:val="clear" w:color="auto" w:fill="ffff00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shd w:val="clear" w:color="auto" w:fill="ffff00"/>
          <w:rtl w:val="0"/>
          <w:lang w:val="ru-RU"/>
        </w:rPr>
        <w:t>, ABBYY FineReader)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