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879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6"/>
        <w:gridCol w:w="4373"/>
      </w:tblGrid>
      <w:tr>
        <w:tblPrEx>
          <w:shd w:val="clear" w:color="auto" w:fill="ced7e7"/>
        </w:tblPrEx>
        <w:trPr>
          <w:trHeight w:val="713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{name}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{unit}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{position}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{date-of-employment}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{phone}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{birth-date}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87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{contract-date}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{deadline}</w:t>
            </w:r>
          </w:p>
        </w:tc>
      </w:tr>
      <w:tr>
        <w:tblPrEx>
          <w:shd w:val="clear" w:color="auto" w:fill="ced7e7"/>
        </w:tblPrEx>
        <w:trPr>
          <w:trHeight w:val="1270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{curator-name}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4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type="dxa" w:w="4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{curator-position}</w:t>
            </w:r>
          </w:p>
        </w:tc>
      </w:tr>
    </w:tbl>
    <w:p>
      <w:pPr>
        <w:pStyle w:val="Normal.0"/>
        <w:widowControl w:val="0"/>
        <w:spacing w:after="0" w:line="240" w:lineRule="auto"/>
        <w:ind w:left="756" w:hanging="756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648" w:hanging="64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8907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88"/>
        <w:gridCol w:w="443"/>
        <w:gridCol w:w="247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{removable-media}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pt-PT"/>
              </w:rPr>
              <w:t>{removable-media-note}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90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{sed-access}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{sed-access-note}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{arm-mis-access}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{arm-mis-access-note}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{arm-bookkeeper-access}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{arm-bookkeeper-access-note}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{arm-mis-pn-access}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{arm-mis-pn-access-note}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{email-access}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{email-access-note}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{ria-access}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{ria-access-note}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{rtc-access}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{rtc-access-note}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{hiv-access}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{hiv-access-note}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{eis-access}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{eis-access-note}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{access-control-system-access}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{access-control-system-access-note}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756" w:hanging="756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648" w:hanging="64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858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24"/>
        <w:gridCol w:w="3659"/>
      </w:tblGrid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4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type="dxa" w:w="3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{additional-access}</w:t>
            </w:r>
          </w:p>
        </w:tc>
        <w:tc>
          <w:tcPr>
            <w:tcW w:type="dxa" w:w="3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756" w:hanging="756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648" w:hanging="64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540" w:hanging="5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tbl>
      <w:tblPr>
        <w:tblW w:w="935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{additional-software}</w:t>
            </w:r>
          </w:p>
        </w:tc>
      </w:tr>
    </w:tbl>
    <w:p>
      <w:pPr>
        <w:pStyle w:val="Normal.0"/>
        <w:widowControl w:val="0"/>
        <w:spacing w:after="0" w:line="240" w:lineRule="auto"/>
        <w:ind w:left="756" w:hanging="756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648" w:hanging="648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540" w:hanging="54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432" w:hanging="432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