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center"/>
        <w:rPr>
          <w:rFonts w:ascii="Aptos" w:cs="Aptos" w:hAnsi="Aptos" w:eastAsia="Aptos"/>
          <w:b w:val="1"/>
          <w:bCs w:val="1"/>
          <w:sz w:val="50"/>
          <w:szCs w:val="50"/>
        </w:rPr>
      </w:pPr>
      <w:r>
        <w:rPr>
          <w:rFonts w:ascii="Aptos" w:cs="Aptos" w:hAnsi="Aptos" w:eastAsia="Aptos"/>
          <w:b w:val="1"/>
          <w:bCs w:val="1"/>
          <w:outline w:val="0"/>
          <w:color w:val="1f4e79"/>
          <w:sz w:val="24"/>
          <w:szCs w:val="24"/>
          <w:u w:color="1f4e79"/>
          <w:rtl w:val="0"/>
          <w:lang w:val="en-US"/>
          <w14:textFill>
            <w14:solidFill>
              <w14:srgbClr w14:val="1F4E79"/>
            </w14:solidFill>
          </w14:textFill>
        </w:rPr>
        <w:t>WEEK 1 TASK</w:t>
      </w:r>
    </w:p>
    <w:p>
      <w:pPr>
        <w:pStyle w:val="Normal.0"/>
        <w:jc w:val="center"/>
        <w:rPr>
          <w:rFonts w:ascii="Aptos" w:cs="Aptos" w:hAnsi="Aptos" w:eastAsia="Aptos"/>
          <w:i w:val="1"/>
          <w:iCs w:val="1"/>
          <w:sz w:val="30"/>
          <w:szCs w:val="30"/>
        </w:rPr>
      </w:pPr>
      <w:r>
        <w:rPr>
          <w:rFonts w:ascii="Aptos" w:cs="Aptos" w:hAnsi="Aptos" w:eastAsia="Aptos"/>
          <w:b w:val="1"/>
          <w:bCs w:val="1"/>
          <w:sz w:val="50"/>
          <w:szCs w:val="50"/>
          <w:rtl w:val="0"/>
          <w:lang w:val="en-US"/>
        </w:rPr>
        <w:t>Data Acquisition, Cleaning, and Exploratory Analysis</w:t>
      </w:r>
    </w:p>
    <w:p>
      <w:pPr>
        <w:pStyle w:val="Normal.0"/>
        <w:jc w:val="center"/>
      </w:pPr>
      <w:r>
        <w:rPr>
          <w:rFonts w:ascii="Aptos" w:cs="Aptos" w:hAnsi="Aptos" w:eastAsia="Aptos"/>
          <w:i w:val="1"/>
          <w:iCs w:val="1"/>
          <w:sz w:val="30"/>
          <w:szCs w:val="30"/>
          <w:rtl w:val="0"/>
          <w:lang w:val="en-US"/>
        </w:rPr>
        <w:t>Titanic Passenger Survival Dataset</w:t>
      </w:r>
    </w:p>
    <w:p>
      <w:pPr>
        <w:pStyle w:val="Normal.0"/>
      </w:pPr>
    </w:p>
    <w:tbl>
      <w:tblPr>
        <w:tblW w:w="993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7"/>
      </w:tblGrid>
      <w:tr>
        <w:tblPrEx>
          <w:shd w:val="clear" w:color="auto" w:fill="ced7e7"/>
        </w:tblPrEx>
        <w:trPr>
          <w:trHeight w:val="270"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Normal.0"/>
              <w:spacing w:after="0" w:line="240" w:lineRule="auto"/>
            </w:pPr>
            <w:r>
              <w:rPr>
                <w:rFonts w:ascii="Aptos" w:cs="Aptos" w:hAnsi="Aptos" w:eastAsia="Aptos"/>
                <w:b w:val="1"/>
                <w:bCs w:val="1"/>
                <w:outline w:val="0"/>
                <w:color w:val="ffffff"/>
                <w:u w:color="ffffff"/>
                <w:shd w:val="nil" w:color="auto" w:fill="auto"/>
                <w:rtl w:val="0"/>
                <w:lang w:val="en-US"/>
                <w14:textFill>
                  <w14:solidFill>
                    <w14:srgbClr w14:val="FFFFFF"/>
                  </w14:solidFill>
                </w14:textFill>
              </w:rPr>
              <w:t>Dataset</w:t>
            </w:r>
          </w:p>
        </w:tc>
        <w:tc>
          <w:tcPr>
            <w:tcW w:type="dxa" w:w="4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Titanic passenger records</w:t>
            </w:r>
          </w:p>
        </w:tc>
      </w:tr>
      <w:tr>
        <w:tblPrEx>
          <w:shd w:val="clear" w:color="auto" w:fill="ced7e7"/>
        </w:tblPrEx>
        <w:trPr>
          <w:trHeight w:val="270"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Normal.0"/>
              <w:spacing w:after="0" w:line="240" w:lineRule="auto"/>
            </w:pPr>
            <w:r>
              <w:rPr>
                <w:rFonts w:ascii="Aptos" w:cs="Aptos" w:hAnsi="Aptos" w:eastAsia="Aptos"/>
                <w:b w:val="1"/>
                <w:bCs w:val="1"/>
                <w:outline w:val="0"/>
                <w:color w:val="ffffff"/>
                <w:u w:color="ffffff"/>
                <w:shd w:val="nil" w:color="auto" w:fill="auto"/>
                <w:rtl w:val="0"/>
                <w:lang w:val="en-US"/>
                <w14:textFill>
                  <w14:solidFill>
                    <w14:srgbClr w14:val="FFFFFF"/>
                  </w14:solidFill>
                </w14:textFill>
              </w:rPr>
              <w:t>Source</w:t>
            </w:r>
          </w:p>
        </w:tc>
        <w:tc>
          <w:tcPr>
            <w:tcW w:type="dxa" w:w="4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Seaborn-data repository on GitHub</w:t>
            </w:r>
          </w:p>
        </w:tc>
      </w:tr>
      <w:tr>
        <w:tblPrEx>
          <w:shd w:val="clear" w:color="auto" w:fill="ced7e7"/>
        </w:tblPrEx>
        <w:trPr>
          <w:trHeight w:val="270"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Normal.0"/>
              <w:spacing w:after="0" w:line="240" w:lineRule="auto"/>
            </w:pPr>
            <w:r>
              <w:rPr>
                <w:rFonts w:ascii="Aptos" w:cs="Aptos" w:hAnsi="Aptos" w:eastAsia="Aptos"/>
                <w:b w:val="1"/>
                <w:bCs w:val="1"/>
                <w:outline w:val="0"/>
                <w:color w:val="ffffff"/>
                <w:u w:color="ffffff"/>
                <w:shd w:val="nil" w:color="auto" w:fill="auto"/>
                <w:rtl w:val="0"/>
                <w:lang w:val="en-US"/>
                <w14:textFill>
                  <w14:solidFill>
                    <w14:srgbClr w14:val="FFFFFF"/>
                  </w14:solidFill>
                </w14:textFill>
              </w:rPr>
              <w:t>Raw size</w:t>
            </w:r>
          </w:p>
        </w:tc>
        <w:tc>
          <w:tcPr>
            <w:tcW w:type="dxa" w:w="4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 xml:space="preserve">891 rows </w:t>
            </w:r>
            <w:r>
              <w:rPr>
                <w:shd w:val="nil" w:color="auto" w:fill="auto"/>
                <w:rtl w:val="0"/>
                <w:lang w:val="en-US"/>
              </w:rPr>
              <w:t xml:space="preserve">× </w:t>
            </w:r>
            <w:r>
              <w:rPr>
                <w:shd w:val="nil" w:color="auto" w:fill="auto"/>
                <w:rtl w:val="0"/>
                <w:lang w:val="en-US"/>
              </w:rPr>
              <w:t>15 columns</w:t>
            </w:r>
          </w:p>
        </w:tc>
      </w:tr>
      <w:tr>
        <w:tblPrEx>
          <w:shd w:val="clear" w:color="auto" w:fill="ced7e7"/>
        </w:tblPrEx>
        <w:trPr>
          <w:trHeight w:val="270"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Normal.0"/>
              <w:spacing w:after="0" w:line="240" w:lineRule="auto"/>
            </w:pPr>
            <w:r>
              <w:rPr>
                <w:rFonts w:ascii="Aptos" w:cs="Aptos" w:hAnsi="Aptos" w:eastAsia="Aptos"/>
                <w:b w:val="1"/>
                <w:bCs w:val="1"/>
                <w:outline w:val="0"/>
                <w:color w:val="ffffff"/>
                <w:u w:color="ffffff"/>
                <w:shd w:val="nil" w:color="auto" w:fill="auto"/>
                <w:rtl w:val="0"/>
                <w:lang w:val="en-US"/>
                <w14:textFill>
                  <w14:solidFill>
                    <w14:srgbClr w14:val="FFFFFF"/>
                  </w14:solidFill>
                </w14:textFill>
              </w:rPr>
              <w:t>Prepared size</w:t>
            </w:r>
          </w:p>
        </w:tc>
        <w:tc>
          <w:tcPr>
            <w:tcW w:type="dxa" w:w="4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 xml:space="preserve">784 rows </w:t>
            </w:r>
            <w:r>
              <w:rPr>
                <w:shd w:val="nil" w:color="auto" w:fill="auto"/>
                <w:rtl w:val="0"/>
                <w:lang w:val="en-US"/>
              </w:rPr>
              <w:t xml:space="preserve">× </w:t>
            </w:r>
            <w:r>
              <w:rPr>
                <w:shd w:val="nil" w:color="auto" w:fill="auto"/>
                <w:rtl w:val="0"/>
                <w:lang w:val="en-US"/>
              </w:rPr>
              <w:t>10 columns</w:t>
            </w:r>
          </w:p>
        </w:tc>
      </w:tr>
    </w:tbl>
    <w:p>
      <w:pPr>
        <w:pStyle w:val="Normal.0"/>
        <w:widowControl w:val="0"/>
        <w:spacing w:line="240" w:lineRule="auto"/>
        <w:jc w:val="center"/>
      </w:pPr>
    </w:p>
    <w:p>
      <w:pPr>
        <w:pStyle w:val="Normal.0"/>
      </w:pPr>
    </w:p>
    <w:p>
      <w:pPr>
        <w:pStyle w:val="Normal.0"/>
        <w:jc w:val="center"/>
      </w:pPr>
      <w:r>
        <w:rPr>
          <w:outline w:val="0"/>
          <w:color w:val="646464"/>
          <w:u w:color="646464"/>
          <w:rtl w:val="0"/>
          <w:lang w:val="en-US"/>
          <w14:textFill>
            <w14:solidFill>
              <w14:srgbClr w14:val="646464"/>
            </w14:solidFill>
          </w14:textFill>
        </w:rPr>
        <w:t>Prepared as a reproducible Week 1 data preparation exercise</w:t>
      </w:r>
    </w:p>
    <w:p>
      <w:pPr>
        <w:pStyle w:val="Normal.0"/>
      </w:pPr>
    </w:p>
    <w:p>
      <w:pPr>
        <w:pStyle w:val="heading 1"/>
        <w:pageBreakBefore w:val="1"/>
        <w:spacing w:before="0"/>
      </w:pPr>
      <w:r>
        <w:rPr>
          <w:rtl w:val="0"/>
          <w:lang w:val="en-US"/>
        </w:rPr>
        <w:t>1. Executive Summary</w:t>
      </w:r>
    </w:p>
    <w:p>
      <w:pPr>
        <w:pStyle w:val="Normal.0"/>
      </w:pPr>
      <w:r>
        <w:rPr>
          <w:rtl w:val="0"/>
          <w:lang w:val="en-US"/>
        </w:rPr>
        <w:t>This report documents a complete first-pass data preparation workflow using the Titanic passenger dataset. The workflow covers acquisition from a public URL, structural inspection, missing-value treatment, exact-duplicate removal, data-type correction, feature engineering, exploratory analysis, and communication of findings.</w:t>
      </w:r>
    </w:p>
    <w:p>
      <w:pPr>
        <w:pStyle w:val="Normal.0"/>
      </w:pPr>
      <w:r>
        <w:rPr>
          <w:rtl w:val="0"/>
          <w:lang w:val="en-US"/>
        </w:rPr>
        <w:t>The raw dataset contained 891 records and 15 fields. It included 869 missing cells and 107 exact duplicate rows. After cleaning, the analysis-ready dataset contained 784 records, 10 retained fields, and no missing values.</w:t>
      </w:r>
    </w:p>
    <w:p>
      <w:pPr>
        <w:pStyle w:val="Normal.0"/>
      </w:pPr>
      <w:r>
        <w:rPr>
          <w:rtl w:val="0"/>
          <w:lang w:val="en-US"/>
        </w:rPr>
        <w:t>The overall survival rate in the cleaned data was 41.2%. The strongest descriptive differences were associated with sex and passenger class. Female passengers had a survival rate of 74.1%, compared with 21.6% for male passengers. First-class passengers had a survival rate of 63.1%, compared with 25.7% in third class.</w:t>
      </w:r>
    </w:p>
    <w:p>
      <w:pPr>
        <w:pStyle w:val="heading 1"/>
      </w:pPr>
      <w:r>
        <w:rPr>
          <w:rtl w:val="0"/>
          <w:lang w:val="en-US"/>
        </w:rPr>
        <w:t>2. Data Acquisition</w:t>
      </w:r>
    </w:p>
    <w:p>
      <w:pPr>
        <w:pStyle w:val="Normal.0"/>
      </w:pPr>
      <w:r>
        <w:rPr>
          <w:rtl w:val="0"/>
          <w:lang w:val="en-US"/>
        </w:rPr>
        <w:t>The Titanic dataset was selected because it is small enough for a transparent Week 1 workflow while still containing numerical, categorical, and missing-value challenges. It supports meaningful exploratory questions without requiring a complex modelling setup.</w:t>
      </w:r>
    </w:p>
    <w:p>
      <w:pPr>
        <w:pStyle w:val="Normal.0"/>
        <w:rPr>
          <w:rFonts w:ascii="Courier New" w:cs="Courier New" w:hAnsi="Courier New" w:eastAsia="Courier New"/>
          <w:sz w:val="18"/>
          <w:szCs w:val="18"/>
        </w:rPr>
      </w:pPr>
      <w:r>
        <w:rPr>
          <w:rtl w:val="0"/>
          <w:lang w:val="en-US"/>
        </w:rPr>
        <w:t>Public source used</w:t>
      </w:r>
    </w:p>
    <w:p>
      <w:pPr>
        <w:pStyle w:val="Normal.0"/>
      </w:pPr>
      <w:r>
        <w:rPr>
          <w:rFonts w:ascii="Courier New" w:hAnsi="Courier New"/>
          <w:sz w:val="18"/>
          <w:szCs w:val="18"/>
          <w:rtl w:val="0"/>
          <w:lang w:val="en-US"/>
        </w:rPr>
        <w:t>https://raw.githubusercontent.com/mwaskom/seaborn-data/master/titanic.csv</w:t>
      </w:r>
    </w:p>
    <w:p>
      <w:pPr>
        <w:pStyle w:val="Normal.0"/>
        <w:rPr>
          <w:rFonts w:ascii="Courier New" w:cs="Courier New" w:hAnsi="Courier New" w:eastAsia="Courier New"/>
          <w:sz w:val="17"/>
          <w:szCs w:val="17"/>
        </w:rPr>
      </w:pPr>
      <w:r>
        <w:rPr>
          <w:rtl w:val="0"/>
          <w:lang w:val="en-US"/>
        </w:rPr>
        <w:t>Acquisition code</w:t>
      </w:r>
    </w:p>
    <w:p>
      <w:pPr>
        <w:pStyle w:val="No Spacing"/>
      </w:pPr>
      <w:r>
        <w:rPr>
          <w:rFonts w:ascii="Courier New" w:hAnsi="Courier New"/>
          <w:sz w:val="17"/>
          <w:szCs w:val="17"/>
          <w:rtl w:val="0"/>
          <w:lang w:val="en-US"/>
        </w:rPr>
        <w:t>import pandas as pd</w:t>
      </w:r>
      <w:r>
        <w:rPr>
          <w:rFonts w:ascii="Courier New" w:cs="Courier New" w:hAnsi="Courier New" w:eastAsia="Courier New"/>
          <w:sz w:val="17"/>
          <w:szCs w:val="17"/>
        </w:rPr>
        <w:br w:type="textWrapping"/>
        <w:br w:type="textWrapping"/>
      </w:r>
      <w:r>
        <w:rPr>
          <w:rFonts w:ascii="Courier New" w:hAnsi="Courier New"/>
          <w:sz w:val="17"/>
          <w:szCs w:val="17"/>
          <w:rtl w:val="0"/>
          <w:lang w:val="en-US"/>
        </w:rPr>
        <w:t>source_url = "https://raw.githubusercontent.com/mwaskom/seaborn-data/master/titanic.csv"</w:t>
      </w:r>
      <w:r>
        <w:rPr>
          <w:rFonts w:ascii="Courier New" w:cs="Courier New" w:hAnsi="Courier New" w:eastAsia="Courier New"/>
          <w:sz w:val="17"/>
          <w:szCs w:val="17"/>
        </w:rPr>
        <w:br w:type="textWrapping"/>
      </w:r>
      <w:r>
        <w:rPr>
          <w:rFonts w:ascii="Courier New" w:hAnsi="Courier New"/>
          <w:sz w:val="17"/>
          <w:szCs w:val="17"/>
          <w:rtl w:val="0"/>
          <w:lang w:val="en-US"/>
        </w:rPr>
        <w:t>titanic_raw_df = pd.read_csv(source_url)</w:t>
      </w:r>
      <w:r>
        <w:rPr>
          <w:rFonts w:ascii="Courier New" w:cs="Courier New" w:hAnsi="Courier New" w:eastAsia="Courier New"/>
          <w:sz w:val="17"/>
          <w:szCs w:val="17"/>
        </w:rPr>
        <w:br w:type="textWrapping"/>
      </w:r>
      <w:r>
        <w:rPr>
          <w:rFonts w:ascii="Courier New" w:hAnsi="Courier New"/>
          <w:sz w:val="17"/>
          <w:szCs w:val="17"/>
          <w:rtl w:val="0"/>
          <w:lang w:val="en-US"/>
        </w:rPr>
        <w:t>print(titanic_raw_df.shape)</w:t>
      </w:r>
      <w:r>
        <w:rPr>
          <w:rFonts w:ascii="Courier New" w:cs="Courier New" w:hAnsi="Courier New" w:eastAsia="Courier New"/>
          <w:sz w:val="17"/>
          <w:szCs w:val="17"/>
        </w:rPr>
        <w:br w:type="textWrapping"/>
      </w:r>
      <w:r>
        <w:rPr>
          <w:rFonts w:ascii="Courier New" w:hAnsi="Courier New"/>
          <w:sz w:val="17"/>
          <w:szCs w:val="17"/>
          <w:rtl w:val="0"/>
          <w:lang w:val="en-US"/>
        </w:rPr>
        <w:t>print(titanic_raw_df.head())</w:t>
      </w:r>
    </w:p>
    <w:p>
      <w:pPr>
        <w:pStyle w:val="heading 1"/>
      </w:pPr>
      <w:r>
        <w:rPr>
          <w:rtl w:val="0"/>
          <w:lang w:val="en-US"/>
        </w:rPr>
        <w:t>3. Initial Data Profiling</w:t>
      </w:r>
    </w:p>
    <w:p>
      <w:pPr>
        <w:pStyle w:val="Normal.0"/>
        <w:rPr>
          <w:rFonts w:ascii="Aptos" w:cs="Aptos" w:hAnsi="Aptos" w:eastAsia="Aptos"/>
          <w:b w:val="1"/>
          <w:bCs w:val="1"/>
          <w:outline w:val="0"/>
          <w:color w:val="ffffff"/>
          <w:kern w:val="0"/>
          <w:u w:color="ffffff"/>
          <w14:textFill>
            <w14:solidFill>
              <w14:srgbClr w14:val="FFFFFF"/>
            </w14:solidFill>
          </w14:textFill>
        </w:rPr>
      </w:pPr>
      <w:r>
        <w:rPr>
          <w:rtl w:val="0"/>
          <w:lang w:val="en-US"/>
        </w:rPr>
        <w:t>Initial profiling was used to understand the schema before changing any values. The raw data contained binary indicators, categorical labels, continuous measurements, and several columns that expressed the same concept in different forms.</w:t>
      </w:r>
    </w:p>
    <w:tbl>
      <w:tblPr>
        <w:tblW w:w="993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3"/>
      </w:tblGrid>
      <w:tr>
        <w:tblPrEx>
          <w:shd w:val="clear" w:color="auto" w:fill="ced7e7"/>
        </w:tblPrEx>
        <w:trPr>
          <w:trHeight w:val="27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Normal.0"/>
              <w:spacing w:after="0" w:line="240" w:lineRule="auto"/>
            </w:pPr>
            <w:r>
              <w:rPr>
                <w:rFonts w:ascii="Aptos" w:cs="Aptos" w:hAnsi="Aptos" w:eastAsia="Aptos"/>
                <w:b w:val="1"/>
                <w:bCs w:val="1"/>
                <w:outline w:val="0"/>
                <w:color w:val="ffffff"/>
                <w:u w:color="ffffff"/>
                <w:shd w:val="nil" w:color="auto" w:fill="auto"/>
                <w:rtl w:val="0"/>
                <w:lang w:val="en-US"/>
                <w14:textFill>
                  <w14:solidFill>
                    <w14:srgbClr w14:val="FFFFFF"/>
                  </w14:solidFill>
                </w14:textFill>
              </w:rPr>
              <w:t>Area</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Normal.0"/>
              <w:spacing w:after="0" w:line="240" w:lineRule="auto"/>
            </w:pPr>
            <w:r>
              <w:rPr>
                <w:rFonts w:ascii="Aptos" w:cs="Aptos" w:hAnsi="Aptos" w:eastAsia="Aptos"/>
                <w:b w:val="1"/>
                <w:bCs w:val="1"/>
                <w:outline w:val="0"/>
                <w:color w:val="ffffff"/>
                <w:u w:color="ffffff"/>
                <w:shd w:val="nil" w:color="auto" w:fill="auto"/>
                <w:rtl w:val="0"/>
                <w:lang w:val="en-US"/>
                <w14:textFill>
                  <w14:solidFill>
                    <w14:srgbClr w14:val="FFFFFF"/>
                  </w14:solidFill>
                </w14:textFill>
              </w:rPr>
              <w:t>Finding</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Normal.0"/>
              <w:spacing w:after="0" w:line="240" w:lineRule="auto"/>
            </w:pPr>
            <w:r>
              <w:rPr>
                <w:rFonts w:ascii="Aptos" w:cs="Aptos" w:hAnsi="Aptos" w:eastAsia="Aptos"/>
                <w:b w:val="1"/>
                <w:bCs w:val="1"/>
                <w:outline w:val="0"/>
                <w:color w:val="ffffff"/>
                <w:u w:color="ffffff"/>
                <w:shd w:val="nil" w:color="auto" w:fill="auto"/>
                <w:rtl w:val="0"/>
                <w:lang w:val="en-US"/>
                <w14:textFill>
                  <w14:solidFill>
                    <w14:srgbClr w14:val="FFFFFF"/>
                  </w14:solidFill>
                </w14:textFill>
              </w:rPr>
              <w:t>Implication</w:t>
            </w:r>
          </w:p>
        </w:tc>
        <w:tc>
          <w:tcPr>
            <w:tcW w:type="dxa" w:w="24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Normal.0"/>
              <w:spacing w:after="0" w:line="240" w:lineRule="auto"/>
            </w:pPr>
            <w:r>
              <w:rPr>
                <w:rFonts w:ascii="Aptos" w:cs="Aptos" w:hAnsi="Aptos" w:eastAsia="Aptos"/>
                <w:b w:val="1"/>
                <w:bCs w:val="1"/>
                <w:outline w:val="0"/>
                <w:color w:val="ffffff"/>
                <w:u w:color="ffffff"/>
                <w:shd w:val="nil" w:color="auto" w:fill="auto"/>
                <w:rtl w:val="0"/>
                <w:lang w:val="en-US"/>
                <w14:textFill>
                  <w14:solidFill>
                    <w14:srgbClr w14:val="FFFFFF"/>
                  </w14:solidFill>
                </w14:textFill>
              </w:rPr>
              <w:t>Action</w:t>
            </w:r>
          </w:p>
        </w:tc>
      </w:tr>
      <w:tr>
        <w:tblPrEx>
          <w:shd w:val="clear" w:color="auto" w:fill="ced7e7"/>
        </w:tblPrEx>
        <w:trPr>
          <w:trHeight w:val="53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Missingness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age 177, deck 688, embarked 2, embark_town 2</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Some variables require imputation or removal</w:t>
            </w:r>
          </w:p>
        </w:tc>
        <w:tc>
          <w:tcPr>
            <w:tcW w:type="dxa" w:w="24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Impute age and embarked; remove deck</w:t>
            </w:r>
          </w:p>
        </w:tc>
      </w:tr>
      <w:tr>
        <w:tblPrEx>
          <w:shd w:val="clear" w:color="auto" w:fill="ced7e7"/>
        </w:tblPrEx>
        <w:trPr>
          <w:trHeight w:val="53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Duplicates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107 exact duplicate rows</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Repeated complete records can bias summaries</w:t>
            </w:r>
          </w:p>
        </w:tc>
        <w:tc>
          <w:tcPr>
            <w:tcW w:type="dxa" w:w="24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Drop exact duplicates</w:t>
            </w:r>
          </w:p>
        </w:tc>
      </w:tr>
      <w:tr>
        <w:tblPrEx>
          <w:shd w:val="clear" w:color="auto" w:fill="ced7e7"/>
        </w:tblPrEx>
        <w:trPr>
          <w:trHeight w:val="79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Types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Mixed numeric, object, boolean, and categorical fields</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Consistent types are needed for grouping and modeling</w:t>
            </w:r>
          </w:p>
        </w:tc>
        <w:tc>
          <w:tcPr>
            <w:tcW w:type="dxa" w:w="24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Cast numeric and categorical fields explicitly</w:t>
            </w:r>
          </w:p>
        </w:tc>
      </w:tr>
      <w:tr>
        <w:tblPrEx>
          <w:shd w:val="clear" w:color="auto" w:fill="ced7e7"/>
        </w:tblPrEx>
        <w:trPr>
          <w:trHeight w:val="79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Redundancy</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class, who, adult_male, alive, alone duplicate information</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Redundant fields complicate interpretation</w:t>
            </w:r>
          </w:p>
        </w:tc>
        <w:tc>
          <w:tcPr>
            <w:tcW w:type="dxa" w:w="24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Retain a compact analytical feature set</w:t>
            </w:r>
          </w:p>
        </w:tc>
      </w:tr>
    </w:tbl>
    <w:p>
      <w:pPr>
        <w:pStyle w:val="Normal.0"/>
        <w:widowControl w:val="0"/>
        <w:spacing w:line="240" w:lineRule="auto"/>
        <w:jc w:val="center"/>
        <w:rPr>
          <w:rFonts w:ascii="Aptos" w:cs="Aptos" w:hAnsi="Aptos" w:eastAsia="Aptos"/>
          <w:b w:val="1"/>
          <w:bCs w:val="1"/>
          <w:outline w:val="0"/>
          <w:color w:val="ffffff"/>
          <w:kern w:val="0"/>
          <w:u w:color="ffffff"/>
          <w14:textFill>
            <w14:solidFill>
              <w14:srgbClr w14:val="FFFFFF"/>
            </w14:solidFill>
          </w14:textFill>
        </w:rPr>
      </w:pPr>
    </w:p>
    <w:p>
      <w:pPr>
        <w:pStyle w:val="heading 1"/>
      </w:pPr>
      <w:r>
        <w:rPr>
          <w:rtl w:val="0"/>
          <w:lang w:val="en-US"/>
        </w:rPr>
        <w:t>4. Data Cleaning and Preprocessing</w:t>
      </w:r>
    </w:p>
    <w:p>
      <w:pPr>
        <w:pStyle w:val="Normal.0"/>
        <w:rPr>
          <w:rFonts w:ascii="Aptos" w:cs="Aptos" w:hAnsi="Aptos" w:eastAsia="Aptos"/>
          <w:b w:val="1"/>
          <w:bCs w:val="1"/>
          <w:outline w:val="0"/>
          <w:color w:val="ffffff"/>
          <w:kern w:val="0"/>
          <w:u w:color="ffffff"/>
          <w14:textFill>
            <w14:solidFill>
              <w14:srgbClr w14:val="FFFFFF"/>
            </w14:solidFill>
          </w14:textFill>
        </w:rPr>
      </w:pPr>
      <w:r>
        <w:rPr>
          <w:rtl w:val="0"/>
          <w:lang w:val="en-US"/>
        </w:rPr>
        <w:t>The cleaning choices were conservative and designed to preserve as much information as possible while making the data analysis-ready.</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3312"/>
        <w:gridCol w:w="3312"/>
      </w:tblGrid>
      <w:tr>
        <w:tblPrEx>
          <w:shd w:val="clear" w:color="auto" w:fill="ced7e7"/>
        </w:tblPrEx>
        <w:trPr>
          <w:trHeight w:val="27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Normal.0"/>
              <w:spacing w:after="0" w:line="240" w:lineRule="auto"/>
            </w:pPr>
            <w:r>
              <w:rPr>
                <w:rFonts w:ascii="Aptos" w:cs="Aptos" w:hAnsi="Aptos" w:eastAsia="Aptos"/>
                <w:b w:val="1"/>
                <w:bCs w:val="1"/>
                <w:outline w:val="0"/>
                <w:color w:val="ffffff"/>
                <w:u w:color="ffffff"/>
                <w:shd w:val="nil" w:color="auto" w:fill="auto"/>
                <w:rtl w:val="0"/>
                <w:lang w:val="en-US"/>
                <w14:textFill>
                  <w14:solidFill>
                    <w14:srgbClr w14:val="FFFFFF"/>
                  </w14:solidFill>
                </w14:textFill>
              </w:rPr>
              <w:t>Step</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Normal.0"/>
              <w:spacing w:after="0" w:line="240" w:lineRule="auto"/>
            </w:pPr>
            <w:r>
              <w:rPr>
                <w:rFonts w:ascii="Aptos" w:cs="Aptos" w:hAnsi="Aptos" w:eastAsia="Aptos"/>
                <w:b w:val="1"/>
                <w:bCs w:val="1"/>
                <w:outline w:val="0"/>
                <w:color w:val="ffffff"/>
                <w:u w:color="ffffff"/>
                <w:shd w:val="nil" w:color="auto" w:fill="auto"/>
                <w:rtl w:val="0"/>
                <w:lang w:val="en-US"/>
                <w14:textFill>
                  <w14:solidFill>
                    <w14:srgbClr w14:val="FFFFFF"/>
                  </w14:solidFill>
                </w14:textFill>
              </w:rPr>
              <w:t>Method</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Normal.0"/>
              <w:spacing w:after="0" w:line="240" w:lineRule="auto"/>
            </w:pPr>
            <w:r>
              <w:rPr>
                <w:rFonts w:ascii="Aptos" w:cs="Aptos" w:hAnsi="Aptos" w:eastAsia="Aptos"/>
                <w:b w:val="1"/>
                <w:bCs w:val="1"/>
                <w:outline w:val="0"/>
                <w:color w:val="ffffff"/>
                <w:u w:color="ffffff"/>
                <w:shd w:val="nil" w:color="auto" w:fill="auto"/>
                <w:rtl w:val="0"/>
                <w:lang w:val="en-US"/>
                <w14:textFill>
                  <w14:solidFill>
                    <w14:srgbClr w14:val="FFFFFF"/>
                  </w14:solidFill>
                </w14:textFill>
              </w:rPr>
              <w:t>Rationale</w:t>
            </w:r>
          </w:p>
        </w:tc>
      </w:tr>
      <w:tr>
        <w:tblPrEx>
          <w:shd w:val="clear" w:color="auto" w:fill="ced7e7"/>
        </w:tblPrEx>
        <w:trPr>
          <w:trHeight w:val="53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Exact duplicates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Removed complete duplicate rows using drop_duplicates()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Prevents repeated records from inflating counts and rates.</w:t>
            </w:r>
          </w:p>
        </w:tc>
      </w:tr>
      <w:tr>
        <w:tblPrEx>
          <w:shd w:val="clear" w:color="auto" w:fill="ced7e7"/>
        </w:tblPrEx>
        <w:trPr>
          <w:trHeight w:val="53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Category standardization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Trimmed text and normalized sex and embarked labels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Ensures equivalent labels group together consistently.</w:t>
            </w:r>
          </w:p>
        </w:tc>
      </w:tr>
      <w:tr>
        <w:tblPrEx>
          <w:shd w:val="clear" w:color="auto" w:fill="ced7e7"/>
        </w:tblPrEx>
        <w:trPr>
          <w:trHeight w:val="53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Age imputation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Filled missing age with the median within passenger class and sex groups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Uses relevant subgroups and is less sensitive to outliers than a mean.</w:t>
            </w:r>
          </w:p>
        </w:tc>
      </w:tr>
      <w:tr>
        <w:tblPrEx>
          <w:shd w:val="clear" w:color="auto" w:fill="ced7e7"/>
        </w:tblPrEx>
        <w:trPr>
          <w:trHeight w:val="53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Embarkation imputation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Filled two missing embarked values with the modal port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Very low missingness makes mode imputation simple and transparent.</w:t>
            </w:r>
          </w:p>
        </w:tc>
      </w:tr>
      <w:tr>
        <w:tblPrEx>
          <w:shd w:val="clear" w:color="auto" w:fill="ced7e7"/>
        </w:tblPrEx>
        <w:trPr>
          <w:trHeight w:val="79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Deck handling</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Dropped deck because 688 of 891 raw values were missing</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A variable with roughly 77% missingness would contribute limited reliable information.</w:t>
            </w:r>
          </w:p>
        </w:tc>
      </w:tr>
      <w:tr>
        <w:tblPrEx>
          <w:shd w:val="clear" w:color="auto" w:fill="ced7e7"/>
        </w:tblPrEx>
        <w:trPr>
          <w:trHeight w:val="53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Feature engineering</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Created family_size = sibsp + parch + 1 and is_alone_derived</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Provides an interpretable family-structure measure for EDA.</w:t>
            </w:r>
          </w:p>
        </w:tc>
      </w:tr>
      <w:tr>
        <w:tblPrEx>
          <w:shd w:val="clear" w:color="auto" w:fill="ced7e7"/>
        </w:tblPrEx>
        <w:trPr>
          <w:trHeight w:val="53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Redundant fields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Retained core fields and removed duplicate semantic representations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Keeps the analysis focused and reduces avoidable multicollinearity.</w:t>
            </w:r>
          </w:p>
        </w:tc>
      </w:tr>
    </w:tbl>
    <w:p>
      <w:pPr>
        <w:pStyle w:val="Normal.0"/>
        <w:widowControl w:val="0"/>
        <w:spacing w:line="240" w:lineRule="auto"/>
        <w:jc w:val="center"/>
        <w:rPr>
          <w:rFonts w:ascii="Aptos" w:cs="Aptos" w:hAnsi="Aptos" w:eastAsia="Aptos"/>
          <w:b w:val="1"/>
          <w:bCs w:val="1"/>
          <w:outline w:val="0"/>
          <w:color w:val="ffffff"/>
          <w:kern w:val="0"/>
          <w:u w:color="ffffff"/>
          <w14:textFill>
            <w14:solidFill>
              <w14:srgbClr w14:val="FFFFFF"/>
            </w14:solidFill>
          </w14:textFill>
        </w:rPr>
      </w:pPr>
    </w:p>
    <w:p>
      <w:pPr>
        <w:pStyle w:val="Normal.0"/>
        <w:rPr>
          <w:rFonts w:ascii="Courier New" w:cs="Courier New" w:hAnsi="Courier New" w:eastAsia="Courier New"/>
          <w:sz w:val="16"/>
          <w:szCs w:val="16"/>
        </w:rPr>
      </w:pPr>
      <w:r>
        <w:rPr>
          <w:rtl w:val="0"/>
          <w:lang w:val="en-US"/>
        </w:rPr>
        <w:t>Cleaning code</w:t>
      </w:r>
    </w:p>
    <w:p>
      <w:pPr>
        <w:pStyle w:val="Normal.0"/>
      </w:pPr>
      <w:r>
        <w:rPr>
          <w:rFonts w:ascii="Courier New" w:hAnsi="Courier New"/>
          <w:sz w:val="16"/>
          <w:szCs w:val="16"/>
          <w:rtl w:val="0"/>
          <w:lang w:val="en-US"/>
        </w:rPr>
        <w:t>clean_df = titanic_raw_df.drop_duplicates().reset_index(drop=True)</w:t>
      </w:r>
      <w:r>
        <w:rPr>
          <w:rFonts w:ascii="Courier New" w:cs="Courier New" w:hAnsi="Courier New" w:eastAsia="Courier New"/>
          <w:sz w:val="16"/>
          <w:szCs w:val="16"/>
        </w:rPr>
        <w:br w:type="textWrapping"/>
      </w:r>
      <w:r>
        <w:rPr>
          <w:rFonts w:ascii="Courier New" w:hAnsi="Courier New"/>
          <w:sz w:val="16"/>
          <w:szCs w:val="16"/>
          <w:rtl w:val="0"/>
          <w:lang w:val="en-US"/>
        </w:rPr>
        <w:t>clean_df['sex'] = clean_df['sex'].str.lower().str.strip().astype('category')</w:t>
      </w:r>
      <w:r>
        <w:rPr>
          <w:rFonts w:ascii="Courier New" w:cs="Courier New" w:hAnsi="Courier New" w:eastAsia="Courier New"/>
          <w:sz w:val="16"/>
          <w:szCs w:val="16"/>
        </w:rPr>
        <w:br w:type="textWrapping"/>
      </w:r>
      <w:r>
        <w:rPr>
          <w:rFonts w:ascii="Courier New" w:hAnsi="Courier New"/>
          <w:sz w:val="16"/>
          <w:szCs w:val="16"/>
          <w:rtl w:val="0"/>
          <w:lang w:val="en-US"/>
        </w:rPr>
        <w:t>clean_df['embarked'] = clean_df['embarked'].str.upper().str.strip()</w:t>
      </w:r>
      <w:r>
        <w:rPr>
          <w:rFonts w:ascii="Courier New" w:cs="Courier New" w:hAnsi="Courier New" w:eastAsia="Courier New"/>
          <w:sz w:val="16"/>
          <w:szCs w:val="16"/>
        </w:rPr>
        <w:br w:type="textWrapping"/>
        <w:br w:type="textWrapping"/>
      </w:r>
      <w:r>
        <w:rPr>
          <w:rFonts w:ascii="Courier New" w:hAnsi="Courier New"/>
          <w:sz w:val="16"/>
          <w:szCs w:val="16"/>
          <w:rtl w:val="0"/>
          <w:lang w:val="en-US"/>
        </w:rPr>
        <w:t>clean_df['age'] = (</w:t>
      </w:r>
      <w:r>
        <w:rPr>
          <w:rFonts w:ascii="Courier New" w:cs="Courier New" w:hAnsi="Courier New" w:eastAsia="Courier New"/>
          <w:sz w:val="16"/>
          <w:szCs w:val="16"/>
          <w:rtl w:val="0"/>
        </w:rPr>
        <w:br w:type="textWrapping"/>
        <w:t xml:space="preserve">    </w:t>
      </w:r>
      <w:r>
        <w:rPr>
          <w:rFonts w:ascii="Courier New" w:hAnsi="Courier New"/>
          <w:sz w:val="16"/>
          <w:szCs w:val="16"/>
          <w:rtl w:val="0"/>
          <w:lang w:val="en-US"/>
        </w:rPr>
        <w:t>clean_df.groupby(['pclass', 'sex'], observed=True)['age']</w:t>
      </w:r>
      <w:r>
        <w:rPr>
          <w:rFonts w:ascii="Courier New" w:cs="Courier New" w:hAnsi="Courier New" w:eastAsia="Courier New"/>
          <w:sz w:val="16"/>
          <w:szCs w:val="16"/>
          <w:rtl w:val="0"/>
        </w:rPr>
        <w:br w:type="textWrapping"/>
        <w:t xml:space="preserve">    </w:t>
      </w:r>
      <w:r>
        <w:rPr>
          <w:rFonts w:ascii="Courier New" w:hAnsi="Courier New"/>
          <w:sz w:val="16"/>
          <w:szCs w:val="16"/>
          <w:rtl w:val="0"/>
          <w:lang w:val="en-US"/>
        </w:rPr>
        <w:t>.transform(lambda s: s.fillna(s.median()))</w:t>
      </w:r>
      <w:r>
        <w:rPr>
          <w:rFonts w:ascii="Courier New" w:cs="Courier New" w:hAnsi="Courier New" w:eastAsia="Courier New"/>
          <w:sz w:val="16"/>
          <w:szCs w:val="16"/>
        </w:rPr>
        <w:br w:type="textWrapping"/>
      </w:r>
      <w:r>
        <w:rPr>
          <w:rFonts w:ascii="Courier New" w:hAnsi="Courier New"/>
          <w:sz w:val="16"/>
          <w:szCs w:val="16"/>
          <w:rtl w:val="0"/>
          <w:lang w:val="en-US"/>
        </w:rPr>
        <w:t>)</w:t>
      </w:r>
      <w:r>
        <w:rPr>
          <w:rFonts w:ascii="Courier New" w:cs="Courier New" w:hAnsi="Courier New" w:eastAsia="Courier New"/>
          <w:sz w:val="16"/>
          <w:szCs w:val="16"/>
        </w:rPr>
        <w:br w:type="textWrapping"/>
      </w:r>
      <w:r>
        <w:rPr>
          <w:rFonts w:ascii="Courier New" w:hAnsi="Courier New"/>
          <w:sz w:val="16"/>
          <w:szCs w:val="16"/>
          <w:rtl w:val="0"/>
          <w:lang w:val="en-US"/>
        </w:rPr>
        <w:t>clean_df['embarked'] = clean_df['embarked'].fillna(clean_df['embarked'].mode().iloc[0])</w:t>
      </w:r>
      <w:r>
        <w:rPr>
          <w:rFonts w:ascii="Courier New" w:cs="Courier New" w:hAnsi="Courier New" w:eastAsia="Courier New"/>
          <w:sz w:val="16"/>
          <w:szCs w:val="16"/>
        </w:rPr>
        <w:br w:type="textWrapping"/>
      </w:r>
      <w:r>
        <w:rPr>
          <w:rFonts w:ascii="Courier New" w:hAnsi="Courier New"/>
          <w:sz w:val="16"/>
          <w:szCs w:val="16"/>
          <w:rtl w:val="0"/>
          <w:lang w:val="en-US"/>
        </w:rPr>
        <w:t>clean_df['family_size'] = clean_df['sibsp'] + clean_df['parch'] + 1</w:t>
      </w:r>
      <w:r>
        <w:rPr>
          <w:rFonts w:ascii="Courier New" w:cs="Courier New" w:hAnsi="Courier New" w:eastAsia="Courier New"/>
          <w:sz w:val="16"/>
          <w:szCs w:val="16"/>
        </w:rPr>
        <w:br w:type="textWrapping"/>
      </w:r>
      <w:r>
        <w:rPr>
          <w:rFonts w:ascii="Courier New" w:hAnsi="Courier New"/>
          <w:sz w:val="16"/>
          <w:szCs w:val="16"/>
          <w:rtl w:val="0"/>
          <w:lang w:val="en-US"/>
        </w:rPr>
        <w:t>clean_df['is_alone_derived'] = clean_df['family_size'].eq(1)</w:t>
      </w:r>
    </w:p>
    <w:p>
      <w:pPr>
        <w:pStyle w:val="heading 1"/>
      </w:pPr>
      <w:r>
        <w:rPr>
          <w:rtl w:val="0"/>
          <w:lang w:val="en-US"/>
        </w:rPr>
        <w:t>5. Exploratory Data Analysis</w:t>
      </w:r>
    </w:p>
    <w:p>
      <w:pPr>
        <w:pStyle w:val="heading 2"/>
      </w:pPr>
      <w:r>
        <w:rPr>
          <w:rtl w:val="0"/>
          <w:lang w:val="en-US"/>
        </w:rPr>
        <w:t>5.1 Missing-value assessment</w:t>
      </w:r>
    </w:p>
    <w:p>
      <w:pPr>
        <w:pStyle w:val="Normal.0"/>
      </w:pPr>
      <w:r>
        <w:rPr>
          <w:rtl w:val="0"/>
          <w:lang w:val="en-US"/>
        </w:rPr>
        <w:t>Missingness was concentrated in deck and age. The post-cleaning comparison confirms that the selected imputation rules removed missing values from the retained analytical fields, while deck was excluded rather than heavily imputed.</w:t>
      </w:r>
    </w:p>
    <w:p>
      <w:pPr>
        <w:pStyle w:val="Normal.0"/>
        <w:jc w:val="center"/>
      </w:pPr>
      <w:r>
        <mc:AlternateContent>
          <mc:Choice Requires="wpg">
            <w:drawing xmlns:a="http://schemas.openxmlformats.org/drawingml/2006/main">
              <wp:inline distT="0" distB="0" distL="0" distR="0">
                <wp:extent cx="5944941" cy="3238058"/>
                <wp:effectExtent l="0" t="0" r="0" b="0"/>
                <wp:docPr id="1073741827" name="officeArt object" descr="Group"/>
                <wp:cNvGraphicFramePr/>
                <a:graphic xmlns:a="http://schemas.openxmlformats.org/drawingml/2006/main">
                  <a:graphicData uri="http://schemas.microsoft.com/office/word/2010/wordprocessingGroup">
                    <wpg:wgp>
                      <wpg:cNvGrpSpPr/>
                      <wpg:grpSpPr>
                        <a:xfrm>
                          <a:off x="0" y="0"/>
                          <a:ext cx="5944941" cy="3238058"/>
                          <a:chOff x="0" y="0"/>
                          <a:chExt cx="5944940" cy="3238057"/>
                        </a:xfrm>
                      </wpg:grpSpPr>
                      <wps:wsp>
                        <wps:cNvPr id="1073741825" name="Rectangle"/>
                        <wps:cNvSpPr/>
                        <wps:spPr>
                          <a:xfrm>
                            <a:off x="0" y="0"/>
                            <a:ext cx="5944941" cy="3238058"/>
                          </a:xfrm>
                          <a:prstGeom prst="rect">
                            <a:avLst/>
                          </a:prstGeom>
                          <a:solidFill>
                            <a:srgbClr val="FFFFFF"/>
                          </a:solidFill>
                          <a:ln w="12700" cap="flat">
                            <a:noFill/>
                            <a:miter lim="400000"/>
                          </a:ln>
                          <a:effectLst/>
                        </wps:spPr>
                        <wps:bodyPr/>
                      </wps:wsp>
                      <pic:pic xmlns:pic="http://schemas.openxmlformats.org/drawingml/2006/picture">
                        <pic:nvPicPr>
                          <pic:cNvPr id="1073741826" name="image.png" descr="image.png"/>
                          <pic:cNvPicPr>
                            <a:picLocks noChangeAspect="1"/>
                          </pic:cNvPicPr>
                        </pic:nvPicPr>
                        <pic:blipFill>
                          <a:blip r:embed="rId4">
                            <a:extLst/>
                          </a:blip>
                          <a:stretch>
                            <a:fillRect/>
                          </a:stretch>
                        </pic:blipFill>
                        <pic:spPr>
                          <a:xfrm>
                            <a:off x="0" y="0"/>
                            <a:ext cx="5944941" cy="3238058"/>
                          </a:xfrm>
                          <a:prstGeom prst="rect">
                            <a:avLst/>
                          </a:prstGeom>
                          <a:ln w="12700" cap="flat">
                            <a:noFill/>
                            <a:miter lim="400000"/>
                          </a:ln>
                          <a:effectLst/>
                        </pic:spPr>
                      </pic:pic>
                    </wpg:wgp>
                  </a:graphicData>
                </a:graphic>
              </wp:inline>
            </w:drawing>
          </mc:Choice>
          <mc:Fallback>
            <w:pict>
              <v:group id="_x0000_s1026" style="visibility:visible;width:468.1pt;height:255.0pt;" coordorigin="0,0" coordsize="5944941,3238057">
                <v:rect id="_x0000_s1027" style="position:absolute;left:0;top:0;width:5944941;height:3238057;">
                  <v:fill color="#FFFFFF" opacity="100.0%" type="solid"/>
                  <v:stroke on="f" weight="1.0pt" dashstyle="solid" endcap="flat" miterlimit="400.0%" joinstyle="miter" linestyle="single" startarrow="none" startarrowwidth="medium" startarrowlength="medium" endarrow="none" endarrowwidth="medium" endarrowlength="medium"/>
                </v:rect>
                <v:shape id="_x0000_s1028" type="#_x0000_t75" style="position:absolute;left:0;top:0;width:5944941;height:3238057;">
                  <v:imagedata r:id="rId4" o:title="image.png"/>
                </v:shape>
              </v:group>
            </w:pict>
          </mc:Fallback>
        </mc:AlternateContent>
      </w:r>
    </w:p>
    <w:p>
      <w:pPr>
        <w:pStyle w:val="caption"/>
        <w:jc w:val="center"/>
      </w:pPr>
      <w:r>
        <w:rPr>
          <w:rtl w:val="0"/>
          <w:lang w:val="en-US"/>
        </w:rPr>
        <w:t>Figure 1. Missing values before and after cleaning.</w:t>
      </w:r>
    </w:p>
    <w:p>
      <w:pPr>
        <w:pStyle w:val="heading 2"/>
      </w:pPr>
      <w:r>
        <w:rPr>
          <w:rtl w:val="0"/>
          <w:lang w:val="en-US"/>
        </w:rPr>
        <w:t>5.2 Survival by sex and passenger class</w:t>
      </w:r>
    </w:p>
    <w:p>
      <w:pPr>
        <w:pStyle w:val="Normal.0"/>
      </w:pPr>
      <w:r>
        <w:rPr>
          <w:rtl w:val="0"/>
          <w:lang w:val="en-US"/>
        </w:rPr>
        <w:t>Survival varied substantially across sex and class. The grouped bar chart shows that female survival was higher than male survival within each class, while first-class survival was higher than third-class survival within each sex. These are descriptive associations, not causal estimates.</w:t>
      </w:r>
    </w:p>
    <w:p>
      <w:pPr>
        <w:pStyle w:val="Normal.0"/>
        <w:jc w:val="center"/>
      </w:pPr>
      <w:r>
        <mc:AlternateContent>
          <mc:Choice Requires="wpg">
            <w:drawing xmlns:a="http://schemas.openxmlformats.org/drawingml/2006/main">
              <wp:inline distT="0" distB="0" distL="0" distR="0">
                <wp:extent cx="5757365" cy="3545308"/>
                <wp:effectExtent l="0" t="0" r="0" b="0"/>
                <wp:docPr id="1073741830" name="officeArt object" descr="Group"/>
                <wp:cNvGraphicFramePr/>
                <a:graphic xmlns:a="http://schemas.openxmlformats.org/drawingml/2006/main">
                  <a:graphicData uri="http://schemas.microsoft.com/office/word/2010/wordprocessingGroup">
                    <wpg:wgp>
                      <wpg:cNvGrpSpPr/>
                      <wpg:grpSpPr>
                        <a:xfrm>
                          <a:off x="0" y="0"/>
                          <a:ext cx="5757365" cy="3545308"/>
                          <a:chOff x="0" y="0"/>
                          <a:chExt cx="5757364" cy="3545307"/>
                        </a:xfrm>
                      </wpg:grpSpPr>
                      <wps:wsp>
                        <wps:cNvPr id="1073741828" name="Rectangle"/>
                        <wps:cNvSpPr/>
                        <wps:spPr>
                          <a:xfrm>
                            <a:off x="0" y="0"/>
                            <a:ext cx="5757365" cy="3545308"/>
                          </a:xfrm>
                          <a:prstGeom prst="rect">
                            <a:avLst/>
                          </a:prstGeom>
                          <a:solidFill>
                            <a:srgbClr val="FFFFFF"/>
                          </a:solidFill>
                          <a:ln w="12700" cap="flat">
                            <a:noFill/>
                            <a:miter lim="400000"/>
                          </a:ln>
                          <a:effectLst/>
                        </wps:spPr>
                        <wps:bodyPr/>
                      </wps:wsp>
                      <pic:pic xmlns:pic="http://schemas.openxmlformats.org/drawingml/2006/picture">
                        <pic:nvPicPr>
                          <pic:cNvPr id="1073741829" name="image.png" descr="image.png"/>
                          <pic:cNvPicPr>
                            <a:picLocks noChangeAspect="1"/>
                          </pic:cNvPicPr>
                        </pic:nvPicPr>
                        <pic:blipFill>
                          <a:blip r:embed="rId5">
                            <a:extLst/>
                          </a:blip>
                          <a:stretch>
                            <a:fillRect/>
                          </a:stretch>
                        </pic:blipFill>
                        <pic:spPr>
                          <a:xfrm>
                            <a:off x="0" y="0"/>
                            <a:ext cx="5757365" cy="3545308"/>
                          </a:xfrm>
                          <a:prstGeom prst="rect">
                            <a:avLst/>
                          </a:prstGeom>
                          <a:ln w="12700" cap="flat">
                            <a:noFill/>
                            <a:miter lim="400000"/>
                          </a:ln>
                          <a:effectLst/>
                        </pic:spPr>
                      </pic:pic>
                    </wpg:wgp>
                  </a:graphicData>
                </a:graphic>
              </wp:inline>
            </w:drawing>
          </mc:Choice>
          <mc:Fallback>
            <w:pict>
              <v:group id="_x0000_s1029" style="visibility:visible;width:453.3pt;height:279.2pt;" coordorigin="0,0" coordsize="5757364,3545308">
                <v:rect id="_x0000_s1030" style="position:absolute;left:0;top:0;width:5757364;height:3545308;">
                  <v:fill color="#FFFFFF" opacity="100.0%" type="solid"/>
                  <v:stroke on="f" weight="1.0pt" dashstyle="solid" endcap="flat" miterlimit="400.0%" joinstyle="miter" linestyle="single" startarrow="none" startarrowwidth="medium" startarrowlength="medium" endarrow="none" endarrowwidth="medium" endarrowlength="medium"/>
                </v:rect>
                <v:shape id="_x0000_s1031" type="#_x0000_t75" style="position:absolute;left:0;top:0;width:5757364;height:3545308;">
                  <v:imagedata r:id="rId5" o:title="image.png"/>
                </v:shape>
              </v:group>
            </w:pict>
          </mc:Fallback>
        </mc:AlternateContent>
      </w:r>
    </w:p>
    <w:p>
      <w:pPr>
        <w:pStyle w:val="caption"/>
        <w:jc w:val="center"/>
      </w:pPr>
      <w:r>
        <w:rPr>
          <w:rtl w:val="0"/>
          <w:lang w:val="en-US"/>
        </w:rPr>
        <w:t>Figure 2. Survival rate by passenger class and sex.</w:t>
      </w:r>
    </w:p>
    <w:p>
      <w:pPr>
        <w:pStyle w:val="heading 2"/>
      </w:pPr>
      <w:r>
        <w:rPr>
          <w:rtl w:val="0"/>
          <w:lang w:val="en-US"/>
        </w:rPr>
        <w:t>5.3 Age distribution</w:t>
      </w:r>
    </w:p>
    <w:p>
      <w:pPr>
        <w:pStyle w:val="Normal.0"/>
      </w:pPr>
      <w:r>
        <w:rPr>
          <w:rtl w:val="0"/>
          <w:lang w:val="en-US"/>
        </w:rPr>
        <w:t>The age distributions overlap for survivors and non-survivors, but the plot also highlights the presence of children and the broad adult age range. The imputed ages should be treated as suitable for descriptive analysis, not as observed measurements.</w:t>
      </w:r>
    </w:p>
    <w:p>
      <w:pPr>
        <w:pStyle w:val="Normal.0"/>
        <w:jc w:val="center"/>
      </w:pPr>
      <w:r>
        <mc:AlternateContent>
          <mc:Choice Requires="wpg">
            <w:drawing xmlns:a="http://schemas.openxmlformats.org/drawingml/2006/main">
              <wp:inline distT="0" distB="0" distL="0" distR="0">
                <wp:extent cx="5757365" cy="3545308"/>
                <wp:effectExtent l="0" t="0" r="0" b="0"/>
                <wp:docPr id="1073741833" name="officeArt object" descr="Group"/>
                <wp:cNvGraphicFramePr/>
                <a:graphic xmlns:a="http://schemas.openxmlformats.org/drawingml/2006/main">
                  <a:graphicData uri="http://schemas.microsoft.com/office/word/2010/wordprocessingGroup">
                    <wpg:wgp>
                      <wpg:cNvGrpSpPr/>
                      <wpg:grpSpPr>
                        <a:xfrm>
                          <a:off x="0" y="0"/>
                          <a:ext cx="5757365" cy="3545308"/>
                          <a:chOff x="0" y="0"/>
                          <a:chExt cx="5757364" cy="3545307"/>
                        </a:xfrm>
                      </wpg:grpSpPr>
                      <wps:wsp>
                        <wps:cNvPr id="1073741831" name="Rectangle"/>
                        <wps:cNvSpPr/>
                        <wps:spPr>
                          <a:xfrm>
                            <a:off x="0" y="0"/>
                            <a:ext cx="5757365" cy="3545308"/>
                          </a:xfrm>
                          <a:prstGeom prst="rect">
                            <a:avLst/>
                          </a:prstGeom>
                          <a:solidFill>
                            <a:srgbClr val="FFFFFF"/>
                          </a:solidFill>
                          <a:ln w="12700" cap="flat">
                            <a:noFill/>
                            <a:miter lim="400000"/>
                          </a:ln>
                          <a:effectLst/>
                        </wps:spPr>
                        <wps:bodyPr/>
                      </wps:wsp>
                      <pic:pic xmlns:pic="http://schemas.openxmlformats.org/drawingml/2006/picture">
                        <pic:nvPicPr>
                          <pic:cNvPr id="1073741832" name="image.png" descr="image.png"/>
                          <pic:cNvPicPr>
                            <a:picLocks noChangeAspect="1"/>
                          </pic:cNvPicPr>
                        </pic:nvPicPr>
                        <pic:blipFill>
                          <a:blip r:embed="rId6">
                            <a:extLst/>
                          </a:blip>
                          <a:stretch>
                            <a:fillRect/>
                          </a:stretch>
                        </pic:blipFill>
                        <pic:spPr>
                          <a:xfrm>
                            <a:off x="0" y="0"/>
                            <a:ext cx="5757365" cy="3545308"/>
                          </a:xfrm>
                          <a:prstGeom prst="rect">
                            <a:avLst/>
                          </a:prstGeom>
                          <a:ln w="12700" cap="flat">
                            <a:noFill/>
                            <a:miter lim="400000"/>
                          </a:ln>
                          <a:effectLst/>
                        </pic:spPr>
                      </pic:pic>
                    </wpg:wgp>
                  </a:graphicData>
                </a:graphic>
              </wp:inline>
            </w:drawing>
          </mc:Choice>
          <mc:Fallback>
            <w:pict>
              <v:group id="_x0000_s1032" style="visibility:visible;width:453.3pt;height:279.2pt;" coordorigin="0,0" coordsize="5757364,3545308">
                <v:rect id="_x0000_s1033" style="position:absolute;left:0;top:0;width:5757364;height:3545308;">
                  <v:fill color="#FFFFFF" opacity="100.0%" type="solid"/>
                  <v:stroke on="f" weight="1.0pt" dashstyle="solid" endcap="flat" miterlimit="400.0%" joinstyle="miter" linestyle="single" startarrow="none" startarrowwidth="medium" startarrowlength="medium" endarrow="none" endarrowwidth="medium" endarrowlength="medium"/>
                </v:rect>
                <v:shape id="_x0000_s1034" type="#_x0000_t75" style="position:absolute;left:0;top:0;width:5757364;height:3545308;">
                  <v:imagedata r:id="rId6" o:title="image.png"/>
                </v:shape>
              </v:group>
            </w:pict>
          </mc:Fallback>
        </mc:AlternateContent>
      </w:r>
    </w:p>
    <w:p>
      <w:pPr>
        <w:pStyle w:val="caption"/>
        <w:jc w:val="center"/>
      </w:pPr>
      <w:r>
        <w:rPr>
          <w:rtl w:val="0"/>
          <w:lang w:val="en-US"/>
        </w:rPr>
        <w:t>Figure 3. Age distribution by survival outcome.</w:t>
      </w:r>
    </w:p>
    <w:p>
      <w:pPr>
        <w:pStyle w:val="heading 2"/>
      </w:pPr>
      <w:r>
        <w:rPr>
          <w:rtl w:val="0"/>
          <w:lang w:val="en-US"/>
        </w:rPr>
        <w:t>5.4 Numeric relationships</w:t>
      </w:r>
    </w:p>
    <w:p>
      <w:pPr>
        <w:pStyle w:val="Normal.0"/>
      </w:pPr>
      <w:r>
        <w:rPr>
          <w:rtl w:val="0"/>
          <w:lang w:val="en-US"/>
        </w:rPr>
        <w:t>The correlation matrix provides a compact view of linear relationships among numeric variables. Survival is positively associated with fare and negatively associated with passenger-class number, where a lower class number represents a higher class. Family size is mechanically related to sibsp and parch because it was constructed from those fields.</w:t>
      </w:r>
    </w:p>
    <w:p>
      <w:pPr>
        <w:pStyle w:val="Normal.0"/>
        <w:jc w:val="center"/>
      </w:pPr>
      <w:r>
        <mc:AlternateContent>
          <mc:Choice Requires="wpg">
            <w:drawing xmlns:a="http://schemas.openxmlformats.org/drawingml/2006/main">
              <wp:inline distT="0" distB="0" distL="0" distR="0">
                <wp:extent cx="5670161" cy="4886703"/>
                <wp:effectExtent l="0" t="0" r="0" b="0"/>
                <wp:docPr id="1073741836" name="officeArt object" descr="Group"/>
                <wp:cNvGraphicFramePr/>
                <a:graphic xmlns:a="http://schemas.openxmlformats.org/drawingml/2006/main">
                  <a:graphicData uri="http://schemas.microsoft.com/office/word/2010/wordprocessingGroup">
                    <wpg:wgp>
                      <wpg:cNvGrpSpPr/>
                      <wpg:grpSpPr>
                        <a:xfrm>
                          <a:off x="0" y="0"/>
                          <a:ext cx="5670161" cy="4886703"/>
                          <a:chOff x="0" y="0"/>
                          <a:chExt cx="5670160" cy="4886702"/>
                        </a:xfrm>
                      </wpg:grpSpPr>
                      <wps:wsp>
                        <wps:cNvPr id="1073741834" name="Rectangle"/>
                        <wps:cNvSpPr/>
                        <wps:spPr>
                          <a:xfrm>
                            <a:off x="0" y="0"/>
                            <a:ext cx="5670161" cy="4886703"/>
                          </a:xfrm>
                          <a:prstGeom prst="rect">
                            <a:avLst/>
                          </a:prstGeom>
                          <a:solidFill>
                            <a:srgbClr val="FFFFFF"/>
                          </a:solidFill>
                          <a:ln w="12700" cap="flat">
                            <a:noFill/>
                            <a:miter lim="400000"/>
                          </a:ln>
                          <a:effectLst/>
                        </wps:spPr>
                        <wps:bodyPr/>
                      </wps:wsp>
                      <pic:pic xmlns:pic="http://schemas.openxmlformats.org/drawingml/2006/picture">
                        <pic:nvPicPr>
                          <pic:cNvPr id="1073741835" name="image.png" descr="image.png"/>
                          <pic:cNvPicPr>
                            <a:picLocks noChangeAspect="1"/>
                          </pic:cNvPicPr>
                        </pic:nvPicPr>
                        <pic:blipFill>
                          <a:blip r:embed="rId7">
                            <a:extLst/>
                          </a:blip>
                          <a:stretch>
                            <a:fillRect/>
                          </a:stretch>
                        </pic:blipFill>
                        <pic:spPr>
                          <a:xfrm>
                            <a:off x="0" y="0"/>
                            <a:ext cx="5670161" cy="4886703"/>
                          </a:xfrm>
                          <a:prstGeom prst="rect">
                            <a:avLst/>
                          </a:prstGeom>
                          <a:ln w="12700" cap="flat">
                            <a:noFill/>
                            <a:miter lim="400000"/>
                          </a:ln>
                          <a:effectLst/>
                        </pic:spPr>
                      </pic:pic>
                    </wpg:wgp>
                  </a:graphicData>
                </a:graphic>
              </wp:inline>
            </w:drawing>
          </mc:Choice>
          <mc:Fallback>
            <w:pict>
              <v:group id="_x0000_s1035" style="visibility:visible;width:446.5pt;height:384.8pt;" coordorigin="0,0" coordsize="5670160,4886702">
                <v:rect id="_x0000_s1036" style="position:absolute;left:0;top:0;width:5670160;height:4886702;">
                  <v:fill color="#FFFFFF" opacity="100.0%" type="solid"/>
                  <v:stroke on="f" weight="1.0pt" dashstyle="solid" endcap="flat" miterlimit="400.0%" joinstyle="miter" linestyle="single" startarrow="none" startarrowwidth="medium" startarrowlength="medium" endarrow="none" endarrowwidth="medium" endarrowlength="medium"/>
                </v:rect>
                <v:shape id="_x0000_s1037" type="#_x0000_t75" style="position:absolute;left:0;top:0;width:5670160;height:4886702;">
                  <v:imagedata r:id="rId7" o:title="image.png"/>
                </v:shape>
              </v:group>
            </w:pict>
          </mc:Fallback>
        </mc:AlternateContent>
      </w:r>
    </w:p>
    <w:p>
      <w:pPr>
        <w:pStyle w:val="caption"/>
        <w:jc w:val="center"/>
      </w:pPr>
      <w:r>
        <w:rPr>
          <w:rtl w:val="0"/>
          <w:lang w:val="en-US"/>
        </w:rPr>
        <w:t>Figure 4. Correlation matrix for numeric variables.</w:t>
      </w:r>
    </w:p>
    <w:p>
      <w:pPr>
        <w:pStyle w:val="heading 1"/>
      </w:pPr>
      <w:r>
        <w:rPr>
          <w:rtl w:val="0"/>
          <w:lang w:val="en-US"/>
        </w:rPr>
        <w:t>6. Key Insights</w:t>
      </w:r>
    </w:p>
    <w:p>
      <w:pPr>
        <w:pStyle w:val="List Bullet"/>
        <w:numPr>
          <w:ilvl w:val="0"/>
          <w:numId w:val="2"/>
        </w:numPr>
      </w:pPr>
      <w:r>
        <w:rPr>
          <w:rtl w:val="0"/>
          <w:lang w:val="en-US"/>
        </w:rPr>
        <w:t>Overall survival was 41.2%, providing a baseline for later predictive modelling.</w:t>
      </w:r>
    </w:p>
    <w:p>
      <w:pPr>
        <w:pStyle w:val="List Bullet"/>
        <w:numPr>
          <w:ilvl w:val="0"/>
          <w:numId w:val="2"/>
        </w:numPr>
      </w:pPr>
      <w:r>
        <w:rPr>
          <w:rtl w:val="0"/>
          <w:lang w:val="en-US"/>
        </w:rPr>
        <w:t>Female passengers survived at 74.1%, versus 21.6% for male passengers. This is the largest simple group difference examined.</w:t>
      </w:r>
    </w:p>
    <w:p>
      <w:pPr>
        <w:pStyle w:val="List Bullet"/>
        <w:numPr>
          <w:ilvl w:val="0"/>
          <w:numId w:val="2"/>
        </w:numPr>
      </w:pPr>
      <w:r>
        <w:rPr>
          <w:rtl w:val="0"/>
          <w:lang w:val="en-US"/>
        </w:rPr>
        <w:t>First-class survival was 63.1%, versus 25.7% for third class, suggesting a strong relationship between class and outcome.</w:t>
      </w:r>
    </w:p>
    <w:p>
      <w:pPr>
        <w:pStyle w:val="List Bullet"/>
        <w:numPr>
          <w:ilvl w:val="0"/>
          <w:numId w:val="2"/>
        </w:numPr>
      </w:pPr>
      <w:r>
        <w:rPr>
          <w:rtl w:val="0"/>
          <w:lang w:val="en-US"/>
        </w:rPr>
        <w:t>Passengers traveling with at least one family member had a survival rate of 51.2%, compared with 33.6% for passengers traveling alone.</w:t>
      </w:r>
    </w:p>
    <w:p>
      <w:pPr>
        <w:pStyle w:val="List Bullet"/>
        <w:numPr>
          <w:ilvl w:val="0"/>
          <w:numId w:val="2"/>
        </w:numPr>
      </w:pPr>
      <w:r>
        <w:rPr>
          <w:rtl w:val="0"/>
          <w:lang w:val="en-US"/>
        </w:rPr>
        <w:t>The median fare was $26.25 among survivors and $13.00 among non-survivors, consistent with the relationship between fare and passenger class.</w:t>
      </w:r>
    </w:p>
    <w:p>
      <w:pPr>
        <w:pStyle w:val="heading 1"/>
      </w:pPr>
      <w:r>
        <w:rPr>
          <w:rtl w:val="0"/>
          <w:lang w:val="en-US"/>
        </w:rPr>
        <w:t>7. Limitations and Next Steps</w:t>
      </w:r>
    </w:p>
    <w:p>
      <w:pPr>
        <w:pStyle w:val="Normal.0"/>
      </w:pPr>
      <w:r>
        <w:rPr>
          <w:rtl w:val="0"/>
          <w:lang w:val="en-US"/>
        </w:rPr>
        <w:t>Important limitations</w:t>
      </w:r>
    </w:p>
    <w:p>
      <w:pPr>
        <w:pStyle w:val="List Bullet"/>
        <w:numPr>
          <w:ilvl w:val="0"/>
          <w:numId w:val="2"/>
        </w:numPr>
      </w:pPr>
      <w:r>
        <w:rPr>
          <w:rtl w:val="0"/>
          <w:lang w:val="en-US"/>
        </w:rPr>
        <w:t>The dataset is historical and observational, so the descriptive relationships should not be interpreted as causal effects.</w:t>
      </w:r>
    </w:p>
    <w:p>
      <w:pPr>
        <w:pStyle w:val="List Bullet"/>
        <w:numPr>
          <w:ilvl w:val="0"/>
          <w:numId w:val="2"/>
        </w:numPr>
      </w:pPr>
      <w:r>
        <w:rPr>
          <w:rtl w:val="0"/>
          <w:lang w:val="en-US"/>
        </w:rPr>
        <w:t>The exact duplicate rule assumes repeated complete rows are data duplicates. In a real operational dataset, a unique passenger identifier would be preferable.</w:t>
      </w:r>
    </w:p>
    <w:p>
      <w:pPr>
        <w:pStyle w:val="List Bullet"/>
        <w:numPr>
          <w:ilvl w:val="0"/>
          <w:numId w:val="2"/>
        </w:numPr>
      </w:pPr>
      <w:r>
        <w:rPr>
          <w:rtl w:val="0"/>
          <w:lang w:val="en-US"/>
        </w:rPr>
        <w:t>Age imputation introduces estimated values and may reduce natural variability. A sensitivity analysis could compare median imputation with model-based or multiple imputation.</w:t>
      </w:r>
    </w:p>
    <w:p>
      <w:pPr>
        <w:pStyle w:val="List Bullet"/>
        <w:numPr>
          <w:ilvl w:val="0"/>
          <w:numId w:val="2"/>
        </w:numPr>
      </w:pPr>
      <w:r>
        <w:rPr>
          <w:rtl w:val="0"/>
          <w:lang w:val="en-US"/>
        </w:rPr>
        <w:t>Several variables are closely related, such as pclass and fare, so a later predictive model should check multicollinearity and feature importance carefully.</w:t>
      </w:r>
    </w:p>
    <w:p>
      <w:pPr>
        <w:pStyle w:val="Normal.0"/>
      </w:pPr>
      <w:r>
        <w:rPr>
          <w:rtl w:val="0"/>
          <w:lang w:val="en-US"/>
        </w:rPr>
        <w:t>Recommended next steps</w:t>
      </w:r>
    </w:p>
    <w:p>
      <w:pPr>
        <w:pStyle w:val="List Bullet"/>
        <w:numPr>
          <w:ilvl w:val="0"/>
          <w:numId w:val="2"/>
        </w:numPr>
      </w:pPr>
      <w:r>
        <w:rPr>
          <w:rtl w:val="0"/>
          <w:lang w:val="en-US"/>
        </w:rPr>
        <w:t>Build a reproducible train-validation split and establish a baseline classifier.</w:t>
      </w:r>
    </w:p>
    <w:p>
      <w:pPr>
        <w:pStyle w:val="List Bullet"/>
        <w:numPr>
          <w:ilvl w:val="0"/>
          <w:numId w:val="2"/>
        </w:numPr>
      </w:pPr>
      <w:r>
        <w:rPr>
          <w:rtl w:val="0"/>
          <w:lang w:val="en-US"/>
        </w:rPr>
        <w:t>Compare logistic regression, decision tree, and tree-ensemble models.</w:t>
      </w:r>
    </w:p>
    <w:p>
      <w:pPr>
        <w:pStyle w:val="List Bullet"/>
        <w:numPr>
          <w:ilvl w:val="0"/>
          <w:numId w:val="2"/>
        </w:numPr>
      </w:pPr>
      <w:r>
        <w:rPr>
          <w:rtl w:val="0"/>
          <w:lang w:val="en-US"/>
        </w:rPr>
        <w:t>Evaluate performance with accuracy, precision, recall, F1, and ROC-AUC rather than accuracy alone.</w:t>
      </w:r>
    </w:p>
    <w:p>
      <w:pPr>
        <w:pStyle w:val="List Bullet"/>
        <w:numPr>
          <w:ilvl w:val="0"/>
          <w:numId w:val="2"/>
        </w:numPr>
      </w:pPr>
      <w:r>
        <w:rPr>
          <w:rtl w:val="0"/>
          <w:lang w:val="en-US"/>
        </w:rPr>
        <w:t>Use cross-validation and inspect fairness-related performance differences across sex and passenger class.</w:t>
      </w:r>
    </w:p>
    <w:p>
      <w:pPr>
        <w:pStyle w:val="List Bullet"/>
        <w:numPr>
          <w:ilvl w:val="0"/>
          <w:numId w:val="2"/>
        </w:numPr>
      </w:pPr>
      <w:r>
        <w:rPr>
          <w:rtl w:val="0"/>
          <w:lang w:val="en-US"/>
        </w:rPr>
        <w:t>Create a data dictionary and automated validation checks for future versions of the dataset.</w:t>
      </w:r>
    </w:p>
    <w:p>
      <w:pPr>
        <w:pStyle w:val="heading 1"/>
        <w:rPr>
          <w:outline w:val="0"/>
          <w:color w:val="ffffff"/>
          <w:kern w:val="0"/>
          <w:u w:color="ffffff"/>
          <w14:textFill>
            <w14:solidFill>
              <w14:srgbClr w14:val="FFFFFF"/>
            </w14:solidFill>
          </w14:textFill>
        </w:rPr>
      </w:pPr>
      <w:r>
        <w:rPr>
          <w:rtl w:val="0"/>
          <w:lang w:val="en-US"/>
        </w:rPr>
        <w:t>8. Suggested 30</w:t>
      </w:r>
      <w:r>
        <w:rPr>
          <w:rtl w:val="0"/>
          <w:lang w:val="en-US"/>
        </w:rPr>
        <w:t>–</w:t>
      </w:r>
      <w:r>
        <w:rPr>
          <w:rtl w:val="0"/>
          <w:lang w:val="en-US"/>
        </w:rPr>
        <w:t>35 Hour Work Plan</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3312"/>
        <w:gridCol w:w="3312"/>
      </w:tblGrid>
      <w:tr>
        <w:tblPrEx>
          <w:shd w:val="clear" w:color="auto" w:fill="ced7e7"/>
        </w:tblPrEx>
        <w:trPr>
          <w:trHeight w:val="27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Normal.0"/>
              <w:spacing w:after="0" w:line="240" w:lineRule="auto"/>
            </w:pPr>
            <w:r>
              <w:rPr>
                <w:rFonts w:ascii="Aptos" w:cs="Aptos" w:hAnsi="Aptos" w:eastAsia="Aptos"/>
                <w:b w:val="1"/>
                <w:bCs w:val="1"/>
                <w:outline w:val="0"/>
                <w:color w:val="ffffff"/>
                <w:u w:color="ffffff"/>
                <w:shd w:val="nil" w:color="auto" w:fill="auto"/>
                <w:rtl w:val="0"/>
                <w:lang w:val="en-US"/>
                <w14:textFill>
                  <w14:solidFill>
                    <w14:srgbClr w14:val="FFFFFF"/>
                  </w14:solidFill>
                </w14:textFill>
              </w:rPr>
              <w:t>Activity</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Normal.0"/>
              <w:spacing w:after="0" w:line="240" w:lineRule="auto"/>
            </w:pPr>
            <w:r>
              <w:rPr>
                <w:rFonts w:ascii="Aptos" w:cs="Aptos" w:hAnsi="Aptos" w:eastAsia="Aptos"/>
                <w:b w:val="1"/>
                <w:bCs w:val="1"/>
                <w:outline w:val="0"/>
                <w:color w:val="ffffff"/>
                <w:u w:color="ffffff"/>
                <w:shd w:val="nil" w:color="auto" w:fill="auto"/>
                <w:rtl w:val="0"/>
                <w:lang w:val="en-US"/>
                <w14:textFill>
                  <w14:solidFill>
                    <w14:srgbClr w14:val="FFFFFF"/>
                  </w14:solidFill>
                </w14:textFill>
              </w:rPr>
              <w:t>Estimated hours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Normal.0"/>
              <w:spacing w:after="0" w:line="240" w:lineRule="auto"/>
            </w:pPr>
            <w:r>
              <w:rPr>
                <w:rFonts w:ascii="Aptos" w:cs="Aptos" w:hAnsi="Aptos" w:eastAsia="Aptos"/>
                <w:b w:val="1"/>
                <w:bCs w:val="1"/>
                <w:outline w:val="0"/>
                <w:color w:val="ffffff"/>
                <w:u w:color="ffffff"/>
                <w:shd w:val="nil" w:color="auto" w:fill="auto"/>
                <w:rtl w:val="0"/>
                <w:lang w:val="en-US"/>
                <w14:textFill>
                  <w14:solidFill>
                    <w14:srgbClr w14:val="FFFFFF"/>
                  </w14:solidFill>
                </w14:textFill>
              </w:rPr>
              <w:t>Outputs</w:t>
            </w:r>
          </w:p>
        </w:tc>
      </w:tr>
      <w:tr>
        <w:tblPrEx>
          <w:shd w:val="clear" w:color="auto" w:fill="ced7e7"/>
        </w:tblPrEx>
        <w:trPr>
          <w:trHeight w:val="53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Dataset selection and acquisition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3</w:t>
            </w:r>
            <w:r>
              <w:rPr>
                <w:shd w:val="nil" w:color="auto" w:fill="auto"/>
                <w:rtl w:val="0"/>
                <w:lang w:val="en-US"/>
              </w:rPr>
              <w:t>–</w:t>
            </w:r>
            <w:r>
              <w:rPr>
                <w:shd w:val="nil" w:color="auto" w:fill="auto"/>
                <w:rtl w:val="0"/>
                <w:lang w:val="en-US"/>
              </w:rPr>
              <w:t>4</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Source evaluation and reproducible download</w:t>
            </w:r>
          </w:p>
        </w:tc>
      </w:tr>
      <w:tr>
        <w:tblPrEx>
          <w:shd w:val="clear" w:color="auto" w:fill="ced7e7"/>
        </w:tblPrEx>
        <w:trPr>
          <w:trHeight w:val="53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Profiling and cleaning</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8</w:t>
            </w:r>
            <w:r>
              <w:rPr>
                <w:shd w:val="nil" w:color="auto" w:fill="auto"/>
                <w:rtl w:val="0"/>
                <w:lang w:val="en-US"/>
              </w:rPr>
              <w:t>–</w:t>
            </w:r>
            <w:r>
              <w:rPr>
                <w:shd w:val="nil" w:color="auto" w:fill="auto"/>
                <w:rtl w:val="0"/>
                <w:lang w:val="en-US"/>
              </w:rPr>
              <w:t>10</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Quality checks, missingness treatment, type corrections</w:t>
            </w:r>
          </w:p>
        </w:tc>
      </w:tr>
      <w:tr>
        <w:tblPrEx>
          <w:shd w:val="clear" w:color="auto" w:fill="ced7e7"/>
        </w:tblPrEx>
        <w:trPr>
          <w:trHeight w:val="27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EDA and visualizations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10</w:t>
            </w:r>
            <w:r>
              <w:rPr>
                <w:shd w:val="nil" w:color="auto" w:fill="auto"/>
                <w:rtl w:val="0"/>
                <w:lang w:val="en-US"/>
              </w:rPr>
              <w:t>–</w:t>
            </w:r>
            <w:r>
              <w:rPr>
                <w:shd w:val="nil" w:color="auto" w:fill="auto"/>
                <w:rtl w:val="0"/>
                <w:lang w:val="en-US"/>
              </w:rPr>
              <w:t>12</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Summary statistics and four figures</w:t>
            </w:r>
          </w:p>
        </w:tc>
      </w:tr>
      <w:tr>
        <w:tblPrEx>
          <w:shd w:val="clear" w:color="auto" w:fill="ced7e7"/>
        </w:tblPrEx>
        <w:trPr>
          <w:trHeight w:val="27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Interpretation and validation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4</w:t>
            </w:r>
            <w:r>
              <w:rPr>
                <w:shd w:val="nil" w:color="auto" w:fill="auto"/>
                <w:rtl w:val="0"/>
                <w:lang w:val="en-US"/>
              </w:rPr>
              <w:t>–</w:t>
            </w:r>
            <w:r>
              <w:rPr>
                <w:shd w:val="nil" w:color="auto" w:fill="auto"/>
                <w:rtl w:val="0"/>
                <w:lang w:val="en-US"/>
              </w:rPr>
              <w:t>5</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Cross-checks and limitations</w:t>
            </w:r>
          </w:p>
        </w:tc>
      </w:tr>
      <w:tr>
        <w:tblPrEx>
          <w:shd w:val="clear" w:color="auto" w:fill="ced7e7"/>
        </w:tblPrEx>
        <w:trPr>
          <w:trHeight w:val="530"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Documentation and formatting</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5</w:t>
            </w:r>
            <w:r>
              <w:rPr>
                <w:shd w:val="nil" w:color="auto" w:fill="auto"/>
                <w:rtl w:val="0"/>
                <w:lang w:val="en-US"/>
              </w:rPr>
              <w:t>–</w:t>
            </w:r>
            <w:r>
              <w:rPr>
                <w:shd w:val="nil" w:color="auto" w:fill="auto"/>
                <w:rtl w:val="0"/>
                <w:lang w:val="en-US"/>
              </w:rPr>
              <w:t>6</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Final report, code snippets, and exported files</w:t>
            </w:r>
          </w:p>
        </w:tc>
      </w:tr>
    </w:tbl>
    <w:p>
      <w:pPr>
        <w:pStyle w:val="heading 1"/>
        <w:widowControl w:val="0"/>
        <w:spacing w:line="240" w:lineRule="auto"/>
        <w:jc w:val="center"/>
        <w:rPr>
          <w:outline w:val="0"/>
          <w:color w:val="ffffff"/>
          <w:kern w:val="0"/>
          <w:u w:color="ffffff"/>
          <w14:textFill>
            <w14:solidFill>
              <w14:srgbClr w14:val="FFFFFF"/>
            </w14:solidFill>
          </w14:textFill>
        </w:rPr>
      </w:pPr>
    </w:p>
    <w:p>
      <w:pPr>
        <w:pStyle w:val="heading 1"/>
      </w:pPr>
      <w:r>
        <w:rPr>
          <w:rtl w:val="0"/>
          <w:lang w:val="en-US"/>
        </w:rPr>
        <w:t>Appendix A. Reproducibility Checklist</w:t>
      </w:r>
    </w:p>
    <w:p>
      <w:pPr>
        <w:pStyle w:val="List Bullet"/>
        <w:numPr>
          <w:ilvl w:val="0"/>
          <w:numId w:val="2"/>
        </w:numPr>
      </w:pPr>
      <w:r>
        <w:rPr>
          <w:rtl w:val="0"/>
          <w:lang w:val="en-US"/>
        </w:rPr>
        <w:t>Public source URL recorded in the report.</w:t>
      </w:r>
    </w:p>
    <w:p>
      <w:pPr>
        <w:pStyle w:val="List Bullet"/>
        <w:numPr>
          <w:ilvl w:val="0"/>
          <w:numId w:val="2"/>
        </w:numPr>
      </w:pPr>
      <w:r>
        <w:rPr>
          <w:rtl w:val="0"/>
          <w:lang w:val="en-US"/>
        </w:rPr>
        <w:t>Raw row and column counts captured before cleaning.</w:t>
      </w:r>
    </w:p>
    <w:p>
      <w:pPr>
        <w:pStyle w:val="List Bullet"/>
        <w:numPr>
          <w:ilvl w:val="0"/>
          <w:numId w:val="2"/>
        </w:numPr>
      </w:pPr>
      <w:r>
        <w:rPr>
          <w:rtl w:val="0"/>
          <w:lang w:val="en-US"/>
        </w:rPr>
        <w:t>Missing-value counts compared before and after cleaning.</w:t>
      </w:r>
    </w:p>
    <w:p>
      <w:pPr>
        <w:pStyle w:val="List Bullet"/>
        <w:numPr>
          <w:ilvl w:val="0"/>
          <w:numId w:val="2"/>
        </w:numPr>
      </w:pPr>
      <w:r>
        <w:rPr>
          <w:rtl w:val="0"/>
          <w:lang w:val="en-US"/>
        </w:rPr>
        <w:t>Exact duplicate count measured and documented.</w:t>
      </w:r>
    </w:p>
    <w:p>
      <w:pPr>
        <w:pStyle w:val="List Bullet"/>
        <w:numPr>
          <w:ilvl w:val="0"/>
          <w:numId w:val="2"/>
        </w:numPr>
      </w:pPr>
      <w:r>
        <w:rPr>
          <w:rtl w:val="0"/>
          <w:lang w:val="en-US"/>
        </w:rPr>
        <w:t>Cleaning logic written in Python using pandas.</w:t>
      </w:r>
    </w:p>
    <w:p>
      <w:pPr>
        <w:pStyle w:val="List Bullet"/>
        <w:numPr>
          <w:ilvl w:val="0"/>
          <w:numId w:val="2"/>
        </w:numPr>
      </w:pPr>
      <w:r>
        <w:rPr>
          <w:rtl w:val="0"/>
          <w:lang w:val="en-US"/>
        </w:rPr>
        <w:t>Four visualisations saved with descriptive filenames.</w:t>
      </w:r>
    </w:p>
    <w:p>
      <w:pPr>
        <w:pStyle w:val="List Bullet"/>
        <w:numPr>
          <w:ilvl w:val="0"/>
          <w:numId w:val="2"/>
        </w:numPr>
      </w:pPr>
      <w:r>
        <w:rPr>
          <w:rtl w:val="0"/>
          <w:lang w:val="en-US"/>
        </w:rPr>
        <w:t>Cleaned CSV exported alongside the report.</w:t>
      </w:r>
    </w:p>
    <w:sectPr>
      <w:headerReference w:type="default" r:id="rId8"/>
      <w:footerReference w:type="default" r:id="rId9"/>
      <w:pgSz w:w="12240" w:h="15840" w:orient="portrait"/>
      <w:pgMar w:top="1008" w:right="1152" w:bottom="1008" w:left="115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ambria">
    <w:charset w:val="00"/>
    <w:family w:val="roman"/>
    <w:pitch w:val="default"/>
  </w:font>
  <w:font w:name="Calibri">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1"/>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heading 1">
    <w:name w:val="heading 1"/>
    <w:next w:val="Normal.0"/>
    <w:pPr>
      <w:keepNext w:val="1"/>
      <w:keepLines w:val="1"/>
      <w:pageBreakBefore w:val="0"/>
      <w:widowControl w:val="1"/>
      <w:shd w:val="clear" w:color="auto" w:fill="auto"/>
      <w:suppressAutoHyphens w:val="1"/>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1f4e79"/>
      <w:spacing w:val="0"/>
      <w:kern w:val="0"/>
      <w:position w:val="0"/>
      <w:sz w:val="28"/>
      <w:szCs w:val="28"/>
      <w:u w:val="none" w:color="1f4e79"/>
      <w:shd w:val="nil" w:color="auto" w:fill="auto"/>
      <w:vertAlign w:val="baseline"/>
      <w:lang w:val="en-US"/>
      <w14:textFill>
        <w14:solidFill>
          <w14:srgbClr w14:val="1F4E79"/>
        </w14:solidFill>
      </w14:textFill>
    </w:rPr>
  </w:style>
  <w:style w:type="paragraph" w:styleId="No Spacing">
    <w:name w:val="No Spacing"/>
    <w:next w:val="No Spacing"/>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2">
    <w:name w:val="heading 2"/>
    <w:next w:val="Normal.0"/>
    <w:pPr>
      <w:keepNext w:val="1"/>
      <w:keepLines w:val="1"/>
      <w:pageBreakBefore w:val="0"/>
      <w:widowControl w:val="1"/>
      <w:shd w:val="clear" w:color="auto" w:fill="auto"/>
      <w:suppressAutoHyphens w:val="1"/>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2f5496"/>
      <w:spacing w:val="0"/>
      <w:kern w:val="0"/>
      <w:position w:val="0"/>
      <w:sz w:val="26"/>
      <w:szCs w:val="26"/>
      <w:u w:val="none" w:color="2f5496"/>
      <w:shd w:val="nil" w:color="auto" w:fill="auto"/>
      <w:vertAlign w:val="baseline"/>
      <w:lang w:val="en-US"/>
      <w14:textFill>
        <w14:solidFill>
          <w14:srgbClr w14:val="2F5496"/>
        </w14:solidFill>
      </w14:textFill>
    </w:rPr>
  </w:style>
  <w:style w:type="paragraph" w:styleId="caption">
    <w:name w:val="caption"/>
    <w:next w:val="Normal.0"/>
    <w:pPr>
      <w:keepNext w:val="0"/>
      <w:keepLines w:val="0"/>
      <w:pageBreakBefore w:val="0"/>
      <w:widowControl w:val="1"/>
      <w:shd w:val="clear" w:color="auto" w:fill="auto"/>
      <w:suppressAutoHyphens w:val="1"/>
      <w:bidi w:val="0"/>
      <w:spacing w:before="0" w:after="200" w:line="240" w:lineRule="auto"/>
      <w:ind w:left="0" w:right="0" w:firstLine="0"/>
      <w:jc w:val="left"/>
      <w:outlineLvl w:val="9"/>
    </w:pPr>
    <w:rPr>
      <w:rFonts w:ascii="Aptos" w:cs="Aptos" w:hAnsi="Aptos" w:eastAsia="Aptos"/>
      <w:b w:val="1"/>
      <w:bCs w:val="1"/>
      <w:i w:val="0"/>
      <w:iCs w:val="0"/>
      <w:caps w:val="0"/>
      <w:smallCaps w:val="0"/>
      <w:strike w:val="0"/>
      <w:dstrike w:val="0"/>
      <w:outline w:val="0"/>
      <w:color w:val="4f81bd"/>
      <w:spacing w:val="0"/>
      <w:kern w:val="0"/>
      <w:position w:val="0"/>
      <w:sz w:val="18"/>
      <w:szCs w:val="18"/>
      <w:u w:val="none" w:color="4f81bd"/>
      <w:shd w:val="nil" w:color="auto" w:fill="auto"/>
      <w:vertAlign w:val="baseline"/>
      <w:lang w:val="en-US"/>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1"/>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