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Пользовательская инструкция: ЦИФРОВОЙ АССОРТИМЕНТНЫЙ КОМИТЕТ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Орбита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2026-09-23 14:47:53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Глоссарий</w:t>
          </w:r>
          <w:r>
            <w:tab/>
          </w:r>
          <w:r>
            <w:fldChar w:fldCharType="begin"/>
          </w:r>
          <w:r>
            <w:instrText xml:space="preserve"> PAGEREF _Toc256000022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Введение</w:t>
          </w:r>
          <w:r>
            <w:tab/>
          </w:r>
          <w:r>
            <w:fldChar w:fldCharType="begin"/>
          </w:r>
          <w:r>
            <w:instrText xml:space="preserve"> PAGEREF _Toc256000023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Авторизация и начало работы</w:t>
          </w:r>
          <w:r>
            <w:tab/>
          </w:r>
          <w:r>
            <w:fldChar w:fldCharType="begin"/>
          </w:r>
          <w:r>
            <w:instrText xml:space="preserve"> PAGEREF _Toc256000024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Ролевая модель</w:t>
          </w:r>
          <w:r>
            <w:tab/>
          </w:r>
          <w:r>
            <w:fldChar w:fldCharType="begin"/>
          </w:r>
          <w:r>
            <w:instrText xml:space="preserve"> PAGEREF _Toc256000025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Загрузка инициатив в систему</w:t>
          </w:r>
          <w:r>
            <w:tab/>
          </w:r>
          <w:r>
            <w:fldChar w:fldCharType="begin"/>
          </w:r>
          <w:r>
            <w:instrText xml:space="preserve"> PAGEREF _Toc256000026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Загрузка файла с инициативами. Шаблон</w:t>
          </w:r>
          <w:r>
            <w:tab/>
          </w:r>
          <w:r>
            <w:fldChar w:fldCharType="begin"/>
          </w:r>
          <w:r>
            <w:instrText xml:space="preserve"> PAGEREF _Toc256000027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Проверка содержимого файла. Отчет об ошибках</w:t>
          </w:r>
          <w:r>
            <w:tab/>
          </w:r>
          <w:r>
            <w:fldChar w:fldCharType="begin"/>
          </w:r>
          <w:r>
            <w:instrText xml:space="preserve"> PAGEREF _Toc256000028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Просмотр и работа с загруженными данными</w:t>
          </w:r>
          <w:r>
            <w:tab/>
          </w:r>
          <w:r>
            <w:fldChar w:fldCharType="begin"/>
          </w:r>
          <w:r>
            <w:instrText xml:space="preserve"> PAGEREF _Toc256000029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Вкладки и их назначение</w:t>
          </w:r>
          <w:r>
            <w:tab/>
          </w:r>
          <w:r>
            <w:fldChar w:fldCharType="begin"/>
          </w:r>
          <w:r>
            <w:instrText xml:space="preserve"> PAGEREF _Toc256000030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Системные проверки инициатив</w:t>
          </w:r>
          <w:r>
            <w:tab/>
          </w:r>
          <w:r>
            <w:fldChar w:fldCharType="begin"/>
          </w:r>
          <w:r>
            <w:instrText xml:space="preserve"> PAGEREF _Toc256000031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6.2.1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Проверка квот</w:t>
          </w:r>
          <w:r>
            <w:tab/>
          </w:r>
          <w:r>
            <w:fldChar w:fldCharType="begin"/>
          </w:r>
          <w:r>
            <w:instrText xml:space="preserve"> PAGEREF _Toc256000032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6.2.2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Проверка минимального срока нахождения в матрице (90 дней)</w:t>
          </w:r>
          <w:r>
            <w:tab/>
          </w:r>
          <w:r>
            <w:fldChar w:fldCharType="begin"/>
          </w:r>
          <w:r>
            <w:instrText xml:space="preserve"> PAGEREF _Toc256000033 \h </w:instrText>
          </w:r>
          <w:r>
            <w:fldChar w:fldCharType="separate"/>
          </w:r>
          <w:r>
            <w:t>17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Просмотр деталей по макету решения</w:t>
          </w:r>
          <w:r>
            <w:tab/>
          </w:r>
          <w:r>
            <w:fldChar w:fldCharType="begin"/>
          </w:r>
          <w:r>
            <w:instrText xml:space="preserve"> PAGEREF _Toc256000034 \h </w:instrText>
          </w:r>
          <w:r>
            <w:fldChar w:fldCharType="separate"/>
          </w:r>
          <w:r>
            <w:t>17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6.3.1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Проверки</w:t>
          </w:r>
          <w:r>
            <w:tab/>
          </w:r>
          <w:r>
            <w:fldChar w:fldCharType="begin"/>
          </w:r>
          <w:r>
            <w:instrText xml:space="preserve"> PAGEREF _Toc256000035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6.3.2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Инфо</w:t>
          </w:r>
          <w:r>
            <w:tab/>
          </w:r>
          <w:r>
            <w:fldChar w:fldCharType="begin"/>
          </w:r>
          <w:r>
            <w:instrText xml:space="preserve"> PAGEREF _Toc256000036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6.3.3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Показатели</w:t>
          </w:r>
          <w:r>
            <w:tab/>
          </w:r>
          <w:r>
            <w:fldChar w:fldCharType="begin"/>
          </w:r>
          <w:r>
            <w:instrText xml:space="preserve"> PAGEREF _Toc256000037 \h </w:instrText>
          </w:r>
          <w:r>
            <w:fldChar w:fldCharType="separate"/>
          </w:r>
          <w:r>
            <w:t>19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6.3.4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Атрибуты PLU</w:t>
          </w:r>
          <w:r>
            <w:tab/>
          </w:r>
          <w:r>
            <w:fldChar w:fldCharType="begin"/>
          </w:r>
          <w:r>
            <w:instrText xml:space="preserve"> PAGEREF _Toc256000038 \h </w:instrText>
          </w:r>
          <w:r>
            <w:fldChar w:fldCharType="separate"/>
          </w:r>
          <w:r>
            <w:t>19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6.3.5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Ответ ТОРГ</w:t>
          </w:r>
          <w:r>
            <w:tab/>
          </w:r>
          <w:r>
            <w:fldChar w:fldCharType="begin"/>
          </w:r>
          <w:r>
            <w:instrText xml:space="preserve"> PAGEREF _Toc256000039 \h </w:instrText>
          </w:r>
          <w:r>
            <w:fldChar w:fldCharType="separate"/>
          </w:r>
          <w:r>
            <w:t>20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Отправка инициатив на согласование</w:t>
          </w:r>
          <w:r>
            <w:tab/>
          </w:r>
          <w:r>
            <w:fldChar w:fldCharType="begin"/>
          </w:r>
          <w:r>
            <w:instrText xml:space="preserve"> PAGEREF _Toc256000040 \h </w:instrText>
          </w:r>
          <w:r>
            <w:fldChar w:fldCharType="separate"/>
          </w:r>
          <w:r>
            <w:t>21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Согласование инициатив</w:t>
          </w:r>
          <w:r>
            <w:tab/>
          </w:r>
          <w:r>
            <w:fldChar w:fldCharType="begin"/>
          </w:r>
          <w:r>
            <w:instrText xml:space="preserve"> PAGEREF _Toc256000041 \h </w:instrText>
          </w:r>
          <w:r>
            <w:fldChar w:fldCharType="separate"/>
          </w:r>
          <w:r>
            <w:t>22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9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Отправка инициатив в ТОРГ</w:t>
          </w:r>
          <w:r>
            <w:tab/>
          </w:r>
          <w:r>
            <w:fldChar w:fldCharType="begin"/>
          </w:r>
          <w:r>
            <w:instrText xml:space="preserve"> PAGEREF _Toc256000042 \h </w:instrText>
          </w:r>
          <w:r>
            <w:fldChar w:fldCharType="separate"/>
          </w:r>
          <w:r>
            <w:t>23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9.1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Просмотр информации по решению из Decision Tracker</w:t>
          </w:r>
          <w:r>
            <w:tab/>
          </w:r>
          <w:r>
            <w:fldChar w:fldCharType="begin"/>
          </w:r>
          <w:r>
            <w:instrText xml:space="preserve"> PAGEREF _Toc256000043 \h </w:instrText>
          </w:r>
          <w:r>
            <w:fldChar w:fldCharType="separate"/>
          </w:r>
          <w:r>
            <w:t>23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numPr>
          <w:ilvl w:val="0"/>
          <w:numId w:val="33"/>
        </w:numPr>
      </w:pPr>
      <w:bookmarkStart w:id="2" w:name="scroll-bookmark-2"/>
      <w:bookmarkEnd w:id="2"/>
      <w:hyperlink w:anchor="scroll-bookmark-3" w:history="1">
        <w:r>
          <w:rPr>
            <w:rStyle w:val="Hyperlink"/>
          </w:rPr>
          <w:t>Глоссарий</w:t>
        </w:r>
      </w:hyperlink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Введение</w:t>
        </w:r>
      </w:hyperlink>
    </w:p>
    <w:p>
      <w:pPr>
        <w:numPr>
          <w:ilvl w:val="0"/>
          <w:numId w:val="33"/>
        </w:numPr>
      </w:pPr>
      <w:hyperlink w:anchor="scroll-bookmark-5" w:history="1">
        <w:r>
          <w:rPr>
            <w:rStyle w:val="Hyperlink"/>
          </w:rPr>
          <w:t>Авторизация и начало работы</w:t>
        </w:r>
      </w:hyperlink>
    </w:p>
    <w:p>
      <w:pPr>
        <w:numPr>
          <w:ilvl w:val="0"/>
          <w:numId w:val="33"/>
        </w:numPr>
      </w:pPr>
      <w:hyperlink w:anchor="scroll-bookmark-6" w:history="1">
        <w:r>
          <w:rPr>
            <w:rStyle w:val="Hyperlink"/>
          </w:rPr>
          <w:t>Ролевая модель</w:t>
        </w:r>
      </w:hyperlink>
    </w:p>
    <w:p>
      <w:pPr>
        <w:numPr>
          <w:ilvl w:val="0"/>
          <w:numId w:val="33"/>
        </w:numPr>
      </w:pPr>
      <w:hyperlink w:anchor="scroll-bookmark-7" w:history="1">
        <w:r>
          <w:rPr>
            <w:rStyle w:val="Hyperlink"/>
          </w:rPr>
          <w:t>Загрузка инициатив в систему</w:t>
        </w:r>
      </w:hyperlink>
    </w:p>
    <w:p>
      <w:pPr>
        <w:numPr>
          <w:ilvl w:val="1"/>
          <w:numId w:val="34"/>
        </w:numPr>
      </w:pPr>
      <w:hyperlink w:anchor="scroll-bookmark-8" w:history="1">
        <w:r>
          <w:rPr>
            <w:rStyle w:val="Hyperlink"/>
          </w:rPr>
          <w:t>Загрузка файла с инициативами. Шаблон</w:t>
        </w:r>
      </w:hyperlink>
    </w:p>
    <w:p>
      <w:pPr>
        <w:numPr>
          <w:ilvl w:val="1"/>
          <w:numId w:val="34"/>
        </w:numPr>
      </w:pPr>
      <w:hyperlink w:anchor="scroll-bookmark-9" w:history="1">
        <w:r>
          <w:rPr>
            <w:rStyle w:val="Hyperlink"/>
          </w:rPr>
          <w:t>Проверка содержимого файла. Отчет об ошибках</w:t>
        </w:r>
      </w:hyperlink>
    </w:p>
    <w:p>
      <w:pPr>
        <w:numPr>
          <w:ilvl w:val="0"/>
          <w:numId w:val="33"/>
        </w:numPr>
      </w:pPr>
      <w:hyperlink w:anchor="scroll-bookmark-10" w:history="1">
        <w:r>
          <w:rPr>
            <w:rStyle w:val="Hyperlink"/>
          </w:rPr>
          <w:t>Просмотр и работа с загруженными данными</w:t>
        </w:r>
      </w:hyperlink>
    </w:p>
    <w:p>
      <w:pPr>
        <w:numPr>
          <w:ilvl w:val="1"/>
          <w:numId w:val="35"/>
        </w:numPr>
      </w:pPr>
      <w:hyperlink w:anchor="scroll-bookmark-11" w:history="1">
        <w:r>
          <w:rPr>
            <w:rStyle w:val="Hyperlink"/>
          </w:rPr>
          <w:t>Вкладки и их назначение</w:t>
        </w:r>
      </w:hyperlink>
    </w:p>
    <w:p>
      <w:pPr>
        <w:numPr>
          <w:ilvl w:val="1"/>
          <w:numId w:val="35"/>
        </w:numPr>
      </w:pPr>
      <w:hyperlink w:anchor="scroll-bookmark-12" w:history="1">
        <w:r>
          <w:rPr>
            <w:rStyle w:val="Hyperlink"/>
          </w:rPr>
          <w:t>Системные проверки инициатив</w:t>
        </w:r>
      </w:hyperlink>
    </w:p>
    <w:p>
      <w:pPr>
        <w:numPr>
          <w:ilvl w:val="2"/>
          <w:numId w:val="36"/>
        </w:numPr>
      </w:pPr>
      <w:hyperlink w:anchor="scroll-bookmark-13" w:history="1">
        <w:r>
          <w:rPr>
            <w:rStyle w:val="Hyperlink"/>
          </w:rPr>
          <w:t>Проверка квот</w:t>
        </w:r>
      </w:hyperlink>
    </w:p>
    <w:p>
      <w:pPr>
        <w:numPr>
          <w:ilvl w:val="2"/>
          <w:numId w:val="36"/>
        </w:numPr>
      </w:pPr>
      <w:hyperlink w:anchor="scroll-bookmark-14" w:history="1">
        <w:r>
          <w:rPr>
            <w:rStyle w:val="Hyperlink"/>
          </w:rPr>
          <w:t>Проверка минимального срока нахождения в матрице (90 дней)</w:t>
        </w:r>
      </w:hyperlink>
    </w:p>
    <w:p>
      <w:pPr>
        <w:numPr>
          <w:ilvl w:val="1"/>
          <w:numId w:val="35"/>
        </w:numPr>
      </w:pPr>
      <w:hyperlink w:anchor="scroll-bookmark-15" w:history="1">
        <w:r>
          <w:rPr>
            <w:rStyle w:val="Hyperlink"/>
          </w:rPr>
          <w:t>Просмотр деталей по макету решения</w:t>
        </w:r>
      </w:hyperlink>
    </w:p>
    <w:p>
      <w:pPr>
        <w:numPr>
          <w:ilvl w:val="2"/>
          <w:numId w:val="37"/>
        </w:numPr>
      </w:pPr>
      <w:hyperlink w:anchor="scroll-bookmark-16" w:history="1">
        <w:r>
          <w:rPr>
            <w:rStyle w:val="Hyperlink"/>
          </w:rPr>
          <w:t>Проверки</w:t>
        </w:r>
      </w:hyperlink>
    </w:p>
    <w:p>
      <w:pPr>
        <w:numPr>
          <w:ilvl w:val="2"/>
          <w:numId w:val="37"/>
        </w:numPr>
      </w:pPr>
      <w:hyperlink w:anchor="scroll-bookmark-17" w:history="1">
        <w:r>
          <w:rPr>
            <w:rStyle w:val="Hyperlink"/>
          </w:rPr>
          <w:t>Инфо</w:t>
        </w:r>
      </w:hyperlink>
    </w:p>
    <w:p>
      <w:pPr>
        <w:numPr>
          <w:ilvl w:val="2"/>
          <w:numId w:val="37"/>
        </w:numPr>
      </w:pPr>
      <w:hyperlink w:anchor="scroll-bookmark-18" w:history="1">
        <w:r>
          <w:rPr>
            <w:rStyle w:val="Hyperlink"/>
          </w:rPr>
          <w:t>Показатели</w:t>
        </w:r>
      </w:hyperlink>
    </w:p>
    <w:p>
      <w:pPr>
        <w:numPr>
          <w:ilvl w:val="2"/>
          <w:numId w:val="37"/>
        </w:numPr>
      </w:pPr>
      <w:hyperlink w:anchor="scroll-bookmark-19" w:history="1">
        <w:r>
          <w:rPr>
            <w:rStyle w:val="Hyperlink"/>
          </w:rPr>
          <w:t>Атрибуты PLU</w:t>
        </w:r>
      </w:hyperlink>
    </w:p>
    <w:p>
      <w:pPr>
        <w:numPr>
          <w:ilvl w:val="2"/>
          <w:numId w:val="37"/>
        </w:numPr>
      </w:pPr>
      <w:hyperlink w:anchor="scroll-bookmark-20" w:history="1">
        <w:r>
          <w:rPr>
            <w:rStyle w:val="Hyperlink"/>
          </w:rPr>
          <w:t>Ответ ТОРГ</w:t>
        </w:r>
      </w:hyperlink>
    </w:p>
    <w:p>
      <w:pPr>
        <w:numPr>
          <w:ilvl w:val="0"/>
          <w:numId w:val="33"/>
        </w:numPr>
      </w:pPr>
      <w:hyperlink w:anchor="scroll-bookmark-21" w:history="1">
        <w:r>
          <w:rPr>
            <w:rStyle w:val="Hyperlink"/>
          </w:rPr>
          <w:t>Отправка инициатив на согласование</w:t>
        </w:r>
      </w:hyperlink>
    </w:p>
    <w:p>
      <w:pPr>
        <w:numPr>
          <w:ilvl w:val="0"/>
          <w:numId w:val="33"/>
        </w:numPr>
      </w:pPr>
      <w:hyperlink w:anchor="scroll-bookmark-22" w:history="1">
        <w:r>
          <w:rPr>
            <w:rStyle w:val="Hyperlink"/>
          </w:rPr>
          <w:t>Согласование инициатив</w:t>
        </w:r>
      </w:hyperlink>
    </w:p>
    <w:p>
      <w:pPr>
        <w:numPr>
          <w:ilvl w:val="0"/>
          <w:numId w:val="33"/>
        </w:numPr>
      </w:pPr>
      <w:hyperlink w:anchor="scroll-bookmark-23" w:history="1">
        <w:r>
          <w:rPr>
            <w:rStyle w:val="Hyperlink"/>
          </w:rPr>
          <w:t>Отправка инициатив в ТОРГ</w:t>
        </w:r>
      </w:hyperlink>
    </w:p>
    <w:p>
      <w:pPr>
        <w:numPr>
          <w:ilvl w:val="1"/>
          <w:numId w:val="38"/>
        </w:numPr>
      </w:pPr>
      <w:hyperlink w:anchor="scroll-bookmark-24" w:history="1">
        <w:r>
          <w:rPr>
            <w:rStyle w:val="Hyperlink"/>
          </w:rPr>
          <w:t>Просмотр информации по решению из Decision Tracker</w:t>
        </w:r>
      </w:hyperlink>
    </w:p>
    <w:p/>
    <w:p>
      <w:pPr>
        <w:pStyle w:val="Heading1"/>
      </w:pPr>
      <w:bookmarkStart w:id="3" w:name="scroll-bookmark-3"/>
      <w:bookmarkStart w:id="4" w:name="_Toc256000022"/>
      <w:r>
        <w:t>Глоссарий</w:t>
      </w:r>
      <w:bookmarkEnd w:id="4"/>
      <w:bookmarkEnd w:id="3"/>
    </w:p>
    <w:p>
      <w:pPr>
        <w:pStyle w:val="Heading1"/>
      </w:pPr>
      <w:bookmarkStart w:id="5" w:name="scroll-bookmark-4"/>
      <w:bookmarkStart w:id="6" w:name="_Toc256000023"/>
      <w:r>
        <w:t>Введение</w:t>
      </w:r>
      <w:bookmarkEnd w:id="6"/>
      <w:bookmarkEnd w:id="5"/>
    </w:p>
    <w:p>
      <w:r>
        <w:t>Инструмент Цифрового АК предназначен для процедуры внесения изменений в Ассортиментную матрицу, которая включает в себя несколько этапов:</w:t>
      </w:r>
    </w:p>
    <w:p>
      <w:pPr>
        <w:numPr>
          <w:ilvl w:val="0"/>
          <w:numId w:val="39"/>
        </w:numPr>
      </w:pPr>
      <w:r>
        <w:t>Создание инициативы на ввод/вывод/расширение УА/сужение УА товара в определенной географии</w:t>
      </w:r>
    </w:p>
    <w:p>
      <w:pPr>
        <w:numPr>
          <w:ilvl w:val="0"/>
          <w:numId w:val="39"/>
        </w:numPr>
      </w:pPr>
      <w:r>
        <w:t>Автоматическая проверка инициативы на соблюдение бизнес-логики</w:t>
      </w:r>
    </w:p>
    <w:p>
      <w:pPr>
        <w:numPr>
          <w:ilvl w:val="0"/>
          <w:numId w:val="39"/>
        </w:numPr>
      </w:pPr>
      <w:r>
        <w:t>Автоматическое обогащение инициативы дополнительными данными</w:t>
      </w:r>
    </w:p>
    <w:p>
      <w:pPr>
        <w:numPr>
          <w:ilvl w:val="0"/>
          <w:numId w:val="39"/>
        </w:numPr>
      </w:pPr>
      <w:r>
        <w:t>Согласование инициативы ответственным лицом</w:t>
      </w:r>
    </w:p>
    <w:p>
      <w:pPr>
        <w:numPr>
          <w:ilvl w:val="0"/>
          <w:numId w:val="39"/>
        </w:numPr>
      </w:pPr>
      <w:r>
        <w:t>Внедрение инициативы (отправка в ТОРГ)</w:t>
      </w:r>
    </w:p>
    <w:p>
      <w:pPr>
        <w:pStyle w:val="Heading1"/>
      </w:pPr>
      <w:bookmarkStart w:id="7" w:name="scroll-bookmark-5"/>
      <w:bookmarkStart w:id="8" w:name="_Toc256000024"/>
      <w:r>
        <w:t>Авторизация и начало работы</w:t>
      </w:r>
      <w:bookmarkEnd w:id="8"/>
      <w:bookmarkEnd w:id="7"/>
    </w:p>
    <w:p>
      <w:r>
        <w:t xml:space="preserve">Для начала работы в инструменте перейдите по ссылке </w:t>
      </w:r>
      <w:hyperlink r:id="rId11" w:history="1">
        <w:r>
          <w:rPr>
            <w:rStyle w:val="Hyperlink"/>
          </w:rPr>
          <w:t>https://man.staff.orbita.x5.ru/</w:t>
        </w:r>
      </w:hyperlink>
    </w:p>
    <w:p>
      <w:r>
        <w:t>В окне авторизации введите свой корпоративный логин и пароль.</w:t>
      </w:r>
    </w:p>
    <w:p>
      <w:r>
        <w:drawing>
          <wp:inline>
            <wp:extent cx="3206308" cy="238125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630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Откроется Главная страница приложения.</w:t>
      </w:r>
    </w:p>
    <w:p>
      <w:r>
        <w:drawing>
          <wp:inline>
            <wp:extent cx="4502899" cy="23812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289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При возникновении проблем с правами доступа обращайтесь в </w:t>
      </w:r>
      <w:hyperlink r:id="rId14" w:history="1">
        <w:r>
          <w:rPr>
            <w:rStyle w:val="Hyperlink"/>
          </w:rPr>
          <w:t>чат</w:t>
        </w:r>
      </w:hyperlink>
      <w:r>
        <w:t>.</w:t>
      </w:r>
    </w:p>
    <w:p>
      <w:pPr>
        <w:pStyle w:val="Heading1"/>
      </w:pPr>
      <w:bookmarkStart w:id="9" w:name="scroll-bookmark-6"/>
      <w:bookmarkStart w:id="10" w:name="_Toc256000025"/>
      <w:r>
        <w:t>Ролевая модель</w:t>
      </w:r>
      <w:bookmarkEnd w:id="10"/>
      <w:bookmarkEnd w:id="9"/>
    </w:p>
    <w:p>
      <w:r>
        <w:t>Права доступа в инструменте определены в соответствии с корпоративными должностями пользователей.</w:t>
      </w:r>
    </w:p>
    <w:p>
      <w:r>
        <w:t>При входе система автоматически проверяет табельный номер сотрудника и предоставляет доступ к данным и функциям в рамках торговой сети, территории и финкода.</w:t>
      </w:r>
      <w:r>
        <w:br/>
      </w:r>
      <w:r>
        <w:t>Пользователю может быть доступен функционал:</w:t>
      </w:r>
    </w:p>
    <w:p>
      <w:pPr>
        <w:numPr>
          <w:ilvl w:val="0"/>
          <w:numId w:val="40"/>
        </w:numPr>
      </w:pPr>
      <w:r>
        <w:t>создание инициативы</w:t>
      </w:r>
    </w:p>
    <w:p>
      <w:pPr>
        <w:numPr>
          <w:ilvl w:val="0"/>
          <w:numId w:val="40"/>
        </w:numPr>
      </w:pPr>
      <w:r>
        <w:t>просмотра инициативы</w:t>
      </w:r>
    </w:p>
    <w:p>
      <w:pPr>
        <w:numPr>
          <w:ilvl w:val="0"/>
          <w:numId w:val="40"/>
        </w:numPr>
      </w:pPr>
      <w:r>
        <w:t>отправка инициативы на согласование</w:t>
      </w:r>
    </w:p>
    <w:p>
      <w:pPr>
        <w:numPr>
          <w:ilvl w:val="0"/>
          <w:numId w:val="40"/>
        </w:numPr>
      </w:pPr>
      <w:r>
        <w:t>согласование инициативы</w:t>
      </w:r>
    </w:p>
    <w:p>
      <w:pPr>
        <w:numPr>
          <w:ilvl w:val="0"/>
          <w:numId w:val="40"/>
        </w:numPr>
      </w:pPr>
      <w:r>
        <w:t>отправка инициативы в ТОРГ</w:t>
      </w:r>
    </w:p>
    <w:p>
      <w:r>
        <w:t>При возникновении проблем с правами доступа обращайтесь в </w:t>
      </w:r>
      <w:hyperlink r:id="rId14" w:history="1">
        <w:r>
          <w:rPr>
            <w:rStyle w:val="Hyperlink"/>
          </w:rPr>
          <w:t>чат</w:t>
        </w:r>
      </w:hyperlink>
      <w:r>
        <w:t>.</w:t>
      </w:r>
    </w:p>
    <w:p>
      <w:pPr>
        <w:pStyle w:val="Heading1"/>
      </w:pPr>
      <w:bookmarkStart w:id="11" w:name="scroll-bookmark-7"/>
      <w:bookmarkStart w:id="12" w:name="_Toc256000026"/>
      <w:r>
        <w:t>Загрузка инициатив в систему</w:t>
      </w:r>
      <w:bookmarkEnd w:id="12"/>
      <w:bookmarkEnd w:id="11"/>
    </w:p>
    <w:p>
      <w:pPr>
        <w:pStyle w:val="Heading2"/>
      </w:pPr>
      <w:bookmarkStart w:id="13" w:name="scroll-bookmark-8"/>
      <w:bookmarkStart w:id="14" w:name="_Toc256000027"/>
      <w:r>
        <w:t>Загрузка файла с инициативами. Шаблон</w:t>
      </w:r>
      <w:bookmarkEnd w:id="14"/>
      <w:bookmarkEnd w:id="13"/>
    </w:p>
    <w:p>
      <w:r>
        <w:t>Для загрузки инициативы следует с Главной страницы перейти в раздел "Инициативы", а затем во вкладку "Загрузка инициатив".</w:t>
      </w:r>
    </w:p>
    <w:p>
      <w:pPr>
        <w:spacing w:beforeAutospacing="1"/>
      </w:pPr>
      <w:r>
        <w:drawing>
          <wp:inline>
            <wp:extent cx="5395595" cy="2193331"/>
            <wp:effectExtent l="19050" t="19050" r="28575" b="1905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193331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spacing w:beforeAutospacing="1"/>
      </w:pPr>
      <w:r>
        <w:drawing>
          <wp:inline>
            <wp:extent cx="4962525" cy="2381250"/>
            <wp:effectExtent l="19050" t="19050" r="28575" b="19050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38125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r>
        <w:t>Загрузка инициатив производится при помощи стандартного шаблона, который можно скачать на компьютер, нажав кнопку "Скачать шаблон".</w:t>
      </w:r>
    </w:p>
    <w:p>
      <w:pPr>
        <w:spacing w:beforeAutospacing="1"/>
      </w:pPr>
      <w:r>
        <w:drawing>
          <wp:inline>
            <wp:extent cx="5395595" cy="1257128"/>
            <wp:effectExtent l="19050" t="19050" r="28575" b="19050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25712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r>
        <w:t>Шаблон имеет следующие поля для заполнения:</w:t>
      </w:r>
    </w:p>
    <w:p>
      <w:pPr>
        <w:spacing w:beforeAutospacing="1"/>
      </w:pPr>
      <w:r>
        <w:drawing>
          <wp:inline>
            <wp:extent cx="5395595" cy="752734"/>
            <wp:effectExtent l="19050" t="19050" r="28575" b="19050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752734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r>
        <w:t>Обязательные для заполнения ячейки подсвечиваются жёлтым цветом автоматически — в зависимости от выбранной торговой сети, статуса и типа решения. Встроенные справочники актуализируются ежедневно, поэтому рекомендуется периодически скачивать свежий шаблон.</w:t>
      </w:r>
    </w:p>
    <w:tbl>
      <w:tblPr>
        <w:tblStyle w:val="ScrollInfo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numPr>
                <w:ilvl w:val="0"/>
                <w:numId w:val="41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t>Рекомендуем придерживаться размера файла не более 3 МБ (2-3 тысячи строк).</w:t>
            </w:r>
          </w:p>
          <w:p>
            <w:pPr>
              <w:numPr>
                <w:ilvl w:val="0"/>
                <w:numId w:val="41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rPr>
                <w:color w:val="172B4D"/>
              </w:rPr>
              <w:t>Не пытайтесь изменить структуру шаблона (удалять, переименовывать или добавлять столбцы/листы), это приведет к ошибке при загрузке файла.</w:t>
            </w:r>
          </w:p>
        </w:tc>
      </w:tr>
    </w:tbl>
    <w:p>
      <w:r>
        <w:t>Поддерживается создание инициатив по торговой сети "Пятерочка" в разрезе "на Ассортиментный кластер", по следующим типам ассортимента (Тип решения DT):</w:t>
      </w:r>
    </w:p>
    <w:p>
      <w:pPr>
        <w:numPr>
          <w:ilvl w:val="0"/>
          <w:numId w:val="42"/>
        </w:numPr>
      </w:pPr>
      <w:r>
        <w:rPr>
          <w:i/>
          <w:color w:val="172B4D"/>
        </w:rPr>
        <w:t>Общий ассортимент</w:t>
      </w:r>
    </w:p>
    <w:p>
      <w:pPr>
        <w:numPr>
          <w:ilvl w:val="0"/>
          <w:numId w:val="42"/>
        </w:numPr>
      </w:pPr>
      <w:r>
        <w:rPr>
          <w:i/>
          <w:color w:val="172B4D"/>
        </w:rPr>
        <w:t>Временный ассортимент</w:t>
      </w:r>
    </w:p>
    <w:p>
      <w:pPr>
        <w:numPr>
          <w:ilvl w:val="0"/>
          <w:numId w:val="42"/>
        </w:numPr>
      </w:pPr>
      <w:r>
        <w:rPr>
          <w:i/>
          <w:color w:val="172B4D"/>
        </w:rPr>
        <w:t>Блокировка (временная)</w:t>
      </w:r>
    </w:p>
    <w:p>
      <w:pPr>
        <w:numPr>
          <w:ilvl w:val="0"/>
          <w:numId w:val="42"/>
        </w:numPr>
      </w:pPr>
      <w:r>
        <w:rPr>
          <w:i/>
          <w:color w:val="172B4D"/>
        </w:rPr>
        <w:t>Общесырьевой ассортимент</w:t>
      </w:r>
    </w:p>
    <w:p>
      <w:pPr>
        <w:numPr>
          <w:ilvl w:val="0"/>
          <w:numId w:val="42"/>
        </w:numPr>
      </w:pPr>
      <w:r>
        <w:rPr>
          <w:i/>
          <w:color w:val="172B4D"/>
        </w:rPr>
        <w:t>Общепроизводственный ассортимент</w:t>
      </w:r>
    </w:p>
    <w:tbl>
      <w:tblPr>
        <w:tblStyle w:val="ScrollInfo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Для создания решений в разрезе "на магазин" (</w:t>
            </w:r>
            <w:r>
              <w:rPr>
                <w:i/>
              </w:rPr>
              <w:t>Индивидуальный тип ассортимента</w:t>
            </w:r>
            <w:r>
              <w:t xml:space="preserve"> и подобные ему) следует пройти стандартную процедуру Ассортиментного комитета, а затем загрузить решение через инструмент </w:t>
            </w:r>
            <w:hyperlink r:id="rId19" w:history="1">
              <w:r>
                <w:rPr>
                  <w:rStyle w:val="Hyperlink"/>
                </w:rPr>
                <w:t>Реестр решений</w:t>
              </w:r>
            </w:hyperlink>
            <w:r>
              <w:t>.</w:t>
            </w:r>
          </w:p>
        </w:tc>
      </w:tr>
    </w:tbl>
    <w:p>
      <w:r>
        <w:rPr>
          <w:b/>
        </w:rPr>
        <w:t>Для загрузки заполненного шаблона следует:</w:t>
      </w:r>
    </w:p>
    <w:p>
      <w:pPr>
        <w:numPr>
          <w:ilvl w:val="0"/>
          <w:numId w:val="43"/>
        </w:numPr>
      </w:pPr>
      <w:r>
        <w:t>На вкладке "Загрузка инициатив" осуществить выбор файла (перетаскиванием либо выбором файла по кнопке "выберите на компьютере")</w:t>
      </w:r>
    </w:p>
    <w:p>
      <w:pPr>
        <w:numPr>
          <w:ilvl w:val="0"/>
          <w:numId w:val="43"/>
        </w:numPr>
      </w:pPr>
      <w:r>
        <w:t>Наименование файла отобразится в окне.</w:t>
      </w:r>
    </w:p>
    <w:p>
      <w:pPr>
        <w:numPr>
          <w:ilvl w:val="0"/>
          <w:numId w:val="43"/>
        </w:numPr>
      </w:pPr>
      <w:r>
        <w:t>Нажать кнопку "Загрузить".</w:t>
      </w:r>
    </w:p>
    <w:p>
      <w:pPr>
        <w:spacing w:beforeAutospacing="1"/>
      </w:pPr>
      <w:r>
        <w:drawing>
          <wp:inline>
            <wp:extent cx="5395595" cy="2016291"/>
            <wp:effectExtent l="19050" t="19050" r="28575" b="19050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016291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15" w:name="scroll-bookmark-9"/>
      <w:bookmarkStart w:id="16" w:name="_Toc256000028"/>
      <w:r>
        <w:t>Проверка содержимого файла. Отчет об ошибках</w:t>
      </w:r>
      <w:bookmarkEnd w:id="16"/>
      <w:bookmarkEnd w:id="15"/>
    </w:p>
    <w:p>
      <w:r>
        <w:t>После выбора файла и нажатия кнопки "Загрузить" система автоматически проверяет его содержимое.</w:t>
      </w:r>
    </w:p>
    <w:p>
      <w:pPr>
        <w:numPr>
          <w:ilvl w:val="0"/>
          <w:numId w:val="44"/>
        </w:numPr>
      </w:pPr>
      <w:r>
        <w:t>Выполняются технические проверки (формат, размер)</w:t>
      </w:r>
    </w:p>
    <w:p>
      <w:pPr>
        <w:numPr>
          <w:ilvl w:val="0"/>
          <w:numId w:val="44"/>
        </w:numPr>
      </w:pPr>
      <w:r>
        <w:t>Выполняется проверка бизнес-логики: заполнены ли обязательные поля, соответствуют ли данные справочникам, нет ли противоречий в географических параметрах и дубликатов.</w:t>
      </w:r>
    </w:p>
    <w:p>
      <w:pPr>
        <w:numPr>
          <w:ilvl w:val="0"/>
          <w:numId w:val="44"/>
        </w:numPr>
      </w:pPr>
      <w:r>
        <w:t>Во время проверок отображается статус "На проверке".</w:t>
      </w:r>
    </w:p>
    <w:p>
      <w:pPr>
        <w:spacing w:beforeAutospacing="1"/>
      </w:pPr>
      <w:r>
        <w:drawing>
          <wp:inline>
            <wp:extent cx="4657725" cy="2381250"/>
            <wp:effectExtent l="19050" t="19050" r="28575" b="19050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38125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r>
        <w:rPr>
          <w:b/>
        </w:rPr>
        <w:t>Если все строки прошли проверку:</w:t>
      </w:r>
    </w:p>
    <w:p>
      <w:pPr>
        <w:numPr>
          <w:ilvl w:val="0"/>
          <w:numId w:val="45"/>
        </w:numPr>
      </w:pPr>
      <w:r>
        <w:t>В истории загруженных файлов появляется запись со статусом «Загружено», а имя файла становится гиперссылкой для скачивания исходного документа.</w:t>
      </w:r>
    </w:p>
    <w:p>
      <w:pPr>
        <w:numPr>
          <w:ilvl w:val="0"/>
          <w:numId w:val="45"/>
        </w:numPr>
      </w:pPr>
      <w:r>
        <w:t>Инициативы загружаются в систему.</w:t>
      </w:r>
    </w:p>
    <w:p>
      <w:r>
        <w:rPr>
          <w:b/>
        </w:rPr>
        <w:t>Если в файле найдены ошибки:</w:t>
      </w:r>
    </w:p>
    <w:p>
      <w:pPr>
        <w:numPr>
          <w:ilvl w:val="0"/>
          <w:numId w:val="46"/>
        </w:numPr>
      </w:pPr>
      <w:r>
        <w:t>Ни одна строка не загружается в систему, даже если часть данных корректна.</w:t>
      </w:r>
    </w:p>
    <w:p>
      <w:pPr>
        <w:numPr>
          <w:ilvl w:val="0"/>
          <w:numId w:val="46"/>
        </w:numPr>
      </w:pPr>
      <w:r>
        <w:t>Формируется</w:t>
      </w:r>
      <w:r>
        <w:t> </w:t>
      </w:r>
      <w:r>
        <w:rPr>
          <w:b/>
        </w:rPr>
        <w:t>Отчет об ошибках</w:t>
      </w:r>
      <w:r>
        <w:t> </w:t>
      </w:r>
      <w:r>
        <w:t>— Excel-файл с префиксом «(с отчетом об ошибками)» в названии. В отчете добавляется столбец с описанием ошибок по каждой строке, а проблемные ячейки выделены красной рамкой.</w:t>
      </w:r>
    </w:p>
    <w:p>
      <w:pPr>
        <w:numPr>
          <w:ilvl w:val="0"/>
          <w:numId w:val="0"/>
        </w:numPr>
        <w:spacing w:beforeAutospacing="1"/>
        <w:ind w:left="720" w:hanging="360"/>
      </w:pPr>
      <w:r>
        <w:drawing>
          <wp:inline>
            <wp:extent cx="4938395" cy="504453"/>
            <wp:effectExtent l="19050" t="19050" r="28575" b="19050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8395" cy="50445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Autospacing="1"/>
        <w:ind w:left="720" w:hanging="360"/>
      </w:pPr>
    </w:p>
    <w:p>
      <w:pPr>
        <w:numPr>
          <w:ilvl w:val="0"/>
          <w:numId w:val="46"/>
        </w:numPr>
      </w:pPr>
      <w:r>
        <w:t xml:space="preserve">В истории загрузок файл получает статус «Не загружен». Отображается ссылка для скачивания </w:t>
      </w:r>
      <w:r>
        <w:rPr>
          <w:i/>
        </w:rPr>
        <w:t>Отчета об ошибках</w:t>
      </w:r>
      <w:r>
        <w:t>.</w:t>
      </w:r>
    </w:p>
    <w:p>
      <w:pPr>
        <w:numPr>
          <w:ilvl w:val="0"/>
          <w:numId w:val="0"/>
        </w:numPr>
        <w:spacing w:beforeAutospacing="1"/>
        <w:ind w:left="720" w:hanging="360"/>
      </w:pPr>
      <w:r>
        <w:drawing>
          <wp:inline>
            <wp:extent cx="4938395" cy="436245"/>
            <wp:effectExtent l="19050" t="19050" r="28575" b="1905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8395" cy="43624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Autospacing="1"/>
        <w:ind w:left="720" w:hanging="360"/>
      </w:pPr>
    </w:p>
    <w:p>
      <w:pPr>
        <w:numPr>
          <w:ilvl w:val="0"/>
          <w:numId w:val="46"/>
        </w:numPr>
      </w:pPr>
      <w:r>
        <w:t>Для повторной загрузки необходимо скачать отчет об ошибках, исправить указанные ошибки и загрузить файл заново.</w:t>
      </w:r>
    </w:p>
    <w:p>
      <w:r>
        <w:rPr>
          <w:b/>
        </w:rPr>
        <w:t>Возможные ошибки и причины их возникновения:</w:t>
      </w:r>
    </w:p>
    <w:tbl>
      <w:tblPr>
        <w:tblStyle w:val="ScrollTableNormal"/>
        <w:tblW w:w="5000" w:type="pct"/>
        <w:tblLook w:val="0020"/>
      </w:tblPr>
      <w:tblGrid>
        <w:gridCol w:w="2140"/>
        <w:gridCol w:w="2981"/>
        <w:gridCol w:w="3366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ошибки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Как выглядит ошибка (пример сообщения)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Причина возникновения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</w:rPr>
              <w:t>Не заполнено обязательное поле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PLU: не заполнено обязательное поле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выбранного сочетания ТС, статуса и типа решения поле является обязательным, но оставлено пустым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</w:rPr>
              <w:t>Неоднозначность географии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Формат, Территория, Макрорегион Код, АК Код: Неоднозначность географии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Невозможно однозначно определить географию инициативы (например, указан конкретный формат, но не заполнен код АК; или использованы "*" на нескольких уровнях без конкретизации)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</w:rPr>
              <w:t>Несогласованные параметры по географии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Несогласованные параметры по географии Формат, Территория, Макрорегион Код, АК Код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Указанные географические параметры противоречат друг другу (например, выбранный АК не принадлежит указанному макрорегиону или территории)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</w:rPr>
              <w:t>Дублирование инициатив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Инициатива пересекается с уже существующей в системе: &lt;id инициативы&gt;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системе уже существует актуальная инициатива с таким же уникальным ключом (совпадение по PLU, статусу, типу решения и географии)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</w:rPr>
              <w:t>Некорректный тип данных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Цена полки: некорректное значение, ожидается число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Значение в ячейке не соответствует ожидаемому формату (например, текст вместо числа или даты)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</w:rPr>
              <w:t>Значение вне справочника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Тип решения DT: недопустимое значение в ячейке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Введенное значение отсутствует в соответствующем справочнике системы (например, неверный код товара, статус, формат или территория)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</w:rPr>
              <w:t>Значение вне допустимого диапазона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Дата отложенного вывода: значение вне диапазона 0 - 180 дней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Числовое значение или дата выходят за установленные пределы (например, отрицательная цена, слишком длинный комментарий или дата снятия блокировки превышает 90 дней от текущей)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</w:rPr>
              <w:t>Неверный формат логического поля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Техническая ротация: неверный формат логического поля, используйте "Х Да" или "Нет"</w:t>
            </w:r>
            <w:r>
              <w:t>&lt;br&gt;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Снять блокировки: неверный формат логического поля...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ячейке указано значение, отличное от допустимых вариантов ("X ДА", "ДА", "НЕТ" или пусто)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</w:rPr>
              <w:t>Нет прав на управление PLU категории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Код PLU: Нет прав на управление PLU категории &lt;код категории&gt;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Пользователь пытается загрузить инициативу с товаром, принадлежащим к факультету, по которому у него нет полномочий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</w:rPr>
              <w:t>Нет прав на управление географией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Формат, Территория, Макрорегион Код, АК Код: Нет прав на управление географией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Указанная география (макрорегион, АК) не входит в зону ответственности пользователя согласно ролевой модели</w:t>
            </w:r>
          </w:p>
        </w:tc>
      </w:tr>
    </w:tbl>
    <w:p>
      <w:pPr>
        <w:pStyle w:val="Heading1"/>
      </w:pPr>
      <w:bookmarkStart w:id="17" w:name="scroll-bookmark-10"/>
      <w:bookmarkStart w:id="18" w:name="_Toc256000029"/>
      <w:r>
        <w:t>Просмотр и работа с загруженными данными</w:t>
      </w:r>
      <w:bookmarkEnd w:id="18"/>
      <w:bookmarkEnd w:id="17"/>
    </w:p>
    <w:p>
      <w:r>
        <w:t>После загрузки инициатив для их просмотра следует перейти на вкладку "Макеты решений".</w:t>
      </w:r>
    </w:p>
    <w:p>
      <w:r>
        <w:t>Данные отображаются в разрезе Ассортиментного кластера:</w:t>
      </w:r>
    </w:p>
    <w:p>
      <w:pPr>
        <w:spacing w:beforeAutospacing="1"/>
      </w:pPr>
      <w:r>
        <w:drawing>
          <wp:inline>
            <wp:extent cx="4629150" cy="2381250"/>
            <wp:effectExtent l="19050" t="19050" r="28575" b="1905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38125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19" w:name="scroll-bookmark-11"/>
      <w:bookmarkStart w:id="20" w:name="_Toc256000030"/>
      <w:r>
        <w:t>Вкладки и их назначение</w:t>
      </w:r>
      <w:bookmarkEnd w:id="20"/>
      <w:bookmarkEnd w:id="19"/>
    </w:p>
    <w:p>
      <w:r>
        <w:t>Страница "Макеты решений" содержит набор вкладок, которые отражают движение инициативы по процессу:</w:t>
      </w:r>
    </w:p>
    <w:tbl>
      <w:tblPr>
        <w:tblStyle w:val="ScrollTableNormal"/>
        <w:tblW w:w="5000" w:type="pct"/>
        <w:tblLook w:val="0020"/>
      </w:tblPr>
      <w:tblGrid>
        <w:gridCol w:w="2013"/>
        <w:gridCol w:w="3562"/>
        <w:gridCol w:w="2912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вкладка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этап процесса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действия автора инициативы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</w:rPr>
              <w:t>Черновик</w:t>
            </w:r>
          </w:p>
        </w:tc>
        <w:tc>
          <w:tcPr/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Создана инициатива на ввод/вывод/расширение УА/сужение УА товара в определенной географии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Проведена автоматическая проверка инициативы на соблюдение бизнес-логики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Инициатива автоматически обогащена дополнительными данными (фин.показатели, справочные данные, текущий УА и проч.)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Есть возможность отправить инициативу на согласование</w:t>
            </w:r>
          </w:p>
        </w:tc>
        <w:tc>
          <w:tcPr/>
          <w:p>
            <w:pPr>
              <w:numPr>
                <w:ilvl w:val="0"/>
                <w:numId w:val="5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Ознакомиться с результатом </w:t>
            </w:r>
            <w:hyperlink w:anchor="scroll-bookmark-25" w:history="1">
              <w:r>
                <w:rPr>
                  <w:rStyle w:val="Hyperlink"/>
                </w:rPr>
                <w:t>системных проверок</w:t>
              </w:r>
            </w:hyperlink>
          </w:p>
          <w:p>
            <w:pPr>
              <w:numPr>
                <w:ilvl w:val="0"/>
                <w:numId w:val="5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w:anchor="scroll-bookmark-26" w:history="1">
              <w:r>
                <w:rPr>
                  <w:rStyle w:val="Hyperlink"/>
                </w:rPr>
                <w:t>Ознакомиться с дополнительными данными</w:t>
              </w:r>
            </w:hyperlink>
            <w:r>
              <w:t>, которыми была обогащена инициатива</w:t>
            </w:r>
          </w:p>
          <w:p>
            <w:pPr>
              <w:numPr>
                <w:ilvl w:val="0"/>
                <w:numId w:val="5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w:anchor="scroll-bookmark-27" w:history="1">
              <w:r>
                <w:rPr>
                  <w:rStyle w:val="Hyperlink"/>
                </w:rPr>
                <w:t>Отправить инициативу на согласование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</w:rPr>
              <w:t>На согласовании</w:t>
            </w:r>
          </w:p>
        </w:tc>
        <w:tc>
          <w:tcPr/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Инициатива находится на согласовании ответственного лица</w:t>
            </w:r>
          </w:p>
        </w:tc>
        <w:tc>
          <w:tcPr/>
          <w:p>
            <w:pPr>
              <w:numPr>
                <w:ilvl w:val="0"/>
                <w:numId w:val="5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Проверить, сколько инициатив находится на согласовании</w:t>
            </w:r>
          </w:p>
          <w:p>
            <w:pPr>
              <w:numPr>
                <w:ilvl w:val="0"/>
                <w:numId w:val="5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Ожидать результата </w:t>
            </w:r>
            <w:hyperlink w:anchor="scroll-bookmark-28" w:history="1">
              <w:r>
                <w:rPr>
                  <w:rStyle w:val="Hyperlink"/>
                </w:rPr>
                <w:t>согласования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</w:rPr>
              <w:t>Согласовано</w:t>
            </w:r>
          </w:p>
        </w:tc>
        <w:tc>
          <w:tcPr/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Инициатива прошла этап согласования и была согласована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 инициативе не заполнены данные КИП или они не требуются, т.к. инициатива на вывод или снижение УА (-/УА-).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Доступна отправка согласованных инициатив в ТОРГ, без данных КИП</w:t>
            </w:r>
          </w:p>
        </w:tc>
        <w:tc>
          <w:tcPr/>
          <w:p>
            <w:pPr>
              <w:numPr>
                <w:ilvl w:val="0"/>
                <w:numId w:val="5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Ознакомиться с результатом согласования</w:t>
            </w:r>
          </w:p>
          <w:p>
            <w:pPr>
              <w:numPr>
                <w:ilvl w:val="0"/>
                <w:numId w:val="5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w:anchor="scroll-bookmark-29" w:history="1">
              <w:r>
                <w:rPr>
                  <w:rStyle w:val="Hyperlink"/>
                </w:rPr>
                <w:t>Отправить в ТОРГ согласованные инициативы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</w:rPr>
              <w:t>Согласовано+КИП</w:t>
            </w:r>
          </w:p>
        </w:tc>
        <w:tc>
          <w:tcPr/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Инициатива прошла этап согласования и была согласована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 инициативе заполнены данные КИП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Доступна отправка согласованных инициатив в ТОРГ группой, вместе с данными КИП</w:t>
            </w:r>
          </w:p>
        </w:tc>
        <w:tc>
          <w:tcPr/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Ознакомиться с результатом согласования</w:t>
            </w:r>
          </w:p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w:anchor="scroll-bookmark-29" w:history="1">
              <w:r>
                <w:rPr>
                  <w:rStyle w:val="Hyperlink"/>
                </w:rPr>
                <w:t>Отправить в ТОРГ согласованные инициативы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</w:rPr>
              <w:t>Внедрение</w:t>
            </w:r>
          </w:p>
        </w:tc>
        <w:tc>
          <w:tcPr/>
          <w:p>
            <w:pPr>
              <w:numPr>
                <w:ilvl w:val="0"/>
                <w:numId w:val="5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Инициатива была отправлена в ТОРГ</w:t>
            </w:r>
          </w:p>
          <w:p>
            <w:pPr>
              <w:numPr>
                <w:ilvl w:val="0"/>
                <w:numId w:val="5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Уже получен или ожидается ответ от ТОРГа (номер решения DT, статус решения DT, светофор КИП, ЦС и проч.)</w:t>
            </w:r>
          </w:p>
        </w:tc>
        <w:tc>
          <w:tcPr/>
          <w:p>
            <w:pPr>
              <w:numPr>
                <w:ilvl w:val="0"/>
                <w:numId w:val="5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w:anchor="scroll-bookmark-30" w:history="1">
              <w:r>
                <w:rPr>
                  <w:rStyle w:val="Hyperlink"/>
                </w:rPr>
                <w:t>Проверить, успешно ли внедрена инициатива в ТОРГ</w:t>
              </w:r>
            </w:hyperlink>
            <w:r>
              <w:t xml:space="preserve"> (нет ли ошибок от DT, удалось ли создать решение DT)</w:t>
            </w:r>
          </w:p>
          <w:p>
            <w:pPr>
              <w:numPr>
                <w:ilvl w:val="0"/>
                <w:numId w:val="5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светофор КИП красный, создать заявку в ESM на прогрузку КИП</w:t>
            </w:r>
          </w:p>
          <w:p>
            <w:pPr>
              <w:numPr>
                <w:ilvl w:val="0"/>
                <w:numId w:val="5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решение не было создано по причине ошибки DT, ожидать исправление ошибки в DT Поддержкой бизнеса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</w:rPr>
              <w:t>Архив</w:t>
            </w:r>
          </w:p>
        </w:tc>
        <w:tc>
          <w:tcPr/>
          <w:p>
            <w:pPr>
              <w:numPr>
                <w:ilvl w:val="0"/>
                <w:numId w:val="5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Инициатива прошла этап согласования и была отклонена. Или инициатива была отклонена автором.</w:t>
            </w:r>
          </w:p>
        </w:tc>
        <w:tc>
          <w:tcPr/>
          <w:p>
            <w:pPr>
              <w:numPr>
                <w:ilvl w:val="0"/>
                <w:numId w:val="6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Ознакомиться с отклоненной инициативой</w:t>
            </w:r>
          </w:p>
        </w:tc>
      </w:tr>
    </w:tbl>
    <w:p>
      <w:pPr>
        <w:pStyle w:val="Heading2"/>
      </w:pPr>
      <w:bookmarkStart w:id="21" w:name="scroll-bookmark-12"/>
      <w:bookmarkStart w:id="22" w:name="_Toc256000031"/>
      <w:r>
        <w:t>Системные проверки инициатив</w:t>
      </w:r>
      <w:bookmarkEnd w:id="22"/>
      <w:bookmarkEnd w:id="21"/>
    </w:p>
    <w:p>
      <w:r>
        <w:t>Загруженные инициативы проходят ряд автоматических проверок:</w:t>
      </w:r>
    </w:p>
    <w:p>
      <w:pPr>
        <w:numPr>
          <w:ilvl w:val="0"/>
          <w:numId w:val="61"/>
        </w:numPr>
      </w:pPr>
      <w:r>
        <w:t>Проверка на квоты</w:t>
      </w:r>
    </w:p>
    <w:p>
      <w:pPr>
        <w:numPr>
          <w:ilvl w:val="0"/>
          <w:numId w:val="61"/>
        </w:numPr>
      </w:pPr>
      <w:r>
        <w:t>Проверка на вывод новинки, менее 90 дней в матрице</w:t>
      </w:r>
    </w:p>
    <w:p>
      <w:pPr>
        <w:numPr>
          <w:ilvl w:val="0"/>
          <w:numId w:val="61"/>
        </w:numPr>
      </w:pPr>
      <w:r>
        <w:t>Проверка на SRP</w:t>
      </w:r>
    </w:p>
    <w:p>
      <w:pPr>
        <w:numPr>
          <w:ilvl w:val="0"/>
          <w:numId w:val="61"/>
        </w:numPr>
      </w:pPr>
      <w:r>
        <w:t>Проверка на НЦА</w:t>
      </w:r>
    </w:p>
    <w:p>
      <w:pPr>
        <w:numPr>
          <w:ilvl w:val="0"/>
          <w:numId w:val="61"/>
        </w:numPr>
      </w:pPr>
      <w:r>
        <w:t>Проверка на корректность тех. ротации</w:t>
      </w:r>
    </w:p>
    <w:p>
      <w:pPr>
        <w:numPr>
          <w:ilvl w:val="0"/>
          <w:numId w:val="61"/>
        </w:numPr>
      </w:pPr>
      <w:r>
        <w:t>Проверка на наличие КП</w:t>
      </w:r>
    </w:p>
    <w:p>
      <w:pPr>
        <w:numPr>
          <w:ilvl w:val="0"/>
          <w:numId w:val="61"/>
        </w:numPr>
      </w:pPr>
      <w:r>
        <w:t>Проверка на пересечение с хард-дискаунтерами</w:t>
      </w:r>
    </w:p>
    <w:p>
      <w:r>
        <w:t>В зависимости от результата проверок отображается цветовая индикация, а также для ряда проверок отображается статус "Автопроверка успешна" или "Отклонено системой".</w:t>
      </w:r>
    </w:p>
    <w:p>
      <w:pPr>
        <w:spacing w:beforeAutospacing="1"/>
      </w:pPr>
      <w:r>
        <w:drawing>
          <wp:inline>
            <wp:extent cx="5395595" cy="1063800"/>
            <wp:effectExtent l="19050" t="19050" r="28575" b="19050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0638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r>
        <w:t>Статус "Отклонено системой" не является блокирующим, и пользователь все равно может отправить такую инициативу на согласование.</w:t>
      </w:r>
    </w:p>
    <w:p>
      <w:pPr>
        <w:pStyle w:val="Heading3"/>
      </w:pPr>
      <w:bookmarkStart w:id="23" w:name="scroll-bookmark-13"/>
      <w:bookmarkStart w:id="24" w:name="_Toc256000032"/>
      <w:r>
        <w:t>Проверка квот</w:t>
      </w:r>
      <w:bookmarkEnd w:id="24"/>
      <w:bookmarkEnd w:id="23"/>
    </w:p>
    <w:p>
      <w:r>
        <w:t>Система автоматически проверяет наличие свободной квоты на полке при открытии или обновлении страницы макетов решения. Цель — предотвратить переквот перед отправкой инициативы на согласование.</w:t>
      </w:r>
    </w:p>
    <w:p>
      <w:r>
        <w:rPr>
          <w:b/>
        </w:rPr>
        <w:t>Что проверяется</w:t>
      </w:r>
      <w:r>
        <w:br/>
      </w:r>
      <w:r>
        <w:t>Проверка охватывает все уровни ассортимента (УА), в которые фактически осуществляется ввод PLU, включая промежуточные. Например, если товар расширяется на 15 УА, система также проверяет квоты для 20 УА и 25 УА (принцип «Матрёшки»). Проверка производится для каждого ассортиментного кластера (АК) и конкретной комбинации АК/УА.</w:t>
      </w:r>
    </w:p>
    <w:p>
      <w:r>
        <w:rPr>
          <w:b/>
        </w:rPr>
        <w:t>Как отображается результат</w:t>
      </w:r>
    </w:p>
    <w:p>
      <w:pPr>
        <w:numPr>
          <w:ilvl w:val="0"/>
          <w:numId w:val="62"/>
        </w:numPr>
      </w:pPr>
      <w:r>
        <w:rPr>
          <w:b/>
        </w:rPr>
        <w:t>В списке макетов:</w:t>
      </w:r>
      <w:r>
        <w:t> </w:t>
      </w:r>
      <w:r>
        <w:t>В столбце «УА» отображается цветной индикатор, который сигнализирует о состоянии квоты.</w:t>
      </w:r>
    </w:p>
    <w:p>
      <w:pPr>
        <w:numPr>
          <w:ilvl w:val="0"/>
          <w:numId w:val="0"/>
        </w:numPr>
        <w:spacing w:beforeAutospacing="1"/>
        <w:ind w:left="720" w:hanging="360"/>
      </w:pPr>
      <w:r>
        <w:drawing>
          <wp:inline>
            <wp:extent cx="4938395" cy="1042735"/>
            <wp:effectExtent l="19050" t="19050" r="28575" b="19050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8395" cy="104273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64"/>
        </w:numPr>
      </w:pPr>
      <w:r>
        <w:t>Синяя заливка - Переквот не выявлен</w:t>
      </w:r>
    </w:p>
    <w:p>
      <w:pPr>
        <w:numPr>
          <w:ilvl w:val="1"/>
          <w:numId w:val="64"/>
        </w:numPr>
      </w:pPr>
      <w:r>
        <w:t>Красная заливка - Переквот выявлен на целевом Уровне Ассортимента</w:t>
      </w:r>
    </w:p>
    <w:p>
      <w:pPr>
        <w:numPr>
          <w:ilvl w:val="1"/>
          <w:numId w:val="64"/>
        </w:numPr>
      </w:pPr>
      <w:r>
        <w:t>Смешанная заливка - Переквот выявлен на промежуточном Уровне Ассортимента, затрагиваемом Макетом решения.</w:t>
      </w:r>
    </w:p>
    <w:p>
      <w:pPr>
        <w:numPr>
          <w:ilvl w:val="0"/>
          <w:numId w:val="62"/>
        </w:numPr>
      </w:pPr>
      <w:r>
        <w:rPr>
          <w:b/>
        </w:rPr>
        <w:t>В карточке макета:</w:t>
      </w:r>
      <w:r>
        <w:t> </w:t>
      </w:r>
      <w:r>
        <w:t>В разделе «Проверки» доступна детальная таблица:</w:t>
      </w:r>
    </w:p>
    <w:p>
      <w:pPr>
        <w:numPr>
          <w:ilvl w:val="1"/>
          <w:numId w:val="65"/>
        </w:numPr>
      </w:pPr>
      <w:r>
        <w:rPr>
          <w:b/>
        </w:rPr>
        <w:t>УА</w:t>
      </w:r>
      <w:r>
        <w:t> </w:t>
      </w:r>
      <w:r>
        <w:t>— уровень ассортимента (текущий и желаемый);</w:t>
      </w:r>
    </w:p>
    <w:p>
      <w:pPr>
        <w:numPr>
          <w:ilvl w:val="1"/>
          <w:numId w:val="65"/>
        </w:numPr>
      </w:pPr>
      <w:r>
        <w:rPr>
          <w:b/>
        </w:rPr>
        <w:t>Квота ТОРГ</w:t>
      </w:r>
      <w:r>
        <w:t> </w:t>
      </w:r>
      <w:r>
        <w:t>— установленный лимит, загруженный на стороне ТОРГ;</w:t>
      </w:r>
    </w:p>
    <w:p>
      <w:pPr>
        <w:numPr>
          <w:ilvl w:val="1"/>
          <w:numId w:val="65"/>
        </w:numPr>
      </w:pPr>
      <w:r>
        <w:rPr>
          <w:b/>
        </w:rPr>
        <w:t>Прогноз без текущего запроса</w:t>
      </w:r>
      <w:r>
        <w:t> </w:t>
      </w:r>
      <w:r>
        <w:t>— Прогнозное наполнение, с учётом Текущей матрицы, решений Decision Tracker, а так же, Макетов решений, отправленных на согласование на стороне УП (На согласовании, Согласовано);</w:t>
      </w:r>
    </w:p>
    <w:p>
      <w:pPr>
        <w:numPr>
          <w:ilvl w:val="1"/>
          <w:numId w:val="65"/>
        </w:numPr>
      </w:pPr>
      <w:r>
        <w:rPr>
          <w:b/>
        </w:rPr>
        <w:t>Остаток с учётом запроса</w:t>
      </w:r>
      <w:r>
        <w:t> </w:t>
      </w:r>
      <w:r>
        <w:t>— свободное место на полке с учётом текущего макета (состояние квоты после внедрения соответствующего изменения в матрицу).</w:t>
      </w:r>
    </w:p>
    <w:p>
      <w:pPr>
        <w:numPr>
          <w:ilvl w:val="1"/>
          <w:numId w:val="65"/>
        </w:numPr>
      </w:pPr>
      <w:r>
        <w:t>Отрицательное значение в столбце «Остаток» (например, «-1») означает переквот — свободного места недостаточно. Если квота для данного сочетания АК/УА ранее не загружалась, система выводит подсказку о необходимости загрузить квоту.</w:t>
      </w:r>
    </w:p>
    <w:p>
      <w:pPr>
        <w:spacing w:beforeAutospacing="1"/>
        <w:ind w:left="284"/>
      </w:pPr>
      <w:r>
        <w:drawing>
          <wp:inline>
            <wp:extent cx="4895850" cy="2381250"/>
            <wp:effectExtent l="19050" t="19050" r="28575" b="19050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38125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r>
        <w:t>Выявление переквота не блокирует сохранение макета в статусе «Черновик» — можно скорректировать решение (изменить УА, АК или количество) до отправки на согласование. Однако в зависимости от настроек функциональности отправка на согласование и интеграция в ТОРГ может быть заблокирована до устранения переквота.</w:t>
      </w:r>
    </w:p>
    <w:p>
      <w:pPr>
        <w:pStyle w:val="Heading3"/>
      </w:pPr>
      <w:bookmarkStart w:id="25" w:name="scroll-bookmark-14"/>
      <w:bookmarkStart w:id="26" w:name="_Toc256000033"/>
      <w:r>
        <w:t>Проверка минимального срока нахождения в матрице (90 дней)</w:t>
      </w:r>
      <w:bookmarkEnd w:id="26"/>
      <w:bookmarkEnd w:id="25"/>
    </w:p>
    <w:p>
      <w:r>
        <w:t>При создании инициативы на вывод товара система автоматически проверяет, не слишком ли рано он выводится из ассортимента. Если товар находится в матрице менее 90 календарных дней, такой вывод считается преждевременным.</w:t>
      </w:r>
    </w:p>
    <w:p>
      <w:r>
        <w:rPr>
          <w:b/>
        </w:rPr>
        <w:t>Когда срабатывает проверка</w:t>
      </w:r>
      <w:r>
        <w:br/>
      </w:r>
      <w:r>
        <w:t>Автоматически для всех макетов решений со статусом «Вывод (-)» при создании макета решения.</w:t>
      </w:r>
    </w:p>
    <w:p>
      <w:r>
        <w:rPr>
          <w:b/>
        </w:rPr>
        <w:t>Как определяется дата ввода</w:t>
      </w:r>
      <w:r>
        <w:br/>
      </w:r>
      <w:r>
        <w:t>Система берет дату последнего исполненного решения по вводу товара в ассортимент или по расширению уровня ассортимента (УА) в конкретном кластере (д</w:t>
      </w:r>
      <w:r>
        <w:rPr>
          <w:color w:val="172B4D"/>
        </w:rPr>
        <w:t>атой ввода в АМ считается дата перевода решения в статус "Выполнено" в Decision Tracker</w:t>
      </w:r>
      <w:r>
        <w:t>).</w:t>
      </w:r>
    </w:p>
    <w:p>
      <w:r>
        <w:rPr>
          <w:b/>
        </w:rPr>
        <w:t>Результаты проверки</w:t>
      </w:r>
    </w:p>
    <w:p>
      <w:pPr>
        <w:numPr>
          <w:ilvl w:val="0"/>
          <w:numId w:val="66"/>
        </w:numPr>
      </w:pPr>
      <w:r>
        <w:rPr>
          <w:b/>
        </w:rPr>
        <w:t>Срок в матрице менее 90 дней:</w:t>
      </w:r>
      <w:r>
        <w:t> </w:t>
      </w:r>
      <w:r>
        <w:t>макет решения получает статус «Отклонено системой» с комментарием «Срок ввода PLU &lt; 90 дней». Проверка не блокирует отправку такого макета решения на согласование.</w:t>
      </w:r>
    </w:p>
    <w:p>
      <w:pPr>
        <w:numPr>
          <w:ilvl w:val="0"/>
          <w:numId w:val="66"/>
        </w:numPr>
      </w:pPr>
      <w:r>
        <w:rPr>
          <w:b/>
        </w:rPr>
        <w:t>Срок 90 дней и более:</w:t>
      </w:r>
      <w:r>
        <w:t> </w:t>
      </w:r>
      <w:r>
        <w:t>проверка считается успешной, отображается статус "Автопроверка успешна".</w:t>
      </w:r>
    </w:p>
    <w:p>
      <w:pPr>
        <w:spacing w:beforeAutospacing="1"/>
      </w:pPr>
      <w:r>
        <w:drawing>
          <wp:inline>
            <wp:extent cx="5395595" cy="994763"/>
            <wp:effectExtent l="19050" t="19050" r="28575" b="19050"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99476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7" w:name="scroll-bookmark-15"/>
      <w:bookmarkStart w:id="28" w:name="_Toc256000034"/>
      <w:r>
        <w:t>Просмотр деталей по макету решения</w:t>
      </w:r>
      <w:bookmarkEnd w:id="28"/>
      <w:bookmarkEnd w:id="27"/>
    </w:p>
    <w:p>
      <w:r>
        <w:t xml:space="preserve">На каждой </w:t>
      </w:r>
      <w:hyperlink w:anchor="scroll-bookmark-31" w:history="1">
        <w:r>
          <w:rPr>
            <w:rStyle w:val="Hyperlink"/>
          </w:rPr>
          <w:t xml:space="preserve">вкладке </w:t>
        </w:r>
      </w:hyperlink>
      <w:r>
        <w:t>есть возможность просмотреть детальную информацию по конкретной инициативе.</w:t>
      </w:r>
    </w:p>
    <w:p>
      <w:r>
        <w:t>Для перехода к просмотру деталей необходимо выбрать инициативу из списка и кликнуть по ней левой клавишей мышки.</w:t>
      </w:r>
    </w:p>
    <w:p>
      <w:r>
        <w:t>Откроется сайд-барр с информацией:</w:t>
      </w:r>
    </w:p>
    <w:p>
      <w:pPr>
        <w:spacing w:beforeAutospacing="1"/>
      </w:pPr>
      <w:r>
        <w:drawing>
          <wp:inline>
            <wp:extent cx="4629150" cy="2381250"/>
            <wp:effectExtent l="19050" t="19050" r="28575" b="19050"/>
            <wp:docPr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38125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29" w:name="scroll-bookmark-16"/>
      <w:bookmarkStart w:id="30" w:name="_Toc256000035"/>
      <w:r>
        <w:t>Проверки</w:t>
      </w:r>
      <w:bookmarkEnd w:id="30"/>
      <w:bookmarkEnd w:id="29"/>
    </w:p>
    <w:p>
      <w:r>
        <w:t>Вкладка содержит информацию о результатах автоматических проверок инициативы.</w:t>
      </w:r>
    </w:p>
    <w:p>
      <w:pPr>
        <w:spacing w:beforeAutospacing="1"/>
      </w:pPr>
      <w:r>
        <w:drawing>
          <wp:inline>
            <wp:extent cx="4895850" cy="2381250"/>
            <wp:effectExtent l="19050" t="19050" r="28575" b="19050"/>
            <wp:docPr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38125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1" w:name="scroll-bookmark-17"/>
      <w:bookmarkStart w:id="32" w:name="_Toc256000036"/>
      <w:r>
        <w:t>Инфо</w:t>
      </w:r>
      <w:bookmarkEnd w:id="32"/>
      <w:bookmarkEnd w:id="31"/>
    </w:p>
    <w:p>
      <w:r>
        <w:t>Вкладка содержит:</w:t>
      </w:r>
    </w:p>
    <w:p>
      <w:pPr>
        <w:numPr>
          <w:ilvl w:val="0"/>
          <w:numId w:val="67"/>
        </w:numPr>
      </w:pPr>
      <w:r>
        <w:t>подробную информацию, указанную пользователем в исходном файле при загрузке инициативы в систему</w:t>
      </w:r>
    </w:p>
    <w:p>
      <w:pPr>
        <w:numPr>
          <w:ilvl w:val="0"/>
          <w:numId w:val="67"/>
        </w:numPr>
      </w:pPr>
      <w:r>
        <w:t>данные о том, кто проводил согласование инициативы</w:t>
      </w:r>
    </w:p>
    <w:p>
      <w:pPr>
        <w:spacing w:beforeAutospacing="1"/>
      </w:pPr>
      <w:r>
        <w:drawing>
          <wp:inline>
            <wp:extent cx="4638675" cy="2381250"/>
            <wp:effectExtent l="19050" t="19050" r="28575" b="19050"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38125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3" w:name="scroll-bookmark-18"/>
      <w:bookmarkStart w:id="34" w:name="_Toc256000037"/>
      <w:r>
        <w:t>Показатели</w:t>
      </w:r>
      <w:bookmarkEnd w:id="34"/>
      <w:bookmarkEnd w:id="33"/>
    </w:p>
    <w:p>
      <w:r>
        <w:t>Вкладка содержит данные, которыми была автоматически обогащена инициатива после создания в системе.</w:t>
      </w:r>
    </w:p>
    <w:p>
      <w:r>
        <w:t>Финансовые показатели рассчитаны по текущему АК (если в текущем АК продаж не было - то по другим ближайшим АК с продажами), за три последних закрытых месяца.</w:t>
      </w:r>
    </w:p>
    <w:p>
      <w:pPr>
        <w:spacing w:beforeAutospacing="1"/>
      </w:pPr>
      <w:r>
        <w:drawing>
          <wp:inline>
            <wp:extent cx="4667250" cy="2381250"/>
            <wp:effectExtent l="19050" t="19050" r="28575" b="19050"/>
            <wp:docPr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38125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5" w:name="scroll-bookmark-19"/>
      <w:bookmarkStart w:id="36" w:name="_Toc256000038"/>
      <w:r>
        <w:t>Атрибуты PLU</w:t>
      </w:r>
      <w:bookmarkEnd w:id="36"/>
      <w:bookmarkEnd w:id="35"/>
    </w:p>
    <w:p>
      <w:r>
        <w:t>Вкладка содержит подробную информацию о товаре, по которому осуществляется инициатива.</w:t>
      </w:r>
    </w:p>
    <w:p>
      <w:pPr>
        <w:spacing w:beforeAutospacing="1"/>
      </w:pPr>
      <w:r>
        <w:drawing>
          <wp:inline>
            <wp:extent cx="4638675" cy="2381250"/>
            <wp:effectExtent l="19050" t="19050" r="28575" b="19050"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38125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7" w:name="scroll-bookmark-20"/>
      <w:bookmarkStart w:id="38" w:name="_Toc256000039"/>
      <w:r>
        <w:t>Ответ ТОРГ</w:t>
      </w:r>
      <w:bookmarkEnd w:id="38"/>
      <w:bookmarkEnd w:id="37"/>
    </w:p>
    <w:p>
      <w:r>
        <w:t>Для инициатив, отправленных в ТОРГ, отображается вкладка "Ответ ТОРГ".</w:t>
      </w:r>
    </w:p>
    <w:p>
      <w:r>
        <w:t>На вкладке содержится информация о статусе и деталях внедрения инициативы на стороне Decision Tracker.</w:t>
      </w:r>
    </w:p>
    <w:p>
      <w:pPr>
        <w:spacing w:beforeAutospacing="1"/>
      </w:pPr>
      <w:r>
        <w:drawing>
          <wp:inline>
            <wp:extent cx="4629150" cy="2381250"/>
            <wp:effectExtent l="19050" t="19050" r="28575" b="19050"/>
            <wp:docPr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38125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39" w:name="scroll-bookmark-21"/>
      <w:bookmarkStart w:id="40" w:name="_Toc256000040"/>
      <w:r>
        <w:t>Отправка инициатив на согласование</w:t>
      </w:r>
      <w:bookmarkEnd w:id="40"/>
      <w:bookmarkEnd w:id="39"/>
    </w:p>
    <w:p>
      <w:r>
        <w:t>После загрузки инициатив они отображаются на вкладке "Черновик".</w:t>
      </w:r>
    </w:p>
    <w:p>
      <w:r>
        <w:t xml:space="preserve">Ознакомившись с результатами </w:t>
      </w:r>
      <w:hyperlink w:anchor="scroll-bookmark-25" w:history="1">
        <w:r>
          <w:rPr>
            <w:rStyle w:val="Hyperlink"/>
          </w:rPr>
          <w:t>системных проверок</w:t>
        </w:r>
      </w:hyperlink>
      <w:r>
        <w:t xml:space="preserve"> и </w:t>
      </w:r>
      <w:hyperlink w:anchor="scroll-bookmark-26" w:history="1">
        <w:r>
          <w:rPr>
            <w:rStyle w:val="Hyperlink"/>
          </w:rPr>
          <w:t>данными, которыми была обогащена инициатива</w:t>
        </w:r>
      </w:hyperlink>
      <w:r>
        <w:t xml:space="preserve"> (фин.показатели и проч.), автор инициативы может отправить ее на согласование.</w:t>
      </w:r>
    </w:p>
    <w:p>
      <w:r>
        <w:t>Для отправки на согласование следует:</w:t>
      </w:r>
    </w:p>
    <w:p>
      <w:pPr>
        <w:numPr>
          <w:ilvl w:val="0"/>
          <w:numId w:val="68"/>
        </w:numPr>
      </w:pPr>
      <w:r>
        <w:t>Выбрать на вкладке "Черновик" один или несколько макетов решений с помощью чек-боксов</w:t>
      </w:r>
    </w:p>
    <w:p>
      <w:pPr>
        <w:numPr>
          <w:ilvl w:val="0"/>
          <w:numId w:val="68"/>
        </w:numPr>
      </w:pPr>
      <w:r>
        <w:t>Нажать кнопку "Отправить".</w:t>
      </w:r>
    </w:p>
    <w:p>
      <w:pPr>
        <w:spacing w:beforeAutospacing="1"/>
      </w:pPr>
      <w:r>
        <w:drawing>
          <wp:inline>
            <wp:extent cx="5305425" cy="2381250"/>
            <wp:effectExtent l="19050" t="19050" r="28575" b="19050"/>
            <wp:docPr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38125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r>
        <w:t>Макеты решений с переквотом не могут быть отправлены на согласование:</w:t>
      </w:r>
    </w:p>
    <w:p>
      <w:pPr>
        <w:spacing w:beforeAutospacing="1"/>
      </w:pPr>
      <w:r>
        <w:drawing>
          <wp:inline>
            <wp:extent cx="5395595" cy="1673572"/>
            <wp:effectExtent l="19050" t="19050" r="28575" b="19050"/>
            <wp:docPr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673572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41" w:name="scroll-bookmark-22"/>
      <w:bookmarkStart w:id="42" w:name="_Toc256000041"/>
      <w:r>
        <w:t>Согласование инициатив</w:t>
      </w:r>
      <w:bookmarkEnd w:id="42"/>
      <w:bookmarkEnd w:id="41"/>
    </w:p>
    <w:p>
      <w:r>
        <w:t>Пользователь, ответственный за согласование инициативы по </w:t>
      </w:r>
      <w:hyperlink w:anchor="scroll-bookmark-32" w:history="1">
        <w:r>
          <w:rPr>
            <w:rStyle w:val="Hyperlink"/>
          </w:rPr>
          <w:t>ролевой модели</w:t>
        </w:r>
      </w:hyperlink>
      <w:r>
        <w:t>, получает на электронную почту уведомление о необходимости произвести согласование.</w:t>
      </w:r>
    </w:p>
    <w:p>
      <w:pPr>
        <w:spacing w:beforeAutospacing="1"/>
      </w:pPr>
      <w:r>
        <w:drawing>
          <wp:inline>
            <wp:extent cx="5395595" cy="1517321"/>
            <wp:effectExtent l="19050" t="19050" r="28575" b="19050"/>
            <wp:docPr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517321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r>
        <w:t>Чтобы согласовать или отклонить инициативу, следует:</w:t>
      </w:r>
    </w:p>
    <w:p>
      <w:pPr>
        <w:numPr>
          <w:ilvl w:val="0"/>
          <w:numId w:val="69"/>
        </w:numPr>
      </w:pPr>
      <w:r>
        <w:t xml:space="preserve">Открыть </w:t>
      </w:r>
      <w:hyperlink w:anchor="scroll-bookmark-33" w:history="1">
        <w:r>
          <w:rPr>
            <w:rStyle w:val="Hyperlink"/>
          </w:rPr>
          <w:t>Главную страницу</w:t>
        </w:r>
      </w:hyperlink>
      <w:r>
        <w:t xml:space="preserve"> приложения и перейти в раздел "Согласования"</w:t>
      </w:r>
    </w:p>
    <w:p>
      <w:pPr>
        <w:spacing w:beforeAutospacing="1"/>
      </w:pPr>
      <w:r>
        <w:drawing>
          <wp:inline>
            <wp:extent cx="4505325" cy="2381250"/>
            <wp:effectExtent l="19050" t="19050" r="28575" b="19050"/>
            <wp:docPr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38125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0"/>
        </w:numPr>
      </w:pPr>
      <w:r>
        <w:t>Ознакомиться с информацией по инициативе, нажав на интересующую строку.</w:t>
      </w:r>
    </w:p>
    <w:p>
      <w:pPr>
        <w:numPr>
          <w:ilvl w:val="0"/>
          <w:numId w:val="70"/>
        </w:numPr>
      </w:pPr>
      <w:r>
        <w:t>Выбрать с помощью чек-бокса одну или несколько инициатив</w:t>
      </w:r>
    </w:p>
    <w:p>
      <w:pPr>
        <w:numPr>
          <w:ilvl w:val="0"/>
          <w:numId w:val="70"/>
        </w:numPr>
      </w:pPr>
      <w:r>
        <w:t>Нажать кнопку "Согласовать" или "Отклонить"</w:t>
      </w:r>
    </w:p>
    <w:p>
      <w:pPr>
        <w:spacing w:beforeAutospacing="1"/>
      </w:pPr>
      <w:r>
        <w:drawing>
          <wp:inline>
            <wp:extent cx="5395595" cy="1531100"/>
            <wp:effectExtent l="19050" t="19050" r="28575" b="19050"/>
            <wp:docPr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531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r>
        <w:t xml:space="preserve">Инициативы, которые были согласованы или отклонены, отобразятся на странице </w:t>
      </w:r>
      <w:hyperlink w:anchor="scroll-bookmark-31" w:history="1">
        <w:r>
          <w:rPr>
            <w:rStyle w:val="Hyperlink"/>
          </w:rPr>
          <w:t>Главная→ Макеты решений → Готово</w:t>
        </w:r>
      </w:hyperlink>
      <w:r>
        <w:t>.</w:t>
      </w:r>
    </w:p>
    <w:p>
      <w:pPr>
        <w:pStyle w:val="Heading1"/>
      </w:pPr>
      <w:bookmarkStart w:id="43" w:name="scroll-bookmark-23"/>
      <w:bookmarkStart w:id="44" w:name="_Toc256000042"/>
      <w:r>
        <w:t>Отправка инициатив в ТОРГ</w:t>
      </w:r>
      <w:bookmarkEnd w:id="44"/>
      <w:bookmarkEnd w:id="43"/>
    </w:p>
    <w:p>
      <w:r>
        <w:t>Согласованные инициативы могут быть отправлены в ТОРГ.</w:t>
      </w:r>
    </w:p>
    <w:p>
      <w:r>
        <w:t>Для отправки своих инициатив в ТОРГ инициатору необходимо:</w:t>
      </w:r>
    </w:p>
    <w:p>
      <w:pPr>
        <w:numPr>
          <w:ilvl w:val="0"/>
          <w:numId w:val="71"/>
        </w:numPr>
      </w:pPr>
      <w:r>
        <w:t>перейти во вкладку "Готово" (</w:t>
      </w:r>
      <w:hyperlink w:anchor="scroll-bookmark-31" w:history="1">
        <w:r>
          <w:rPr>
            <w:rStyle w:val="Hyperlink"/>
          </w:rPr>
          <w:t>Главная→ Макеты решений → Готово)</w:t>
        </w:r>
      </w:hyperlink>
    </w:p>
    <w:p>
      <w:pPr>
        <w:spacing w:beforeAutospacing="1"/>
      </w:pPr>
      <w:r>
        <w:drawing>
          <wp:inline>
            <wp:extent cx="4619625" cy="2381250"/>
            <wp:effectExtent l="19050" t="19050" r="28575" b="19050"/>
            <wp:docPr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38125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2"/>
        </w:numPr>
      </w:pPr>
      <w:r>
        <w:t>с помощью чек-боксов выбрать одно или несколько решений</w:t>
      </w:r>
    </w:p>
    <w:p>
      <w:pPr>
        <w:numPr>
          <w:ilvl w:val="0"/>
          <w:numId w:val="72"/>
        </w:numPr>
      </w:pPr>
      <w:r>
        <w:t>нажать кнопку "Отправить в ТОРГ"</w:t>
      </w:r>
    </w:p>
    <w:p>
      <w:pPr>
        <w:spacing w:beforeAutospacing="1"/>
      </w:pPr>
      <w:r>
        <w:drawing>
          <wp:inline>
            <wp:extent cx="5395595" cy="1357041"/>
            <wp:effectExtent l="19050" t="19050" r="28575" b="19050"/>
            <wp:docPr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357041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r>
        <w:t>После этого действия начнется процесс интеграции решения в Decision Tracker. Решения перейдут на вкладку "Внедрение", у них отобразится статус "На интеграции (Ожидание)", что означает: еще не был получен ответ от ТОРГ, следует ждать изменения статуса.</w:t>
      </w:r>
    </w:p>
    <w:p>
      <w:pPr>
        <w:spacing w:beforeAutospacing="1"/>
      </w:pPr>
      <w:r>
        <w:drawing>
          <wp:inline>
            <wp:extent cx="5395595" cy="974638"/>
            <wp:effectExtent l="19050" t="19050" r="28575" b="19050"/>
            <wp:docPr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97463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45" w:name="scroll-bookmark-24"/>
      <w:bookmarkStart w:id="46" w:name="_Toc256000043"/>
      <w:r>
        <w:t>Просмотр информации по решению из Decision Tracker</w:t>
      </w:r>
      <w:bookmarkEnd w:id="46"/>
      <w:bookmarkEnd w:id="45"/>
    </w:p>
    <w:p>
      <w:r>
        <w:t>На вкладке "Внедрение" можно отслеживать состояние всех решений, которые уже были отправлены в ТОРГ.</w:t>
      </w:r>
    </w:p>
    <w:p>
      <w:r>
        <w:t>Отображаемые статусы решений и их значение:</w:t>
      </w:r>
    </w:p>
    <w:tbl>
      <w:tblPr>
        <w:tblStyle w:val="ScrollTableNormal"/>
        <w:tblW w:w="5000" w:type="pct"/>
        <w:tblLook w:val="0020"/>
      </w:tblPr>
      <w:tblGrid>
        <w:gridCol w:w="1556"/>
        <w:gridCol w:w="2785"/>
        <w:gridCol w:w="4146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статус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что означает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возможное действие пользователя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"На интеграции (Ожидание)"</w:t>
            </w:r>
          </w:p>
        </w:tc>
        <w:tc>
          <w:tcPr/>
          <w:p>
            <w:pPr>
              <w:numPr>
                <w:ilvl w:val="0"/>
                <w:numId w:val="7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решение было отправлено в Decision Tracker, но еще не был получен ответ от ТОРГ</w:t>
            </w:r>
          </w:p>
        </w:tc>
        <w:tc>
          <w:tcPr/>
          <w:p>
            <w:pPr>
              <w:numPr>
                <w:ilvl w:val="0"/>
                <w:numId w:val="7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Ждать изменения статуса</w:t>
            </w:r>
          </w:p>
          <w:p>
            <w:pPr>
              <w:numPr>
                <w:ilvl w:val="0"/>
                <w:numId w:val="7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Если прошло более суток и статус не изменился, обратиться в </w:t>
            </w:r>
            <w:hyperlink r:id="rId14" w:history="1">
              <w:r>
                <w:rPr>
                  <w:rStyle w:val="Hyperlink"/>
                </w:rPr>
                <w:t>чат</w:t>
              </w:r>
            </w:hyperlink>
            <w:r>
              <w:t>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"Выполнено"</w:t>
            </w:r>
          </w:p>
        </w:tc>
        <w:tc>
          <w:tcPr/>
          <w:p>
            <w:pPr>
              <w:numPr>
                <w:ilvl w:val="0"/>
                <w:numId w:val="7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интеграция состоялась успешно, ТОРГ прислал ответ</w:t>
            </w:r>
          </w:p>
          <w:p>
            <w:pPr>
              <w:numPr>
                <w:ilvl w:val="0"/>
                <w:numId w:val="7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решению был присвоен номер в Decision Tracker</w:t>
            </w:r>
          </w:p>
          <w:p>
            <w:pPr>
              <w:numPr>
                <w:ilvl w:val="0"/>
                <w:numId w:val="7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решение в Decision Tracker находится в статусе "В работе" или уже "Выполнено"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7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Отслеживать состояние решения в Decision Tracker с помощью вкладки "Ответ ТОРГ" (Главная → Инициативы → Макеты решений → Внедрение → клик по решению → Ответ ТОРГ)</w:t>
            </w:r>
          </w:p>
          <w:p>
            <w:pPr>
              <w:numPr>
                <w:ilvl w:val="0"/>
                <w:numId w:val="0"/>
              </w:numPr>
              <w:spacing w:before="0" w:beforeAutospacing="1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1747520" cy="1073415"/>
                  <wp:effectExtent l="19050" t="19050" r="28575" b="19050"/>
                  <wp:docPr id="1000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520" cy="107341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"Не выполнено"</w:t>
            </w:r>
          </w:p>
        </w:tc>
        <w:tc>
          <w:tcPr/>
          <w:p>
            <w:pPr>
              <w:numPr>
                <w:ilvl w:val="0"/>
                <w:numId w:val="7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интеграция состоялась технически успешно, ТОРГ прислал ответ</w:t>
            </w:r>
          </w:p>
          <w:p>
            <w:pPr>
              <w:numPr>
                <w:ilvl w:val="0"/>
                <w:numId w:val="7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решению НЕ был присвоен номер в Decision Tracker, возникла ошибка при создании решения</w:t>
            </w:r>
          </w:p>
          <w:p>
            <w:pPr>
              <w:numPr>
                <w:ilvl w:val="0"/>
                <w:numId w:val="7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решение в Decision Tracker находится в статусе "Отклонено"</w:t>
            </w:r>
          </w:p>
        </w:tc>
        <w:tc>
          <w:tcPr/>
          <w:p>
            <w:pPr>
              <w:numPr>
                <w:ilvl w:val="0"/>
                <w:numId w:val="7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Отслеживать состояние решения в Decision Tracker с помощью вкладки "Ответ ТОРГ" (Главная → Инициативы → Макеты решений → Внедрение → клик по решению → Ответ ТОРГ)</w:t>
            </w:r>
          </w:p>
          <w:p>
            <w:pPr>
              <w:spacing w:before="0" w:beforeAutospacing="1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1747520" cy="1097688"/>
                  <wp:effectExtent l="19050" t="19050" r="28575" b="19050"/>
                  <wp:docPr id="1000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520" cy="1097688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7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ожидать исправление ошибки в DT Поддержкой бизнеса</w:t>
            </w:r>
          </w:p>
        </w:tc>
      </w:tr>
    </w:tbl>
    <w:p/>
    <w:sectPr w:rsidSect="008B1C6A">
      <w:footerReference w:type="default" r:id="rId43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Отправка инициатив в ТОРГ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24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Орбита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Пользовательская инструкция: ЦИФРОВОЙ АССОРТИМЕНТНЫЙ КОМИТЕТ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hybridMultilevel"/>
    <w:tmpl w:val="7DF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7DF627D1"/>
    <w:multiLevelType w:val="hybridMultilevel"/>
    <w:tmpl w:val="7DF627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7DF627D3"/>
    <w:multiLevelType w:val="hybridMultilevel"/>
    <w:tmpl w:val="7DF627D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7DF627D4"/>
    <w:multiLevelType w:val="hybridMultilevel"/>
    <w:tmpl w:val="7DF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>
    <w:nsid w:val="7DF627D5"/>
    <w:multiLevelType w:val="hybridMultilevel"/>
    <w:tmpl w:val="7DF627D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>
    <w:nsid w:val="7DF627D6"/>
    <w:multiLevelType w:val="hybridMultilevel"/>
    <w:tmpl w:val="7DF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>
    <w:nsid w:val="7DF627D7"/>
    <w:multiLevelType w:val="hybridMultilevel"/>
    <w:tmpl w:val="7DF627D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>
    <w:nsid w:val="7DF627D8"/>
    <w:multiLevelType w:val="multilevel"/>
    <w:tmpl w:val="7DF62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7DF627D9"/>
    <w:multiLevelType w:val="hybridMultilevel"/>
    <w:tmpl w:val="7DF627D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>
    <w:nsid w:val="7DF627DA"/>
    <w:multiLevelType w:val="hybridMultilevel"/>
    <w:tmpl w:val="7DF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7DF627DB"/>
    <w:multiLevelType w:val="hybridMultilevel"/>
    <w:tmpl w:val="7DF627D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>
    <w:nsid w:val="7DF627DC"/>
    <w:multiLevelType w:val="hybridMultilevel"/>
    <w:tmpl w:val="7DF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>
    <w:nsid w:val="7DF627DD"/>
    <w:multiLevelType w:val="hybridMultilevel"/>
    <w:tmpl w:val="7DF627D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>
    <w:nsid w:val="7DF627DE"/>
    <w:multiLevelType w:val="hybridMultilevel"/>
    <w:tmpl w:val="7DF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7DF627DF"/>
    <w:multiLevelType w:val="hybridMultilevel"/>
    <w:tmpl w:val="7DF627D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7DF627E0"/>
    <w:multiLevelType w:val="hybridMultilevel"/>
    <w:tmpl w:val="7DF6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1">
    <w:nsid w:val="7DF627E1"/>
    <w:multiLevelType w:val="hybridMultilevel"/>
    <w:tmpl w:val="7DF627E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2">
    <w:nsid w:val="7DF627E2"/>
    <w:multiLevelType w:val="hybridMultilevel"/>
    <w:tmpl w:val="7DF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3">
    <w:nsid w:val="7DF627E3"/>
    <w:multiLevelType w:val="hybridMultilevel"/>
    <w:tmpl w:val="7DF627E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4">
    <w:nsid w:val="7DF627E4"/>
    <w:multiLevelType w:val="hybridMultilevel"/>
    <w:tmpl w:val="7DF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5">
    <w:nsid w:val="7DF627E5"/>
    <w:multiLevelType w:val="hybridMultilevel"/>
    <w:tmpl w:val="7DF627E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6">
    <w:nsid w:val="7DF627E6"/>
    <w:multiLevelType w:val="hybridMultilevel"/>
    <w:tmpl w:val="7DF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7">
    <w:nsid w:val="7DF627E7"/>
    <w:multiLevelType w:val="hybridMultilevel"/>
    <w:tmpl w:val="7DF627E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8">
    <w:nsid w:val="7DF627E8"/>
    <w:multiLevelType w:val="hybridMultilevel"/>
    <w:tmpl w:val="7DF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9">
    <w:nsid w:val="7DF627E9"/>
    <w:multiLevelType w:val="hybridMultilevel"/>
    <w:tmpl w:val="7DF627E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0">
    <w:nsid w:val="7DF627EA"/>
    <w:multiLevelType w:val="hybridMultilevel"/>
    <w:tmpl w:val="7DF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1">
    <w:nsid w:val="7DF627EB"/>
    <w:multiLevelType w:val="hybridMultilevel"/>
    <w:tmpl w:val="7DF627E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2">
    <w:nsid w:val="7DF627EC"/>
    <w:multiLevelType w:val="hybridMultilevel"/>
    <w:tmpl w:val="7DF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3">
    <w:nsid w:val="7DF627ED"/>
    <w:multiLevelType w:val="hybridMultilevel"/>
    <w:tmpl w:val="7DF627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4">
    <w:nsid w:val="7DF627EE"/>
    <w:multiLevelType w:val="hybridMultilevel"/>
    <w:tmpl w:val="7DF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5">
    <w:nsid w:val="7DF627EF"/>
    <w:multiLevelType w:val="hybridMultilevel"/>
    <w:tmpl w:val="7DF627E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6">
    <w:nsid w:val="7DF627F0"/>
    <w:multiLevelType w:val="hybridMultilevel"/>
    <w:tmpl w:val="7DF6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7">
    <w:nsid w:val="7DF627F1"/>
    <w:multiLevelType w:val="hybridMultilevel"/>
    <w:tmpl w:val="7DF627F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8">
    <w:nsid w:val="7DF627F2"/>
    <w:multiLevelType w:val="hybridMultilevel"/>
    <w:tmpl w:val="7DF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9">
    <w:nsid w:val="7DF627F3"/>
    <w:multiLevelType w:val="hybridMultilevel"/>
    <w:tmpl w:val="7DF627F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0">
    <w:nsid w:val="7DF627F4"/>
    <w:multiLevelType w:val="hybridMultilevel"/>
    <w:tmpl w:val="7DF6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1">
    <w:nsid w:val="7DF627F5"/>
    <w:multiLevelType w:val="hybridMultilevel"/>
    <w:tmpl w:val="7DF627F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2">
    <w:nsid w:val="7DF627F6"/>
    <w:multiLevelType w:val="hybridMultilevel"/>
    <w:tmpl w:val="7DF6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3">
    <w:nsid w:val="7DF627F7"/>
    <w:multiLevelType w:val="hybridMultilevel"/>
    <w:tmpl w:val="7DF627F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4">
    <w:nsid w:val="7DF627F8"/>
    <w:multiLevelType w:val="hybridMultilevel"/>
    <w:tmpl w:val="7DF6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5">
    <w:nsid w:val="7DF627F9"/>
    <w:multiLevelType w:val="hybridMultilevel"/>
    <w:tmpl w:val="7DF627F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6">
    <w:nsid w:val="7DF627FA"/>
    <w:multiLevelType w:val="hybridMultilevel"/>
    <w:tmpl w:val="7DF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7">
    <w:nsid w:val="7DF627FB"/>
    <w:multiLevelType w:val="hybridMultilevel"/>
    <w:tmpl w:val="7DF627F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8">
    <w:nsid w:val="7DF627FC"/>
    <w:multiLevelType w:val="hybridMultilevel"/>
    <w:tmpl w:val="7DF6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yperlink" Target="https://man.staff.orbita.x5.ru/" TargetMode="External" /><Relationship Id="rId12" Type="http://schemas.openxmlformats.org/officeDocument/2006/relationships/image" Target="media/image1.png" /><Relationship Id="rId13" Type="http://schemas.openxmlformats.org/officeDocument/2006/relationships/image" Target="media/image2.png" /><Relationship Id="rId14" Type="http://schemas.openxmlformats.org/officeDocument/2006/relationships/hyperlink" Target="https://xlnk-rooms.x5.ru/join/chat/SwY8Ozl4VmCjhc2n_KWhqw:_WlLfF0wVkO4YootCM-l_g:pJtQutV_Uja77nFnK_XCXQ:HZxqnGcqUHe7M8CCPSiZRw:Y3RzLXJvb21zLng1LnJ1" TargetMode="External" /><Relationship Id="rId15" Type="http://schemas.openxmlformats.org/officeDocument/2006/relationships/image" Target="media/image3.png" /><Relationship Id="rId16" Type="http://schemas.openxmlformats.org/officeDocument/2006/relationships/image" Target="media/image4.png" /><Relationship Id="rId17" Type="http://schemas.openxmlformats.org/officeDocument/2006/relationships/image" Target="media/image5.png" /><Relationship Id="rId18" Type="http://schemas.openxmlformats.org/officeDocument/2006/relationships/image" Target="media/image6.png" /><Relationship Id="rId19" Type="http://schemas.openxmlformats.org/officeDocument/2006/relationships/hyperlink" Target="https://catman.x5.ru/tactic/decisions" TargetMode="External" /><Relationship Id="rId2" Type="http://schemas.openxmlformats.org/officeDocument/2006/relationships/webSettings" Target="webSettings.xml" /><Relationship Id="rId20" Type="http://schemas.openxmlformats.org/officeDocument/2006/relationships/image" Target="media/image7.png" /><Relationship Id="rId21" Type="http://schemas.openxmlformats.org/officeDocument/2006/relationships/image" Target="media/image8.png" /><Relationship Id="rId22" Type="http://schemas.openxmlformats.org/officeDocument/2006/relationships/image" Target="media/image9.png" /><Relationship Id="rId23" Type="http://schemas.openxmlformats.org/officeDocument/2006/relationships/image" Target="media/image10.png" /><Relationship Id="rId24" Type="http://schemas.openxmlformats.org/officeDocument/2006/relationships/image" Target="media/image11.png" /><Relationship Id="rId25" Type="http://schemas.openxmlformats.org/officeDocument/2006/relationships/image" Target="media/image12.png" /><Relationship Id="rId26" Type="http://schemas.openxmlformats.org/officeDocument/2006/relationships/image" Target="media/image13.png" /><Relationship Id="rId27" Type="http://schemas.openxmlformats.org/officeDocument/2006/relationships/image" Target="media/image14.png" /><Relationship Id="rId28" Type="http://schemas.openxmlformats.org/officeDocument/2006/relationships/image" Target="media/image15.png" /><Relationship Id="rId29" Type="http://schemas.openxmlformats.org/officeDocument/2006/relationships/image" Target="media/image16.png" /><Relationship Id="rId3" Type="http://schemas.openxmlformats.org/officeDocument/2006/relationships/fontTable" Target="fontTable.xml" /><Relationship Id="rId30" Type="http://schemas.openxmlformats.org/officeDocument/2006/relationships/image" Target="media/image17.png" /><Relationship Id="rId31" Type="http://schemas.openxmlformats.org/officeDocument/2006/relationships/image" Target="media/image18.png" /><Relationship Id="rId32" Type="http://schemas.openxmlformats.org/officeDocument/2006/relationships/image" Target="media/image19.png" /><Relationship Id="rId33" Type="http://schemas.openxmlformats.org/officeDocument/2006/relationships/image" Target="media/image20.png" /><Relationship Id="rId34" Type="http://schemas.openxmlformats.org/officeDocument/2006/relationships/image" Target="media/image21.png" /><Relationship Id="rId35" Type="http://schemas.openxmlformats.org/officeDocument/2006/relationships/image" Target="media/image22.png" /><Relationship Id="rId36" Type="http://schemas.openxmlformats.org/officeDocument/2006/relationships/image" Target="media/image23.png" /><Relationship Id="rId37" Type="http://schemas.openxmlformats.org/officeDocument/2006/relationships/image" Target="media/image24.png" /><Relationship Id="rId38" Type="http://schemas.openxmlformats.org/officeDocument/2006/relationships/image" Target="media/image25.png" /><Relationship Id="rId39" Type="http://schemas.openxmlformats.org/officeDocument/2006/relationships/image" Target="media/image26.png" /><Relationship Id="rId4" Type="http://schemas.openxmlformats.org/officeDocument/2006/relationships/customXml" Target="../customXml/item1.xml" /><Relationship Id="rId40" Type="http://schemas.openxmlformats.org/officeDocument/2006/relationships/image" Target="media/image27.png" /><Relationship Id="rId41" Type="http://schemas.openxmlformats.org/officeDocument/2006/relationships/image" Target="media/image28.png" /><Relationship Id="rId42" Type="http://schemas.openxmlformats.org/officeDocument/2006/relationships/image" Target="media/image29.png" /><Relationship Id="rId43" Type="http://schemas.openxmlformats.org/officeDocument/2006/relationships/footer" Target="footer4.xml" /><Relationship Id="rId44" Type="http://schemas.openxmlformats.org/officeDocument/2006/relationships/theme" Target="theme/theme1.xml" /><Relationship Id="rId45" Type="http://schemas.openxmlformats.org/officeDocument/2006/relationships/numbering" Target="numbering.xml" /><Relationship Id="rId46" Type="http://schemas.openxmlformats.org/officeDocument/2006/relationships/styles" Target="styles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24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2026-09-23T11:47:54Z</dcterms:created>
  <dcterms:modified xsi:type="dcterms:W3CDTF">2026-09-23T11:47:54Z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