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r>
        <w:br/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  <w:r/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Default="004829E6" w:rsidP="004829E6">
      <w:pPr>
        <w:jc w:val="center"/>
        <w:rPr>
          <w:rFonts w:ascii="Arial" w:hAnsi="Arial" w:cs="Arial"/>
          <w:b/>
        </w:rPr>
      </w:pPr>
      <w: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Pr="005C48EE" w:rsidRDefault="004829E6" w:rsidP="004829E6">
      <w:pPr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Elena Marques Zanandrea (CPF: 142.893.627-02)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Pr="005C48EE" w:rsidRDefault="004829E6" w:rsidP="004829E6">
      <w:pPr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Servimo-nos do presente para informar-lhe que, conforme pedido de demissão realizado no dia __/__/____, em conformidade com o artigo 487 da CLT, informamos que a sra. fica dispensada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Solicitamos seu comparecimento, ao RH, no endereço R. Joaquim Lírio, n 76, Praia do Canto, Vitória – es, às __:__h de __/__/____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29 de Janeiro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Elena Marques Zanandrea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r/>
    </w:p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Elena Marques Zanandrea  (CPF: 142.893.627-02)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  <w:r/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O seu exame demissional foi agendado para __/__/____.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Clínica: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Endereço: 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Horário de atendimento: 08h às 11:30h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29 de Janeiro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  <w:r/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/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Elena Marques Zanandrea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  <w:r/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