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3E7A4E"/>
          <w:sz w:val="72"/>
          <w:szCs w:val="72"/>
        </w:rPr>
        <w:t xml:space="preserve">AMZ FUTURE</w:t>
      </w:r>
    </w:p>
    <w:p>
      <w:pPr>
        <w:spacing w:after="200" w:before="200"/>
        <w:jc w:val="center"/>
      </w:pPr>
      <w:r>
        <w:rPr>
          <w:color w:val="444444"/>
          <w:sz w:val="40"/>
          <w:szCs w:val="40"/>
        </w:rPr>
        <w:t xml:space="preserve">Plan de Marketing</w:t>
      </w:r>
    </w:p>
    <w:p>
      <w:pPr>
        <w:spacing w:before="100"/>
        <w:jc w:val="center"/>
      </w:pPr>
      <w:r>
        <w:rPr>
          <w:i/>
          <w:iCs/>
          <w:color w:val="666666"/>
          <w:sz w:val="24"/>
          <w:szCs w:val="24"/>
        </w:rPr>
        <w:t xml:space="preserve">Comercio de productos sostenibles y biodegradables a través de Amazon</w:t>
      </w:r>
    </w:p>
    <w:p>
      <w:pPr>
        <w:spacing w:before="1600"/>
        <w:jc w:val="center"/>
      </w:pPr>
      <w:r>
        <w:rPr>
          <w:b/>
          <w:bCs/>
          <w:sz w:val="24"/>
          <w:szCs w:val="24"/>
        </w:rPr>
        <w:t xml:space="preserve">Equipo emprendedor</w:t>
      </w:r>
    </w:p>
    <w:p>
      <w:pPr>
        <w:jc w:val="center"/>
      </w:pPr>
      <w:r>
        <w:rPr>
          <w:sz w:val="24"/>
          <w:szCs w:val="24"/>
        </w:rPr>
        <w:t xml:space="preserve">Gonzalo</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Introducción</w:t>
      </w:r>
    </w:p>
    <w:p>
      <w:pPr>
        <w:pStyle w:val="Heading2"/>
        <w:spacing w:after="120" w:before="260"/>
      </w:pPr>
      <w:r>
        <w:t xml:space="preserve">1.1. Presentación del equipo emprendedor</w:t>
      </w:r>
    </w:p>
    <w:p>
      <w:pPr>
        <w:spacing w:after="160" w:line="276"/>
      </w:pPr>
      <w:r>
        <w:rPr>
          <w:b/>
          <w:bCs/>
        </w:rPr>
        <w:t xml:space="preserve">Gonzalo: </w:t>
      </w:r>
      <w:r>
        <w:t xml:space="preserve">encargado de todo el trabajo.</w:t>
      </w:r>
    </w:p>
    <w:p>
      <w:pPr>
        <w:pStyle w:val="Heading2"/>
        <w:spacing w:after="120" w:before="260"/>
      </w:pPr>
      <w:r>
        <w:t xml:space="preserve">1.2. Descripción de la idea emprendedora</w:t>
      </w:r>
    </w:p>
    <w:p>
      <w:pPr>
        <w:spacing w:after="160" w:line="276"/>
      </w:pPr>
      <w:r>
        <w:t xml:space="preserve">Nuestra empresa, AMZ Future, se dedica a la compra de productos sostenibles —buenos para el comprador y para el medio ambiente— con la menor huella de carbono posible, para su posterior venta en Amazon. El envoltorio de los productos está hecho de cartón reciclado.</w:t>
      </w:r>
    </w:p>
    <w:p>
      <w:pPr>
        <w:spacing w:after="160" w:line="276"/>
      </w:pPr>
      <w:r>
        <w:t xml:space="preserve">Al colaborar con Amazon, contribuimos a ampliar la disponibilidad de productos ecológicos en el mercado y a fomentar la conciencia ambiental entre los compradores.</w:t>
      </w:r>
    </w:p>
    <w:p>
      <w:pPr>
        <w:spacing w:after="160" w:line="276"/>
      </w:pPr>
      <w:r>
        <w:t xml:space="preserve">En particular, hemos implementado una flota de vehículos de cero emisiones para nuestro transporte. Esto no solo reduce la contaminación del aire, sino que también sirve como ejemplo para otros actores de la industria logística.</w:t>
      </w:r>
    </w:p>
    <w:p>
      <w:pPr>
        <w:spacing w:after="160" w:line="276"/>
      </w:pPr>
      <w:r>
        <w:t xml:space="preserve">En resumen, en AMZ Future nuestra visión es liderar el camino hacia un mundo más sostenible y consciente del medio ambiente. A través de la selección de productos sostenibles, la colaboración con Amazon, la adopción de vehículos de cero emisiones y el uso de envoltorios reciclables, estamos comprometidos en marcar la diferencia y ser un modelo a seguir en la industria. Esperamos que cada compra en AMZ Future no solo sea un acto de adquisición de productos, sino también un pequeño paso hacia un futuro más verde y sostenible para todos.</w:t>
      </w:r>
    </w:p>
    <w:p>
      <w:pPr>
        <w:pStyle w:val="Heading2"/>
        <w:spacing w:after="120" w:before="260"/>
      </w:pPr>
      <w:r>
        <w:t xml:space="preserve">1.3. Innovación y valor agregado</w:t>
      </w:r>
    </w:p>
    <w:p>
      <w:pPr>
        <w:spacing w:after="160" w:line="276"/>
      </w:pPr>
      <w:r>
        <w:rPr>
          <w:b/>
          <w:bCs/>
        </w:rPr>
        <w:t xml:space="preserve">¿Qué necesidad resuelve? </w:t>
      </w:r>
      <w:r>
        <w:t xml:space="preserve">Dado que nuestro planeta tiene un alto índice de productos muy contaminantes e indesechables, AMZ Future quiere contribuir a su sostenibilidad empleando técnicas nuevas.</w:t>
      </w:r>
    </w:p>
    <w:p>
      <w:pPr>
        <w:spacing w:after="160" w:line="276"/>
      </w:pPr>
      <w:r>
        <w:rPr>
          <w:b/>
          <w:bCs/>
        </w:rPr>
        <w:t xml:space="preserve">¿Cómo resolvemos esa necesidad? </w:t>
      </w:r>
      <w:r>
        <w:t xml:space="preserve">Para solventar este problema, AMZ Future propone el comercio único de productos biodegradables (objetos con la capacidad de descomponerse de forma natural en elementos más simples y no dañinos para el medio ambiente), no solo con el fin de hacer crecer la empresa, sino también de crear una nueva tendencia para que otras empresas se fijen en nosotros y ayuden al medio ambiente.</w:t>
      </w:r>
    </w:p>
    <w:p>
      <w:pPr>
        <w:spacing w:after="160" w:line="276"/>
      </w:pPr>
      <w:r>
        <w:rPr>
          <w:b/>
          <w:bCs/>
        </w:rPr>
        <w:t xml:space="preserve">¿A quién beneficia? </w:t>
      </w:r>
      <w:r>
        <w:t xml:space="preserve">Principalmente, a todos: la salud del planeta se está viendo sumergida en un descontrol del que no habrá marcha atrás si no es por iniciativas como AMZ Future.</w:t>
      </w:r>
    </w:p>
    <w:p>
      <w:pPr>
        <w:spacing w:after="160" w:line="276"/>
      </w:pPr>
      <w:r>
        <w:t xml:space="preserve">Este es un problema que no se está inculcando a las generaciones venideras y que ya es un problema actual. Pero, poco a poco, se puede ir reduciendo esta contaminación con la ayuda de empresas como la nuestra.</w:t>
      </w:r>
    </w:p>
    <w:p>
      <w:pPr>
        <w:pStyle w:val="Heading2"/>
        <w:spacing w:after="120" w:before="260"/>
      </w:pPr>
      <w:r>
        <w:t xml:space="preserve">1.4. Impacto positivo</w:t>
      </w:r>
    </w:p>
    <w:p>
      <w:pPr>
        <w:spacing w:after="160" w:line="276"/>
      </w:pPr>
      <w:r>
        <w:t xml:space="preserve">Este proyecto aporta una mayor sostenibilidad frente al gran problema que afronta la sociedad actual. Hemos planteado la compra de productos nacionales o de países vecinos que sean biodegradables, y proporcionamos esta sostenibilidad a través de los siguientes puntos:</w:t>
      </w:r>
    </w:p>
    <w:p>
      <w:pPr>
        <w:spacing w:after="160" w:line="276"/>
      </w:pPr>
      <w:r>
        <w:rPr>
          <w:b/>
          <w:bCs/>
        </w:rPr>
        <w:t xml:space="preserve">Transporte: </w:t>
      </w:r>
      <w:r>
        <w:t xml:space="preserve">compramos a proveedores cercanos para que la huella de carbono sea lo más pequeña posible, y siempre que sea posible utilizamos vehículos eléctricos. El embalaje de los productos nunca estará fabricado con materiales que contaminen, ya que iría en contra del propósito de la empresa.</w:t>
      </w:r>
    </w:p>
    <w:p>
      <w:pPr>
        <w:spacing w:after="160" w:line="276"/>
      </w:pPr>
      <w:r>
        <w:rPr>
          <w:b/>
          <w:bCs/>
        </w:rPr>
        <w:t xml:space="preserve">Productos: </w:t>
      </w:r>
      <w:r>
        <w:t xml:space="preserve">nos dedicamos a la venta de productos que no contaminen ni aporten a la huella de carbono actual. Serán productos de todo tipo —no buscamos un nicho concreto—, realizando un estudio de mercado para encontrar proveedores que los fabriquen sin contaminar y con un margen de beneficio razonable.</w:t>
      </w:r>
    </w:p>
    <w:p>
      <w:pPr>
        <w:spacing w:after="160" w:line="276"/>
      </w:pPr>
      <w:r>
        <w:rPr>
          <w:b/>
          <w:bCs/>
        </w:rPr>
        <w:t xml:space="preserve">Tendencia: </w:t>
      </w:r>
      <w:r>
        <w:t xml:space="preserve">otro objetivo es generar una tendencia entre las distintas empresas del sector. Este punto es muy importante ya que, siendo pioneros, podemos fomentar la fabricación de este tipo de productos.</w:t>
      </w:r>
    </w:p>
    <w:p>
      <w:pPr>
        <w:pStyle w:val="Heading1"/>
        <w:spacing w:after="160" w:before="360"/>
      </w:pPr>
      <w:r>
        <w:t xml:space="preserve">2. Propuesta de valor del proyecto</w:t>
      </w:r>
    </w:p>
    <w:p>
      <w:pPr>
        <w:pStyle w:val="Heading2"/>
        <w:spacing w:after="120" w:before="260"/>
      </w:pPr>
      <w:r>
        <w:t xml:space="preserve">2.1. Propuesta de valor única</w:t>
      </w:r>
    </w:p>
    <w:p>
      <w:pPr>
        <w:spacing w:after="160" w:line="276"/>
      </w:pPr>
      <w:r>
        <w:t xml:space="preserve">Nuestro proyecto, además de tener un fin lucrativo, se centra en crear una tendencia para convertirnos en ejemplo de otras compañías y que sigan nuestros pasos hacia un planeta sin huella de carbono, con el objetivo de lograr un planeta más sano y menos contaminante. En AMZ Future queremos que actividades cotidianas —como comprar un producto en Amazon— promuevan el cuidado del planeta contaminando lo menos posible. Buscamos incentivar a que el mayor número de empresas posible adopte nuestros valores: si iniciativas como la nuestra se popularizan y se normalizan, seremos capaces de instaurar unos pilares basados en la ecología y el cuidado del medio ambiente, evitando el punto de no retorno al que nuestra sociedad se acerca por el aumento constante de la huella de carbono.</w:t>
      </w:r>
    </w:p>
    <w:p>
      <w:pPr>
        <w:pStyle w:val="Heading2"/>
        <w:spacing w:after="120" w:before="260"/>
      </w:pPr>
      <w:r>
        <w:t xml:space="preserve">2.2. Descripción detallada de la propuesta de valor única</w:t>
      </w:r>
    </w:p>
    <w:p>
      <w:pPr>
        <w:spacing w:after="160" w:line="276"/>
      </w:pPr>
      <w:r>
        <w:t xml:space="preserve">Vamos a conseguirlo de una manera única: contaminando lo menos posible y reduciendo la huella de carbono al máximo. Como empresa, lo haremos de la siguiente manera:</w:t>
      </w:r>
    </w:p>
    <w:p>
      <w:pPr>
        <w:pStyle w:val="ListParagraph"/>
        <w:numPr>
          <w:ilvl w:val="0"/>
          <w:numId w:val="1"/>
        </w:numPr>
        <w:spacing w:after="100" w:line="276"/>
      </w:pPr>
      <w:r>
        <w:t xml:space="preserve">Contactaremos con proveedores de países vecinos para que, a la hora del transporte, la huella de carbono generada sea la menor posible.</w:t>
      </w:r>
    </w:p>
    <w:p>
      <w:pPr>
        <w:pStyle w:val="ListParagraph"/>
        <w:numPr>
          <w:ilvl w:val="0"/>
          <w:numId w:val="1"/>
        </w:numPr>
        <w:spacing w:after="100" w:line="276"/>
      </w:pPr>
      <w:r>
        <w:t xml:space="preserve">Los productos viajarán en los medios de transporte menos contaminantes posibles.</w:t>
      </w:r>
    </w:p>
    <w:p>
      <w:pPr>
        <w:pStyle w:val="ListParagraph"/>
        <w:numPr>
          <w:ilvl w:val="0"/>
          <w:numId w:val="1"/>
        </w:numPr>
        <w:spacing w:after="100" w:line="276"/>
      </w:pPr>
      <w:r>
        <w:t xml:space="preserve">El producto en sí será biodegradable, al igual que su empaquetado; de lo contrario, sería una incongruencia en sí misma.</w:t>
      </w:r>
    </w:p>
    <w:p>
      <w:pPr>
        <w:pStyle w:val="ListParagraph"/>
        <w:numPr>
          <w:ilvl w:val="0"/>
          <w:numId w:val="1"/>
        </w:numPr>
        <w:spacing w:after="100" w:line="276"/>
      </w:pPr>
      <w:r>
        <w:t xml:space="preserve">Por último, para reforzar nuestras aptitudes medioambientales, lanzaremos campañas de marketing con el objetivo de dejar claro que no somos solo una empresa con fin de lucro, sino que miramos por el futuro de nuestro planeta y ponemos medidas para hacer de este proyecto un mundo mejor.</w:t>
      </w:r>
    </w:p>
    <w:p>
      <w:pPr>
        <w:spacing w:after="160" w:line="276"/>
      </w:pPr>
      <w:r>
        <w:t xml:space="preserve">Es un hecho que, por mucho empeño que se ponga en resolver un problema, quizás se siga formando parte de él. Con esto queda claro que, por muchas medidas que tomemos para reducir la huella de carbono, vamos a seguir siendo parte de ella. Por eso, siendo realistas, nuestro objetivo es fomentar que otras empresas realicen actividades como las nuestras para que el problema sea cada vez menor, hasta llegar a un punto en el que el mundo esté acostumbrado a actuar de esta forma.</w:t>
      </w:r>
    </w:p>
    <w:p>
      <w:pPr>
        <w:pStyle w:val="Heading1"/>
        <w:spacing w:after="160" w:before="360"/>
      </w:pPr>
      <w:r>
        <w:t xml:space="preserve">3. Competencia</w:t>
      </w:r>
    </w:p>
    <w:p>
      <w:pPr>
        <w:pStyle w:val="Heading2"/>
        <w:spacing w:after="120" w:before="260"/>
      </w:pPr>
      <w:r>
        <w:t xml:space="preserve">3.1. Competencia directa</w:t>
      </w:r>
    </w:p>
    <w:p>
      <w:pPr>
        <w:spacing w:after="160" w:line="276"/>
      </w:pPr>
      <w:r>
        <w:t xml:space="preserve">En cuanto a competencia directa, no existe ninguna empresa que compita con AMZ Future: en este caso somos una empresa pionera. Dentro del mercado de Amazon somos los únicos que trabajamos de esta manera.</w:t>
      </w:r>
    </w:p>
    <w:p>
      <w:pPr>
        <w:spacing w:after="160" w:line="276"/>
      </w:pPr>
      <w:r>
        <w:t xml:space="preserve">Ninguna otra empresa propone ni lleva a cabo estos procesos como lo hace AMZ Future —por ejemplo, organizar los envíos a los almacenes de Amazon con vehículos de cero emisiones y que los propios productos sean biodegradables y se empaqueten con materiales reciclables—. Por ello, queremos que esto cambie, con la finalidad de alcanzar un planeta libre de huella de carbono.</w:t>
      </w:r>
    </w:p>
    <w:p>
      <w:pPr>
        <w:pStyle w:val="Heading2"/>
        <w:spacing w:after="120" w:before="260"/>
      </w:pPr>
      <w:r>
        <w:t xml:space="preserve">3.2. Competencia indirecta</w:t>
      </w:r>
    </w:p>
    <w:p>
      <w:pPr>
        <w:spacing w:after="160" w:line="276"/>
      </w:pPr>
      <w:r>
        <w:t xml:space="preserve">Nuestra compañía sí se encuentra en un mercado donde existen empresas que suponen una competencia indirecta: empresas de tecnología ambiental, de reciclaje y de educación ambiental, entre otras. No ofrecen el mismo producto, pero satisfacen las mismas necesidades del cliente. Algunos ejemplos:</w:t>
      </w:r>
    </w:p>
    <w:p>
      <w:pPr>
        <w:pStyle w:val="ListParagraph"/>
        <w:numPr>
          <w:ilvl w:val="0"/>
          <w:numId w:val="1"/>
        </w:numPr>
        <w:spacing w:after="100" w:line="276"/>
      </w:pPr>
      <w:r>
        <w:t xml:space="preserve">Tetra Pak — produce envases biodegradables.</w:t>
      </w:r>
    </w:p>
    <w:p>
      <w:pPr>
        <w:pStyle w:val="ListParagraph"/>
        <w:numPr>
          <w:ilvl w:val="0"/>
          <w:numId w:val="1"/>
        </w:numPr>
        <w:spacing w:after="100" w:line="276"/>
      </w:pPr>
      <w:r>
        <w:t xml:space="preserve">NatureWorks — produce bioplásticos a base de plantas.</w:t>
      </w:r>
    </w:p>
    <w:p>
      <w:pPr>
        <w:pStyle w:val="ListParagraph"/>
        <w:numPr>
          <w:ilvl w:val="0"/>
          <w:numId w:val="1"/>
        </w:numPr>
        <w:spacing w:after="100" w:line="276"/>
      </w:pPr>
      <w:r>
        <w:t xml:space="preserve">Green Good — comercia con productos alimenticios biodegradables.</w:t>
      </w:r>
    </w:p>
    <w:p>
      <w:pPr>
        <w:pStyle w:val="ListParagraph"/>
        <w:numPr>
          <w:ilvl w:val="0"/>
          <w:numId w:val="1"/>
        </w:numPr>
        <w:spacing w:after="100" w:line="276"/>
      </w:pPr>
      <w:r>
        <w:t xml:space="preserve">BioPak — competencia directa de Tetra Pak.</w:t>
      </w:r>
    </w:p>
    <w:p>
      <w:pPr>
        <w:pStyle w:val="Heading1"/>
        <w:spacing w:after="160" w:before="360"/>
      </w:pPr>
      <w:r>
        <w:t xml:space="preserve">4. Mercado</w:t>
      </w:r>
    </w:p>
    <w:p>
      <w:pPr>
        <w:pStyle w:val="Heading2"/>
        <w:spacing w:after="120" w:before="260"/>
      </w:pPr>
      <w:r>
        <w:t xml:space="preserve">4.1. Mercado objetivo</w:t>
      </w:r>
    </w:p>
    <w:p>
      <w:pPr>
        <w:spacing w:after="160" w:line="276"/>
      </w:pPr>
      <w:r>
        <w:t xml:space="preserve">AMZ Future está centrada únicamente en el mercado de Amazon. Hemos decidido entrar en este marketplace porque es el más grande del mundo: esto puede hacer que nuestro beneficio neto sea ligeramente menor, pero nos permite llegar a un número de personas mucho mayor y alcanzar niveles de facturación que serían prácticamente imposibles de lograr en otro marketplace sin una inversión inicial elevada.</w:t>
      </w:r>
    </w:p>
    <w:p>
      <w:pPr>
        <w:spacing w:after="160" w:line="276"/>
      </w:pPr>
      <w:r>
        <w:t xml:space="preserve">Algunos datos que respaldan esta decisión:</w:t>
      </w:r>
    </w:p>
    <w:p>
      <w:pPr>
        <w:pStyle w:val="ListParagraph"/>
        <w:numPr>
          <w:ilvl w:val="0"/>
          <w:numId w:val="1"/>
        </w:numPr>
        <w:spacing w:after="100" w:line="276"/>
      </w:pPr>
      <w:r>
        <w:t xml:space="preserve">El 84 % de los españoles ha comprado alguna vez en Amazon.</w:t>
      </w:r>
    </w:p>
    <w:p>
      <w:pPr>
        <w:pStyle w:val="ListParagraph"/>
        <w:numPr>
          <w:ilvl w:val="0"/>
          <w:numId w:val="1"/>
        </w:numPr>
        <w:spacing w:after="100" w:line="276"/>
      </w:pPr>
      <w:r>
        <w:t xml:space="preserve">El 31 % de la población española compra habitualmente en Amazon.</w:t>
      </w:r>
    </w:p>
    <w:p>
      <w:pPr>
        <w:pStyle w:val="ListParagraph"/>
        <w:numPr>
          <w:ilvl w:val="0"/>
          <w:numId w:val="1"/>
        </w:numPr>
        <w:spacing w:after="100" w:line="276"/>
      </w:pPr>
      <w:r>
        <w:t xml:space="preserve">Amazon ha facturado más de 6.400 millones de euros desde 2011.</w:t>
      </w:r>
    </w:p>
    <w:p>
      <w:pPr>
        <w:pStyle w:val="ListParagraph"/>
        <w:numPr>
          <w:ilvl w:val="0"/>
          <w:numId w:val="1"/>
        </w:numPr>
        <w:spacing w:after="100" w:line="276"/>
      </w:pPr>
      <w:r>
        <w:t xml:space="preserve">La sección de belleza y cuidado personal es la que más factura en Amazon, lo que hace muy viable vender productos biodegradables de esta categoría.</w:t>
      </w:r>
    </w:p>
    <w:p>
      <w:pPr>
        <w:spacing w:after="200" w:before="100"/>
      </w:pPr>
      <w:r>
        <w:rPr>
          <w:i/>
          <w:iCs/>
          <w:color w:val="946A00"/>
        </w:rPr>
        <w:t xml:space="preserve">Nota de revisión: la cifra de facturación de Amazon (6.400 M€ desde 2011) no cita fuente en el documento original; conviene verificarla o referenciarla antes de publicarla.</w:t>
      </w:r>
    </w:p>
    <w:p>
      <w:pPr>
        <w:pStyle w:val="Heading2"/>
        <w:spacing w:after="120" w:before="260"/>
      </w:pPr>
      <w:r>
        <w:t xml:space="preserve">4.2. Mercado meta</w:t>
      </w:r>
    </w:p>
    <w:p>
      <w:pPr>
        <w:pStyle w:val="Heading3"/>
        <w:spacing w:after="100" w:before="200"/>
      </w:pPr>
      <w:r>
        <w:t xml:space="preserve">Expertos de la industria de la moda sostenible</w:t>
      </w:r>
    </w:p>
    <w:p>
      <w:pPr>
        <w:spacing w:after="160" w:line="276"/>
      </w:pPr>
      <w:r>
        <w:rPr>
          <w:b/>
          <w:bCs/>
        </w:rPr>
        <w:t xml:space="preserve">Descripción: </w:t>
      </w:r>
      <w:r>
        <w:t xml:space="preserve">diseñadores de moda sostenible, fabricantes y otros profesionales de la industria que valoran la sostenibilidad en todas las etapas del proceso de producción y distribución.</w:t>
      </w:r>
    </w:p>
    <w:p>
      <w:pPr>
        <w:spacing w:after="160" w:line="276"/>
      </w:pPr>
      <w:r>
        <w:rPr>
          <w:b/>
          <w:bCs/>
        </w:rPr>
        <w:t xml:space="preserve">Cifras y estadísticas: </w:t>
      </w:r>
      <w:r>
        <w:t xml:space="preserve">en 2021, la industria de la moda sostenible representó el 3,1 % del mercado mundial de la moda, con un valor estimado de 36.100 millones de dólares (Business of Fashion). Se espera que este mercado crezca a una tasa anual compuesta del 10,7 % entre 2020 y 2027 (Grand View Research).</w:t>
      </w:r>
    </w:p>
    <w:p>
      <w:pPr>
        <w:spacing w:after="160" w:line="276"/>
      </w:pPr>
      <w:r>
        <w:rPr>
          <w:b/>
          <w:bCs/>
        </w:rPr>
        <w:t xml:space="preserve">Necesidades y preferencias: </w:t>
      </w:r>
      <w:r>
        <w:t xml:space="preserve">valoran la transparencia de la cadena de suministro y buscan proveedores que ofrezcan productos sostenibles y envases ecológicos.</w:t>
      </w:r>
    </w:p>
    <w:p>
      <w:pPr>
        <w:pStyle w:val="Heading3"/>
        <w:spacing w:after="100" w:before="200"/>
      </w:pPr>
      <w:r>
        <w:t xml:space="preserve">Consumidores conscientes del medio ambiente</w:t>
      </w:r>
    </w:p>
    <w:p>
      <w:pPr>
        <w:spacing w:after="160" w:line="276"/>
      </w:pPr>
      <w:r>
        <w:rPr>
          <w:b/>
          <w:bCs/>
        </w:rPr>
        <w:t xml:space="preserve">Descripción: </w:t>
      </w:r>
      <w:r>
        <w:t xml:space="preserve">consumidores que priorizan la sostenibilidad en sus decisiones de compra y están dispuestos a pagar algo más por productos con menor impacto ambiental.</w:t>
      </w:r>
    </w:p>
    <w:p>
      <w:pPr>
        <w:spacing w:after="160" w:line="276"/>
      </w:pPr>
      <w:r>
        <w:rPr>
          <w:b/>
          <w:bCs/>
        </w:rPr>
        <w:t xml:space="preserve">Cifras y estadísticas: </w:t>
      </w:r>
      <w:r>
        <w:t xml:space="preserve">una encuesta de 2020 encontró que el 57 % de los consumidores globales está dispuesto a cambiar sus hábitos de consumo para reducir su impacto ambiental (Nielsen). El 44 % de los consumidores de la Generación Z busca productos sostenibles y ecológicos al comprar online (McKinsey).</w:t>
      </w:r>
    </w:p>
    <w:p>
      <w:pPr>
        <w:spacing w:after="160" w:line="276"/>
      </w:pPr>
      <w:r>
        <w:rPr>
          <w:b/>
          <w:bCs/>
        </w:rPr>
        <w:t xml:space="preserve">Necesidades y preferencias: </w:t>
      </w:r>
      <w:r>
        <w:t xml:space="preserve">buscan productos sostenibles y prefieren opciones de embalaje reutilizable y mínimo.</w:t>
      </w:r>
    </w:p>
    <w:p>
      <w:pPr>
        <w:pStyle w:val="Heading3"/>
        <w:spacing w:after="100" w:before="200"/>
      </w:pPr>
      <w:r>
        <w:t xml:space="preserve">Empresas comprometidas con la sostenibilidad corporativa</w:t>
      </w:r>
    </w:p>
    <w:p>
      <w:pPr>
        <w:spacing w:after="160" w:line="276"/>
      </w:pPr>
      <w:r>
        <w:rPr>
          <w:b/>
          <w:bCs/>
        </w:rPr>
        <w:t xml:space="preserve">Descripción: </w:t>
      </w:r>
      <w:r>
        <w:t xml:space="preserve">empresas y negocios que implementan prácticas sostenibles en sus operaciones y buscan proveedores que les ayuden a alcanzar sus objetivos de sostenibilidad.</w:t>
      </w:r>
    </w:p>
    <w:p>
      <w:pPr>
        <w:spacing w:after="160" w:line="276"/>
      </w:pPr>
      <w:r>
        <w:rPr>
          <w:b/>
          <w:bCs/>
        </w:rPr>
        <w:t xml:space="preserve">Cifras y estadísticas: </w:t>
      </w:r>
      <w:r>
        <w:t xml:space="preserve">el 80 % de las empresas encuestadas en 2020 afirmó que la sostenibilidad era importante para su éxito a largo plazo (McKinsey). Se espera que el mercado global de servicios sostenibles y soluciones ambientales alcance los 1,34 billones de dólares en 2027 (Grand View Research).</w:t>
      </w:r>
    </w:p>
    <w:p>
      <w:pPr>
        <w:spacing w:after="160" w:line="276"/>
      </w:pPr>
      <w:r>
        <w:rPr>
          <w:b/>
          <w:bCs/>
        </w:rPr>
        <w:t xml:space="preserve">Necesidades y preferencias: </w:t>
      </w:r>
      <w:r>
        <w:t xml:space="preserve">buscan proveedores que ofrezcan productos sostenibles y soluciones logísticas que les ayuden a alcanzar sus objetivos corporativos de sostenibilidad.</w:t>
      </w:r>
    </w:p>
    <w:p>
      <w:pPr>
        <w:pStyle w:val="Heading2"/>
        <w:spacing w:after="120" w:before="260"/>
      </w:pPr>
      <w:r>
        <w:t xml:space="preserve">4.3. Perfiles de cliente ideal</w:t>
      </w:r>
    </w:p>
    <w:p>
      <w:pPr>
        <w:pStyle w:val="Heading3"/>
        <w:spacing w:after="100" w:before="200"/>
      </w:pPr>
      <w:r>
        <w:t xml:space="preserve">Elena García — 32 años, diseñadora de moda a tiempo completo</w:t>
      </w:r>
    </w:p>
    <w:p>
      <w:pPr>
        <w:spacing w:after="160" w:line="276"/>
      </w:pPr>
      <w:r>
        <w:rPr>
          <w:b/>
          <w:bCs/>
        </w:rPr>
        <w:t xml:space="preserve">Sostenibilidad: </w:t>
      </w:r>
      <w:r>
        <w:t xml:space="preserve">le apasiona vivir de forma sostenible y reducir su impacto en el medio ambiente.</w:t>
      </w:r>
    </w:p>
    <w:p>
      <w:pPr>
        <w:spacing w:after="160" w:line="276"/>
      </w:pPr>
      <w:r>
        <w:rPr>
          <w:b/>
          <w:bCs/>
        </w:rPr>
        <w:t xml:space="preserve">Moda ética: </w:t>
      </w:r>
      <w:r>
        <w:t xml:space="preserve">concede gran importancia a la producción ética y sostenible, y busca materiales ecológicos y prácticas de fabricación responsables.</w:t>
      </w:r>
    </w:p>
    <w:p>
      <w:pPr>
        <w:spacing w:after="160" w:line="276"/>
      </w:pPr>
      <w:r>
        <w:rPr>
          <w:b/>
          <w:bCs/>
        </w:rPr>
        <w:t xml:space="preserve">Comodidad: </w:t>
      </w:r>
      <w:r>
        <w:t xml:space="preserve">aprecia la conveniencia y eficiencia de las compras online, incluidas las realizadas en Amazon.</w:t>
      </w:r>
    </w:p>
    <w:p>
      <w:pPr>
        <w:spacing w:after="160" w:line="276"/>
      </w:pPr>
      <w:r>
        <w:rPr>
          <w:b/>
          <w:bCs/>
        </w:rPr>
        <w:t xml:space="preserve">Innovación: </w:t>
      </w:r>
      <w:r>
        <w:t xml:space="preserve">busca constantemente nuevas formas de llevar la sostenibilidad a su estilo de vida.</w:t>
      </w:r>
    </w:p>
    <w:p>
      <w:pPr>
        <w:spacing w:after="160" w:line="276"/>
      </w:pPr>
      <w:r>
        <w:rPr>
          <w:b/>
          <w:bCs/>
        </w:rPr>
        <w:t xml:space="preserve">Concienciación sobre el embalaje: </w:t>
      </w:r>
      <w:r>
        <w:t xml:space="preserve">apoya a las empresas que usan embalajes reutilizables y prácticas sostenibles.</w:t>
      </w:r>
    </w:p>
    <w:p>
      <w:pPr>
        <w:spacing w:after="160" w:line="276"/>
      </w:pPr>
      <w:r>
        <w:rPr>
          <w:b/>
          <w:bCs/>
        </w:rPr>
        <w:t xml:space="preserve">Influencia en redes sociales: </w:t>
      </w:r>
      <w:r>
        <w:t xml:space="preserve">comparte activamente sus descubrimientos sobre moda sostenible con su comunidad.</w:t>
      </w:r>
    </w:p>
    <w:p>
      <w:pPr>
        <w:spacing w:after="160" w:line="276"/>
      </w:pPr>
      <w:r>
        <w:rPr>
          <w:b/>
          <w:bCs/>
        </w:rPr>
        <w:t xml:space="preserve">Qué espera: </w:t>
      </w:r>
      <w:r>
        <w:t xml:space="preserve">una amplia gama de productos sostenibles y éticos alineados con sus valores, transparencia sobre el origen y el proceso de producción, y una experiencia de compra online fácil, con envío rápido y embalaje reutilizable.</w:t>
      </w:r>
    </w:p>
    <w:p>
      <w:pPr>
        <w:spacing w:after="160" w:line="276"/>
      </w:pPr>
      <w:r>
        <w:rPr>
          <w:b/>
          <w:bCs/>
        </w:rPr>
        <w:t xml:space="preserve">Cómo estar a la altura: </w:t>
      </w:r>
      <w:r>
        <w:t xml:space="preserve">ofrecer una amplia gama de productos sostenibles (moda, hogar, cuidado personal), información detallada sobre materiales, métodos de producción y certificaciones, una experiencia de compra intuitiva y contenido en redes sociales que fomente la interacción.</w:t>
      </w:r>
    </w:p>
    <w:p>
      <w:pPr>
        <w:pStyle w:val="Heading3"/>
        <w:spacing w:after="100" w:before="200"/>
      </w:pPr>
      <w:r>
        <w:t xml:space="preserve">Carlos Martínez — 45 años, consultor de energía sostenible</w:t>
      </w:r>
    </w:p>
    <w:p>
      <w:pPr>
        <w:spacing w:after="160" w:line="276"/>
      </w:pPr>
      <w:r>
        <w:rPr>
          <w:b/>
          <w:bCs/>
        </w:rPr>
        <w:t xml:space="preserve">Energía sostenible: </w:t>
      </w:r>
      <w:r>
        <w:t xml:space="preserve">está implicado en la transición hacia fuentes de energía limpias y renovables.</w:t>
      </w:r>
    </w:p>
    <w:p>
      <w:pPr>
        <w:spacing w:after="160" w:line="276"/>
      </w:pPr>
      <w:r>
        <w:rPr>
          <w:b/>
          <w:bCs/>
        </w:rPr>
        <w:t xml:space="preserve">Estilo de vida ambientalmente consciente: </w:t>
      </w:r>
      <w:r>
        <w:t xml:space="preserve">busca reducir su huella de carbono en todas las áreas, incluidas las compras.</w:t>
      </w:r>
    </w:p>
    <w:p>
      <w:pPr>
        <w:spacing w:after="160" w:line="276"/>
      </w:pPr>
      <w:r>
        <w:rPr>
          <w:b/>
          <w:bCs/>
        </w:rPr>
        <w:t xml:space="preserve">Tecnología verde: </w:t>
      </w:r>
      <w:r>
        <w:t xml:space="preserve">le interesan los electrodomésticos eficientes y las soluciones de transporte verde.</w:t>
      </w:r>
    </w:p>
    <w:p>
      <w:pPr>
        <w:spacing w:after="160" w:line="276"/>
      </w:pPr>
      <w:r>
        <w:rPr>
          <w:b/>
          <w:bCs/>
        </w:rPr>
        <w:t xml:space="preserve">Educación y divulgación: </w:t>
      </w:r>
      <w:r>
        <w:t xml:space="preserve">apoya y comparte activamente información sobre prácticas sostenibles.</w:t>
      </w:r>
    </w:p>
    <w:p>
      <w:pPr>
        <w:spacing w:after="160" w:line="276"/>
      </w:pPr>
      <w:r>
        <w:rPr>
          <w:b/>
          <w:bCs/>
        </w:rPr>
        <w:t xml:space="preserve">Compra consciente: </w:t>
      </w:r>
      <w:r>
        <w:t xml:space="preserve">valora la calidad sobre la cantidad y está dispuesto a invertir en productos sostenibles y éticos.</w:t>
      </w:r>
    </w:p>
    <w:p>
      <w:pPr>
        <w:spacing w:after="160" w:line="276"/>
      </w:pPr>
      <w:r>
        <w:rPr>
          <w:b/>
          <w:bCs/>
        </w:rPr>
        <w:t xml:space="preserve">Qué espera: </w:t>
      </w:r>
      <w:r>
        <w:t xml:space="preserve">una selección de productos que le ayuden a reducir su huella de carbono, transparencia sobre origen y producción, y soluciones tecnológicas para un estilo de vida sostenible.</w:t>
      </w:r>
    </w:p>
    <w:p>
      <w:pPr>
        <w:spacing w:after="160" w:line="276"/>
      </w:pPr>
      <w:r>
        <w:rPr>
          <w:b/>
          <w:bCs/>
        </w:rPr>
        <w:t xml:space="preserve">Cómo estar a la altura: </w:t>
      </w:r>
      <w:r>
        <w:t xml:space="preserve">ofrecer tecnología ecológica y artículos para el hogar, información detallada sobre efectividad y certificaciones, entrega rápida con empaques duraderos, y contenido educativo sobre sostenibilidad.</w:t>
      </w:r>
    </w:p>
    <w:p>
      <w:pPr>
        <w:pStyle w:val="Heading2"/>
        <w:spacing w:after="120" w:before="260"/>
      </w:pPr>
      <w:r>
        <w:t xml:space="preserve">4.4. Proceso de envío</w:t>
      </w:r>
    </w:p>
    <w:p>
      <w:pPr>
        <w:pStyle w:val="ListParagraph"/>
        <w:numPr>
          <w:ilvl w:val="0"/>
          <w:numId w:val="1"/>
        </w:numPr>
        <w:spacing w:after="100" w:line="276"/>
      </w:pPr>
      <w:r>
        <w:t xml:space="preserve">1. Contactamos con los proveedores y compramos los productos.</w:t>
      </w:r>
    </w:p>
    <w:p>
      <w:pPr>
        <w:pStyle w:val="ListParagraph"/>
        <w:numPr>
          <w:ilvl w:val="0"/>
          <w:numId w:val="1"/>
        </w:numPr>
        <w:spacing w:after="100" w:line="276"/>
      </w:pPr>
      <w:r>
        <w:t xml:space="preserve">2. El producto llega a nuestros almacenes.</w:t>
      </w:r>
    </w:p>
    <w:p>
      <w:pPr>
        <w:pStyle w:val="ListParagraph"/>
        <w:numPr>
          <w:ilvl w:val="0"/>
          <w:numId w:val="1"/>
        </w:numPr>
        <w:spacing w:after="100" w:line="276"/>
      </w:pPr>
      <w:r>
        <w:t xml:space="preserve">3. Embalamos y enviamos el producto a los almacenes de Amazon.</w:t>
      </w:r>
    </w:p>
    <w:p>
      <w:pPr>
        <w:pStyle w:val="ListParagraph"/>
        <w:numPr>
          <w:ilvl w:val="0"/>
          <w:numId w:val="1"/>
        </w:numPr>
        <w:spacing w:after="100" w:line="276"/>
      </w:pPr>
      <w:r>
        <w:t xml:space="preserve">4. Tras usar el envoltorio reciclable, se sube al camión eléctrico y comienza el reparto.</w:t>
      </w:r>
    </w:p>
    <w:p>
      <w:pPr>
        <w:pStyle w:val="ListParagraph"/>
        <w:numPr>
          <w:ilvl w:val="0"/>
          <w:numId w:val="1"/>
        </w:numPr>
        <w:spacing w:after="100" w:line="276"/>
      </w:pPr>
      <w:r>
        <w:t xml:space="preserve">5. El cliente puede seguir su paquete en todo momento con el número de seguimiento.</w:t>
      </w:r>
    </w:p>
    <w:p>
      <w:pPr>
        <w:pStyle w:val="ListParagraph"/>
        <w:numPr>
          <w:ilvl w:val="0"/>
          <w:numId w:val="1"/>
        </w:numPr>
        <w:spacing w:after="100" w:line="276"/>
      </w:pPr>
      <w:r>
        <w:t xml:space="preserve">6. Al entregarse, se envía una encuesta para valorar todo el proceso.</w:t>
      </w:r>
    </w:p>
    <w:p>
      <w:pPr>
        <w:pStyle w:val="Heading1"/>
        <w:spacing w:after="160" w:before="360"/>
      </w:pPr>
      <w:r>
        <w:t xml:space="preserve">5. Benchmarks</w:t>
      </w:r>
    </w:p>
    <w:p>
      <w:pPr>
        <w:spacing w:after="160" w:line="276"/>
      </w:pPr>
      <w:r>
        <w:t xml:space="preserve">Comparativa del enfoque de sostenibilidad de AMZ Future frente a otras marcas de referencia en el sector.</w:t>
      </w:r>
    </w:p>
    <w:p>
      <w:pPr>
        <w:pStyle w:val="Heading2"/>
        <w:spacing w:after="120" w:before="260"/>
      </w:pPr>
      <w:r>
        <w:t xml:space="preserve">5.1. Sostenibilidad ambiental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5B8A" w:color="auto" w:val="clear"/>
            <w:tcMar>
              <w:top w:type="dxa" w:w="100"/>
              <w:left w:type="dxa" w:w="120"/>
              <w:bottom w:type="dxa" w:w="100"/>
              <w:right w:type="dxa" w:w="120"/>
            </w:tcMar>
          </w:tcPr>
          <w:p>
            <w:r>
              <w:rPr>
                <w:b/>
                <w:bCs/>
                <w:color w:val="FFFFFF"/>
              </w:rPr>
              <w:t xml:space="preserve">Empresa</w:t>
            </w:r>
          </w:p>
        </w:tc>
        <w:tc>
          <w:tcPr>
            <w:tcW w:type="dxa" w:w="6800"/>
            <w:shd w:fill="2E5B8A" w:color="auto" w:val="clear"/>
            <w:tcMar>
              <w:top w:type="dxa" w:w="100"/>
              <w:left w:type="dxa" w:w="120"/>
              <w:bottom w:type="dxa" w:w="100"/>
              <w:right w:type="dxa" w:w="120"/>
            </w:tcMar>
          </w:tcPr>
          <w:p>
            <w:r>
              <w:rPr>
                <w:b/>
                <w:bCs/>
                <w:color w:val="FFFFFF"/>
              </w:rPr>
              <w:t xml:space="preserve">Enfoque de sostenibilidad ambiental</w:t>
            </w:r>
          </w:p>
        </w:tc>
      </w:tr>
      <w:tr>
        <w:tc>
          <w:tcPr>
            <w:tcW w:type="dxa" w:w="2600"/>
            <w:shd w:fill="DCE6F1" w:color="auto" w:val="clear"/>
            <w:tcMar>
              <w:top w:type="dxa" w:w="100"/>
              <w:left w:type="dxa" w:w="120"/>
              <w:bottom w:type="dxa" w:w="100"/>
              <w:right w:type="dxa" w:w="120"/>
            </w:tcMar>
          </w:tcPr>
          <w:p>
            <w:r>
              <w:rPr>
                <w:b w:val="false"/>
                <w:bCs w:val="false"/>
              </w:rPr>
              <w:t xml:space="preserve">AMZ Future</w:t>
            </w:r>
          </w:p>
        </w:tc>
        <w:tc>
          <w:tcPr>
            <w:tcW w:type="dxa" w:w="6800"/>
            <w:shd w:fill="DCE6F1" w:color="auto" w:val="clear"/>
            <w:tcMar>
              <w:top w:type="dxa" w:w="100"/>
              <w:left w:type="dxa" w:w="120"/>
              <w:bottom w:type="dxa" w:w="100"/>
              <w:right w:type="dxa" w:w="120"/>
            </w:tcMar>
          </w:tcPr>
          <w:p>
            <w:r>
              <w:rPr>
                <w:b w:val="false"/>
                <w:bCs w:val="false"/>
              </w:rPr>
              <w:t xml:space="preserve">Utilización de materiales renovables, transporte eléctrico, embalajes biodegradables y flota de vehículos de reparto eléctricos.</w:t>
            </w:r>
          </w:p>
        </w:tc>
      </w:tr>
      <w:tr>
        <w:tc>
          <w:tcPr>
            <w:tcW w:type="dxa" w:w="2600"/>
            <w:tcMar>
              <w:top w:type="dxa" w:w="100"/>
              <w:left w:type="dxa" w:w="120"/>
              <w:bottom w:type="dxa" w:w="100"/>
              <w:right w:type="dxa" w:w="120"/>
            </w:tcMar>
          </w:tcPr>
          <w:p>
            <w:r>
              <w:rPr>
                <w:b w:val="false"/>
                <w:bCs w:val="false"/>
              </w:rPr>
              <w:t xml:space="preserve">EcoBrand</w:t>
            </w:r>
          </w:p>
        </w:tc>
        <w:tc>
          <w:tcPr>
            <w:tcW w:type="dxa" w:w="6800"/>
            <w:tcMar>
              <w:top w:type="dxa" w:w="100"/>
              <w:left w:type="dxa" w:w="120"/>
              <w:bottom w:type="dxa" w:w="100"/>
              <w:right w:type="dxa" w:w="120"/>
            </w:tcMar>
          </w:tcPr>
          <w:p>
            <w:r>
              <w:rPr>
                <w:b w:val="false"/>
                <w:bCs w:val="false"/>
              </w:rPr>
              <w:t xml:space="preserve">Uso de embalajes sostenibles y flota de vehículos eléctricos.</w:t>
            </w:r>
          </w:p>
        </w:tc>
      </w:tr>
      <w:tr>
        <w:tc>
          <w:tcPr>
            <w:tcW w:type="dxa" w:w="2600"/>
            <w:shd w:fill="DCE6F1" w:color="auto" w:val="clear"/>
            <w:tcMar>
              <w:top w:type="dxa" w:w="100"/>
              <w:left w:type="dxa" w:w="120"/>
              <w:bottom w:type="dxa" w:w="100"/>
              <w:right w:type="dxa" w:w="120"/>
            </w:tcMar>
          </w:tcPr>
          <w:p>
            <w:r>
              <w:rPr>
                <w:b w:val="false"/>
                <w:bCs w:val="false"/>
              </w:rPr>
              <w:t xml:space="preserve">Green Goods Inc.</w:t>
            </w:r>
          </w:p>
        </w:tc>
        <w:tc>
          <w:tcPr>
            <w:tcW w:type="dxa" w:w="6800"/>
            <w:shd w:fill="DCE6F1" w:color="auto" w:val="clear"/>
            <w:tcMar>
              <w:top w:type="dxa" w:w="100"/>
              <w:left w:type="dxa" w:w="120"/>
              <w:bottom w:type="dxa" w:w="100"/>
              <w:right w:type="dxa" w:w="120"/>
            </w:tcMar>
          </w:tcPr>
          <w:p>
            <w:r>
              <w:rPr>
                <w:b w:val="false"/>
                <w:bCs w:val="false"/>
              </w:rPr>
              <w:t xml:space="preserve">Certificación de carbono neutral y energía renovable en la cadena de suministro.</w:t>
            </w:r>
          </w:p>
        </w:tc>
      </w:tr>
      <w:tr>
        <w:tc>
          <w:tcPr>
            <w:tcW w:type="dxa" w:w="2600"/>
            <w:tcMar>
              <w:top w:type="dxa" w:w="100"/>
              <w:left w:type="dxa" w:w="120"/>
              <w:bottom w:type="dxa" w:w="100"/>
              <w:right w:type="dxa" w:w="120"/>
            </w:tcMar>
          </w:tcPr>
          <w:p>
            <w:r>
              <w:rPr>
                <w:b w:val="false"/>
                <w:bCs w:val="false"/>
              </w:rPr>
              <w:t xml:space="preserve">Alibaba</w:t>
            </w:r>
          </w:p>
        </w:tc>
        <w:tc>
          <w:tcPr>
            <w:tcW w:type="dxa" w:w="6800"/>
            <w:tcMar>
              <w:top w:type="dxa" w:w="100"/>
              <w:left w:type="dxa" w:w="120"/>
              <w:bottom w:type="dxa" w:w="100"/>
              <w:right w:type="dxa" w:w="120"/>
            </w:tcMar>
          </w:tcPr>
          <w:p>
            <w:r>
              <w:rPr>
                <w:b w:val="false"/>
                <w:bCs w:val="false"/>
              </w:rPr>
              <w:t xml:space="preserve">Programas de reciclaje de productos y producción libre de residuos.</w:t>
            </w:r>
          </w:p>
        </w:tc>
      </w:tr>
      <w:tr>
        <w:tc>
          <w:tcPr>
            <w:tcW w:type="dxa" w:w="2600"/>
            <w:shd w:fill="DCE6F1" w:color="auto" w:val="clear"/>
            <w:tcMar>
              <w:top w:type="dxa" w:w="100"/>
              <w:left w:type="dxa" w:w="120"/>
              <w:bottom w:type="dxa" w:w="100"/>
              <w:right w:type="dxa" w:w="120"/>
            </w:tcMar>
          </w:tcPr>
          <w:p>
            <w:r>
              <w:rPr>
                <w:b w:val="false"/>
                <w:bCs w:val="false"/>
              </w:rPr>
              <w:t xml:space="preserve">Zara</w:t>
            </w:r>
          </w:p>
        </w:tc>
        <w:tc>
          <w:tcPr>
            <w:tcW w:type="dxa" w:w="6800"/>
            <w:shd w:fill="DCE6F1" w:color="auto" w:val="clear"/>
            <w:tcMar>
              <w:top w:type="dxa" w:w="100"/>
              <w:left w:type="dxa" w:w="120"/>
              <w:bottom w:type="dxa" w:w="100"/>
              <w:right w:type="dxa" w:w="120"/>
            </w:tcMar>
          </w:tcPr>
          <w:p>
            <w:r>
              <w:rPr>
                <w:b w:val="false"/>
                <w:bCs w:val="false"/>
              </w:rPr>
              <w:t xml:space="preserve">Certificación de comercio justo y proyectos de reforestación.</w:t>
            </w:r>
          </w:p>
        </w:tc>
      </w:tr>
    </w:tbl>
    <w:p>
      <w:pPr>
        <w:pStyle w:val="Heading2"/>
        <w:spacing w:after="120" w:before="260"/>
      </w:pPr>
      <w:r>
        <w:t xml:space="preserve">5.2. Áreas de innovación y compromiso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shd w:fill="2E5B8A" w:color="auto" w:val="clear"/>
            <w:tcMar>
              <w:top w:type="dxa" w:w="100"/>
              <w:left w:type="dxa" w:w="120"/>
              <w:bottom w:type="dxa" w:w="100"/>
              <w:right w:type="dxa" w:w="120"/>
            </w:tcMar>
          </w:tcPr>
          <w:p>
            <w:r>
              <w:rPr>
                <w:b/>
                <w:bCs/>
                <w:color w:val="FFFFFF"/>
              </w:rPr>
              <w:t xml:space="preserve">Innovación en productos</w:t>
            </w:r>
          </w:p>
        </w:tc>
        <w:tc>
          <w:tcPr>
            <w:tcW w:type="dxa" w:w="2400"/>
            <w:shd w:fill="2E5B8A" w:color="auto" w:val="clear"/>
            <w:tcMar>
              <w:top w:type="dxa" w:w="100"/>
              <w:left w:type="dxa" w:w="120"/>
              <w:bottom w:type="dxa" w:w="100"/>
              <w:right w:type="dxa" w:w="120"/>
            </w:tcMar>
          </w:tcPr>
          <w:p>
            <w:r>
              <w:rPr>
                <w:b/>
                <w:bCs/>
                <w:color w:val="FFFFFF"/>
              </w:rPr>
              <w:t xml:space="preserve">Marketing y posicionamiento</w:t>
            </w:r>
          </w:p>
        </w:tc>
        <w:tc>
          <w:tcPr>
            <w:tcW w:type="dxa" w:w="2400"/>
            <w:shd w:fill="2E5B8A" w:color="auto" w:val="clear"/>
            <w:tcMar>
              <w:top w:type="dxa" w:w="100"/>
              <w:left w:type="dxa" w:w="120"/>
              <w:bottom w:type="dxa" w:w="100"/>
              <w:right w:type="dxa" w:w="120"/>
            </w:tcMar>
          </w:tcPr>
          <w:p>
            <w:r>
              <w:rPr>
                <w:b/>
                <w:bCs/>
                <w:color w:val="FFFFFF"/>
              </w:rPr>
              <w:t xml:space="preserve">Canales de distribución</w:t>
            </w:r>
          </w:p>
        </w:tc>
        <w:tc>
          <w:tcPr>
            <w:tcW w:type="dxa" w:w="2200"/>
            <w:shd w:fill="2E5B8A" w:color="auto" w:val="clear"/>
            <w:tcMar>
              <w:top w:type="dxa" w:w="100"/>
              <w:left w:type="dxa" w:w="120"/>
              <w:bottom w:type="dxa" w:w="100"/>
              <w:right w:type="dxa" w:w="120"/>
            </w:tcMar>
          </w:tcPr>
          <w:p>
            <w:r>
              <w:rPr>
                <w:b/>
                <w:bCs/>
                <w:color w:val="FFFFFF"/>
              </w:rPr>
              <w:t xml:space="preserve">Compromiso social y RSC</w:t>
            </w:r>
          </w:p>
        </w:tc>
      </w:tr>
      <w:tr>
        <w:tc>
          <w:tcPr>
            <w:tcW w:type="dxa" w:w="2400"/>
            <w:shd w:fill="DCE6F1" w:color="auto" w:val="clear"/>
            <w:tcMar>
              <w:top w:type="dxa" w:w="100"/>
              <w:left w:type="dxa" w:w="120"/>
              <w:bottom w:type="dxa" w:w="100"/>
              <w:right w:type="dxa" w:w="120"/>
            </w:tcMar>
          </w:tcPr>
          <w:p>
            <w:r>
              <w:rPr>
                <w:b w:val="false"/>
                <w:bCs w:val="false"/>
              </w:rPr>
              <w:t xml:space="preserve">Desarrollo de productos ecoamigables con tecnologías avanzadas</w:t>
            </w:r>
          </w:p>
        </w:tc>
        <w:tc>
          <w:tcPr>
            <w:tcW w:type="dxa" w:w="2400"/>
            <w:shd w:fill="DCE6F1" w:color="auto" w:val="clear"/>
            <w:tcMar>
              <w:top w:type="dxa" w:w="100"/>
              <w:left w:type="dxa" w:w="120"/>
              <w:bottom w:type="dxa" w:w="100"/>
              <w:right w:type="dxa" w:w="120"/>
            </w:tcMar>
          </w:tcPr>
          <w:p>
            <w:r>
              <w:rPr>
                <w:b w:val="false"/>
                <w:bCs w:val="false"/>
              </w:rPr>
              <w:t xml:space="preserve">Estrategias de marketing sostenible e imagen de marca</w:t>
            </w:r>
          </w:p>
        </w:tc>
        <w:tc>
          <w:tcPr>
            <w:tcW w:type="dxa" w:w="2400"/>
            <w:shd w:fill="DCE6F1" w:color="auto" w:val="clear"/>
            <w:tcMar>
              <w:top w:type="dxa" w:w="100"/>
              <w:left w:type="dxa" w:w="120"/>
              <w:bottom w:type="dxa" w:w="100"/>
              <w:right w:type="dxa" w:w="120"/>
            </w:tcMar>
          </w:tcPr>
          <w:p>
            <w:r>
              <w:rPr>
                <w:b w:val="false"/>
                <w:bCs w:val="false"/>
              </w:rPr>
              <w:t xml:space="preserve">Presencia online y cadena de suministro eficiente</w:t>
            </w:r>
          </w:p>
        </w:tc>
        <w:tc>
          <w:tcPr>
            <w:tcW w:type="dxa" w:w="2200"/>
            <w:shd w:fill="DCE6F1" w:color="auto" w:val="clear"/>
            <w:tcMar>
              <w:top w:type="dxa" w:w="100"/>
              <w:left w:type="dxa" w:w="120"/>
              <w:bottom w:type="dxa" w:w="100"/>
              <w:right w:type="dxa" w:w="120"/>
            </w:tcMar>
          </w:tcPr>
          <w:p>
            <w:r>
              <w:rPr>
                <w:b w:val="false"/>
                <w:bCs w:val="false"/>
              </w:rPr>
              <w:t xml:space="preserve">Iniciativas comunitarias, prácticas éticas y responsabilidad social</w:t>
            </w:r>
          </w:p>
        </w:tc>
      </w:tr>
      <w:tr>
        <w:tc>
          <w:tcPr>
            <w:tcW w:type="dxa" w:w="2400"/>
            <w:tcMar>
              <w:top w:type="dxa" w:w="100"/>
              <w:left w:type="dxa" w:w="120"/>
              <w:bottom w:type="dxa" w:w="100"/>
              <w:right w:type="dxa" w:w="120"/>
            </w:tcMar>
          </w:tcPr>
          <w:p>
            <w:r>
              <w:rPr>
                <w:b w:val="false"/>
                <w:bCs w:val="false"/>
              </w:rPr>
              <w:t xml:space="preserve">Investigación y desarrollo constante de materiales ecológicos</w:t>
            </w:r>
          </w:p>
        </w:tc>
        <w:tc>
          <w:tcPr>
            <w:tcW w:type="dxa" w:w="2400"/>
            <w:tcMar>
              <w:top w:type="dxa" w:w="100"/>
              <w:left w:type="dxa" w:w="120"/>
              <w:bottom w:type="dxa" w:w="100"/>
              <w:right w:type="dxa" w:w="120"/>
            </w:tcMar>
          </w:tcPr>
          <w:p>
            <w:r>
              <w:rPr>
                <w:b w:val="false"/>
                <w:bCs w:val="false"/>
              </w:rPr>
              <w:t xml:space="preserve">Campañas de concienciación ambiental, narrativa de marca ecológica</w:t>
            </w:r>
          </w:p>
        </w:tc>
        <w:tc>
          <w:tcPr>
            <w:tcW w:type="dxa" w:w="2400"/>
            <w:tcMar>
              <w:top w:type="dxa" w:w="100"/>
              <w:left w:type="dxa" w:w="120"/>
              <w:bottom w:type="dxa" w:w="100"/>
              <w:right w:type="dxa" w:w="120"/>
            </w:tcMar>
          </w:tcPr>
          <w:p>
            <w:r>
              <w:rPr>
                <w:b w:val="false"/>
                <w:bCs w:val="false"/>
              </w:rPr>
              <w:t xml:space="preserve">Ventas en línea, asociaciones con minoristas, amplia red de distribución global</w:t>
            </w:r>
          </w:p>
        </w:tc>
        <w:tc>
          <w:tcPr>
            <w:tcW w:type="dxa" w:w="2200"/>
            <w:tcMar>
              <w:top w:type="dxa" w:w="100"/>
              <w:left w:type="dxa" w:w="120"/>
              <w:bottom w:type="dxa" w:w="100"/>
              <w:right w:type="dxa" w:w="120"/>
            </w:tcMar>
          </w:tcPr>
          <w:p>
            <w:r>
              <w:rPr>
                <w:b w:val="false"/>
                <w:bCs w:val="false"/>
              </w:rPr>
              <w:t xml:space="preserve">Programas de donación y participación en proyectos de sostenibilidad</w:t>
            </w:r>
          </w:p>
        </w:tc>
      </w:tr>
      <w:tr>
        <w:tc>
          <w:tcPr>
            <w:tcW w:type="dxa" w:w="2400"/>
            <w:shd w:fill="DCE6F1" w:color="auto" w:val="clear"/>
            <w:tcMar>
              <w:top w:type="dxa" w:w="100"/>
              <w:left w:type="dxa" w:w="120"/>
              <w:bottom w:type="dxa" w:w="100"/>
              <w:right w:type="dxa" w:w="120"/>
            </w:tcMar>
          </w:tcPr>
          <w:p>
            <w:r>
              <w:rPr>
                <w:b w:val="false"/>
                <w:bCs w:val="false"/>
              </w:rPr>
              <w:t xml:space="preserve">Línea de productos innovadores y ecoeficientes</w:t>
            </w:r>
          </w:p>
        </w:tc>
        <w:tc>
          <w:tcPr>
            <w:tcW w:type="dxa" w:w="2400"/>
            <w:shd w:fill="DCE6F1" w:color="auto" w:val="clear"/>
            <w:tcMar>
              <w:top w:type="dxa" w:w="100"/>
              <w:left w:type="dxa" w:w="120"/>
              <w:bottom w:type="dxa" w:w="100"/>
              <w:right w:type="dxa" w:w="120"/>
            </w:tcMar>
          </w:tcPr>
          <w:p>
            <w:r>
              <w:rPr>
                <w:b w:val="false"/>
                <w:bCs w:val="false"/>
              </w:rPr>
              <w:t xml:space="preserve">Patrocinio de eventos, colaboraciones estratégicas verdes</w:t>
            </w:r>
          </w:p>
        </w:tc>
        <w:tc>
          <w:tcPr>
            <w:tcW w:type="dxa" w:w="2400"/>
            <w:shd w:fill="DCE6F1" w:color="auto" w:val="clear"/>
            <w:tcMar>
              <w:top w:type="dxa" w:w="100"/>
              <w:left w:type="dxa" w:w="120"/>
              <w:bottom w:type="dxa" w:w="100"/>
              <w:right w:type="dxa" w:w="120"/>
            </w:tcMar>
          </w:tcPr>
          <w:p>
            <w:r>
              <w:rPr>
                <w:b w:val="false"/>
                <w:bCs w:val="false"/>
              </w:rPr>
              <w:t xml:space="preserve">Venta a través de asociaciones minoristas y organizaciones afines</w:t>
            </w:r>
          </w:p>
        </w:tc>
        <w:tc>
          <w:tcPr>
            <w:tcW w:type="dxa" w:w="2200"/>
            <w:shd w:fill="DCE6F1" w:color="auto" w:val="clear"/>
            <w:tcMar>
              <w:top w:type="dxa" w:w="100"/>
              <w:left w:type="dxa" w:w="120"/>
              <w:bottom w:type="dxa" w:w="100"/>
              <w:right w:type="dxa" w:w="120"/>
            </w:tcMar>
          </w:tcPr>
          <w:p>
            <w:r>
              <w:rPr>
                <w:b w:val="false"/>
                <w:bCs w:val="false"/>
              </w:rPr>
              <w:t xml:space="preserve">Participación activa en iniciativas comunitarias y compensación de carbono</w:t>
            </w:r>
          </w:p>
        </w:tc>
      </w:tr>
      <w:tr>
        <w:tc>
          <w:tcPr>
            <w:tcW w:type="dxa" w:w="2400"/>
            <w:tcMar>
              <w:top w:type="dxa" w:w="100"/>
              <w:left w:type="dxa" w:w="120"/>
              <w:bottom w:type="dxa" w:w="100"/>
              <w:right w:type="dxa" w:w="120"/>
            </w:tcMar>
          </w:tcPr>
          <w:p>
            <w:r>
              <w:rPr>
                <w:b w:val="false"/>
                <w:bCs w:val="false"/>
              </w:rPr>
              <w:t xml:space="preserve">Desarrollo de tecnologías innovadoras para la sostenibilidad</w:t>
            </w:r>
          </w:p>
        </w:tc>
        <w:tc>
          <w:tcPr>
            <w:tcW w:type="dxa" w:w="2400"/>
            <w:tcMar>
              <w:top w:type="dxa" w:w="100"/>
              <w:left w:type="dxa" w:w="120"/>
              <w:bottom w:type="dxa" w:w="100"/>
              <w:right w:type="dxa" w:w="120"/>
            </w:tcMar>
          </w:tcPr>
          <w:p>
            <w:r>
              <w:rPr>
                <w:b w:val="false"/>
                <w:bCs w:val="false"/>
              </w:rPr>
              <w:t xml:space="preserve">Estrategias de colaboración con influencers, presencia global</w:t>
            </w:r>
          </w:p>
        </w:tc>
        <w:tc>
          <w:tcPr>
            <w:tcW w:type="dxa" w:w="2400"/>
            <w:tcMar>
              <w:top w:type="dxa" w:w="100"/>
              <w:left w:type="dxa" w:w="120"/>
              <w:bottom w:type="dxa" w:w="100"/>
              <w:right w:type="dxa" w:w="120"/>
            </w:tcMar>
          </w:tcPr>
          <w:p>
            <w:r>
              <w:rPr>
                <w:b w:val="false"/>
                <w:bCs w:val="false"/>
              </w:rPr>
              <w:t xml:space="preserve">Estrategia multicanal</w:t>
            </w:r>
          </w:p>
        </w:tc>
        <w:tc>
          <w:tcPr>
            <w:tcW w:type="dxa" w:w="2200"/>
            <w:tcMar>
              <w:top w:type="dxa" w:w="100"/>
              <w:left w:type="dxa" w:w="120"/>
              <w:bottom w:type="dxa" w:w="100"/>
              <w:right w:type="dxa" w:w="120"/>
            </w:tcMar>
          </w:tcPr>
          <w:p>
            <w:r>
              <w:rPr>
                <w:b w:val="false"/>
                <w:bCs w:val="false"/>
              </w:rPr>
              <w:t xml:space="preserve">Apoyo a comunidades locales y programas de bienestar de empleados</w:t>
            </w:r>
          </w:p>
        </w:tc>
      </w:tr>
      <w:tr>
        <w:tc>
          <w:tcPr>
            <w:tcW w:type="dxa" w:w="2400"/>
            <w:shd w:fill="DCE6F1" w:color="auto" w:val="clear"/>
            <w:tcMar>
              <w:top w:type="dxa" w:w="100"/>
              <w:left w:type="dxa" w:w="120"/>
              <w:bottom w:type="dxa" w:w="100"/>
              <w:right w:type="dxa" w:w="120"/>
            </w:tcMar>
          </w:tcPr>
          <w:p>
            <w:r>
              <w:rPr>
                <w:b w:val="false"/>
                <w:bCs w:val="false"/>
              </w:rPr>
              <w:t xml:space="preserve">Línea de productos tecnológicos y sostenibles</w:t>
            </w:r>
          </w:p>
        </w:tc>
        <w:tc>
          <w:tcPr>
            <w:tcW w:type="dxa" w:w="2400"/>
            <w:shd w:fill="DCE6F1" w:color="auto" w:val="clear"/>
            <w:tcMar>
              <w:top w:type="dxa" w:w="100"/>
              <w:left w:type="dxa" w:w="120"/>
              <w:bottom w:type="dxa" w:w="100"/>
              <w:right w:type="dxa" w:w="120"/>
            </w:tcMar>
          </w:tcPr>
          <w:p>
            <w:r>
              <w:rPr>
                <w:b w:val="false"/>
                <w:bCs w:val="false"/>
              </w:rPr>
              <w:t xml:space="preserve">Enfoque en educación ambiental, narrativa de marca ética</w:t>
            </w:r>
          </w:p>
        </w:tc>
        <w:tc>
          <w:tcPr>
            <w:tcW w:type="dxa" w:w="2400"/>
            <w:shd w:fill="DCE6F1" w:color="auto" w:val="clear"/>
            <w:tcMar>
              <w:top w:type="dxa" w:w="100"/>
              <w:left w:type="dxa" w:w="120"/>
              <w:bottom w:type="dxa" w:w="100"/>
              <w:right w:type="dxa" w:w="120"/>
            </w:tcMar>
          </w:tcPr>
          <w:p>
            <w:r>
              <w:rPr>
                <w:b w:val="false"/>
                <w:bCs w:val="false"/>
              </w:rPr>
              <w:t xml:space="preserve">Estrategia de venta directa al consumidor</w:t>
            </w:r>
          </w:p>
        </w:tc>
        <w:tc>
          <w:tcPr>
            <w:tcW w:type="dxa" w:w="2200"/>
            <w:shd w:fill="DCE6F1" w:color="auto" w:val="clear"/>
            <w:tcMar>
              <w:top w:type="dxa" w:w="100"/>
              <w:left w:type="dxa" w:w="120"/>
              <w:bottom w:type="dxa" w:w="100"/>
              <w:right w:type="dxa" w:w="120"/>
            </w:tcMar>
          </w:tcPr>
          <w:p>
            <w:r>
              <w:rPr>
                <w:b w:val="false"/>
                <w:bCs w:val="false"/>
              </w:rPr>
              <w:t xml:space="preserve">Colaboración con ONG y políticas de igualdad y diversidad</w:t>
            </w:r>
          </w:p>
        </w:tc>
      </w:tr>
    </w:tbl>
    <w:p>
      <w:pPr>
        <w:spacing w:after="200" w:before="100"/>
      </w:pPr>
      <w:r>
        <w:rPr>
          <w:i/>
          <w:iCs/>
          <w:color w:val="946A00"/>
        </w:rPr>
        <w:t xml:space="preserve">Nota de revisión: esta tabla estaba muy fragmentada en el documento original (celdas combinadas mal exportadas). La he reordenado por columnas temáticas; te recomiendo comparar el contenido con tus apuntes originales antes de darla por definitiva.</w:t>
      </w:r>
    </w:p>
    <w:p>
      <w:pPr>
        <w:pStyle w:val="Heading1"/>
        <w:spacing w:after="160" w:before="360"/>
      </w:pPr>
      <w:r>
        <w:t xml:space="preserve">6. Análisis DAFO y estrategia competitiva</w:t>
      </w:r>
    </w:p>
    <w:p>
      <w:pPr>
        <w:pStyle w:val="Heading2"/>
        <w:spacing w:after="120" w:before="260"/>
      </w:pPr>
      <w:r>
        <w:t xml:space="preserve">6.1. DAFO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2E5B8A" w:color="auto" w:val="clear"/>
            <w:tcMar>
              <w:top w:type="dxa" w:w="100"/>
              <w:left w:type="dxa" w:w="120"/>
              <w:bottom w:type="dxa" w:w="100"/>
              <w:right w:type="dxa" w:w="120"/>
            </w:tcMar>
          </w:tcPr>
          <w:p>
            <w:r>
              <w:rPr>
                <w:b/>
                <w:bCs/>
                <w:color w:val="FFFFFF"/>
              </w:rPr>
              <w:t xml:space="preserve">Aspecto</w:t>
            </w:r>
          </w:p>
        </w:tc>
        <w:tc>
          <w:tcPr>
            <w:tcW w:type="dxa" w:w="7000"/>
            <w:shd w:fill="2E5B8A" w:color="auto" w:val="clear"/>
            <w:tcMar>
              <w:top w:type="dxa" w:w="100"/>
              <w:left w:type="dxa" w:w="120"/>
              <w:bottom w:type="dxa" w:w="100"/>
              <w:right w:type="dxa" w:w="120"/>
            </w:tcMar>
          </w:tcPr>
          <w:p>
            <w:r>
              <w:rPr>
                <w:b/>
                <w:bCs/>
                <w:color w:val="FFFFFF"/>
              </w:rPr>
              <w:t xml:space="preserve">AMZ Future</w:t>
            </w:r>
          </w:p>
        </w:tc>
      </w:tr>
      <w:tr>
        <w:tc>
          <w:tcPr>
            <w:tcW w:type="dxa" w:w="2400"/>
            <w:shd w:fill="DCE6F1" w:color="auto" w:val="clear"/>
            <w:tcMar>
              <w:top w:type="dxa" w:w="100"/>
              <w:left w:type="dxa" w:w="120"/>
              <w:bottom w:type="dxa" w:w="100"/>
              <w:right w:type="dxa" w:w="120"/>
            </w:tcMar>
          </w:tcPr>
          <w:p>
            <w:r>
              <w:rPr>
                <w:b w:val="false"/>
                <w:bCs w:val="false"/>
              </w:rPr>
              <w:t xml:space="preserve">Fortalezas</w:t>
            </w:r>
          </w:p>
        </w:tc>
        <w:tc>
          <w:tcPr>
            <w:tcW w:type="dxa" w:w="7000"/>
            <w:shd w:fill="DCE6F1" w:color="auto" w:val="clear"/>
            <w:tcMar>
              <w:top w:type="dxa" w:w="100"/>
              <w:left w:type="dxa" w:w="120"/>
              <w:bottom w:type="dxa" w:w="100"/>
              <w:right w:type="dxa" w:w="120"/>
            </w:tcMar>
          </w:tcPr>
          <w:p>
            <w:r>
              <w:rPr>
                <w:b w:val="false"/>
                <w:bCs w:val="false"/>
              </w:rPr>
              <w:t xml:space="preserve">Amplia variedad de productos sostenibles · Reputación de Amazon · Enfoque en sostenibilidad</w:t>
            </w:r>
          </w:p>
        </w:tc>
      </w:tr>
      <w:tr>
        <w:tc>
          <w:tcPr>
            <w:tcW w:type="dxa" w:w="2400"/>
            <w:tcMar>
              <w:top w:type="dxa" w:w="100"/>
              <w:left w:type="dxa" w:w="120"/>
              <w:bottom w:type="dxa" w:w="100"/>
              <w:right w:type="dxa" w:w="120"/>
            </w:tcMar>
          </w:tcPr>
          <w:p>
            <w:r>
              <w:rPr>
                <w:b w:val="false"/>
                <w:bCs w:val="false"/>
              </w:rPr>
              <w:t xml:space="preserve">Oportunidades</w:t>
            </w:r>
          </w:p>
        </w:tc>
        <w:tc>
          <w:tcPr>
            <w:tcW w:type="dxa" w:w="7000"/>
            <w:tcMar>
              <w:top w:type="dxa" w:w="100"/>
              <w:left w:type="dxa" w:w="120"/>
              <w:bottom w:type="dxa" w:w="100"/>
              <w:right w:type="dxa" w:w="120"/>
            </w:tcMar>
          </w:tcPr>
          <w:p>
            <w:r>
              <w:rPr>
                <w:b w:val="false"/>
                <w:bCs w:val="false"/>
              </w:rPr>
              <w:t xml:space="preserve">Tendencia al consumo sostenible · Colaboraciones estratégicas</w:t>
            </w:r>
          </w:p>
        </w:tc>
      </w:tr>
      <w:tr>
        <w:tc>
          <w:tcPr>
            <w:tcW w:type="dxa" w:w="2400"/>
            <w:shd w:fill="DCE6F1" w:color="auto" w:val="clear"/>
            <w:tcMar>
              <w:top w:type="dxa" w:w="100"/>
              <w:left w:type="dxa" w:w="120"/>
              <w:bottom w:type="dxa" w:w="100"/>
              <w:right w:type="dxa" w:w="120"/>
            </w:tcMar>
          </w:tcPr>
          <w:p>
            <w:r>
              <w:rPr>
                <w:b w:val="false"/>
                <w:bCs w:val="false"/>
              </w:rPr>
              <w:t xml:space="preserve">Debilidades</w:t>
            </w:r>
          </w:p>
        </w:tc>
        <w:tc>
          <w:tcPr>
            <w:tcW w:type="dxa" w:w="7000"/>
            <w:shd w:fill="DCE6F1" w:color="auto" w:val="clear"/>
            <w:tcMar>
              <w:top w:type="dxa" w:w="100"/>
              <w:left w:type="dxa" w:w="120"/>
              <w:bottom w:type="dxa" w:w="100"/>
              <w:right w:type="dxa" w:w="120"/>
            </w:tcMar>
          </w:tcPr>
          <w:p>
            <w:r>
              <w:rPr>
                <w:b w:val="false"/>
                <w:bCs w:val="false"/>
              </w:rPr>
              <w:t xml:space="preserve">Dependencia de Amazon · Posible competencia desleal</w:t>
            </w:r>
          </w:p>
        </w:tc>
      </w:tr>
      <w:tr>
        <w:tc>
          <w:tcPr>
            <w:tcW w:type="dxa" w:w="2400"/>
            <w:tcMar>
              <w:top w:type="dxa" w:w="100"/>
              <w:left w:type="dxa" w:w="120"/>
              <w:bottom w:type="dxa" w:w="100"/>
              <w:right w:type="dxa" w:w="120"/>
            </w:tcMar>
          </w:tcPr>
          <w:p>
            <w:r>
              <w:rPr>
                <w:b w:val="false"/>
                <w:bCs w:val="false"/>
              </w:rPr>
              <w:t xml:space="preserve">Amenazas</w:t>
            </w:r>
          </w:p>
        </w:tc>
        <w:tc>
          <w:tcPr>
            <w:tcW w:type="dxa" w:w="7000"/>
            <w:tcMar>
              <w:top w:type="dxa" w:w="100"/>
              <w:left w:type="dxa" w:w="120"/>
              <w:bottom w:type="dxa" w:w="100"/>
              <w:right w:type="dxa" w:w="120"/>
            </w:tcMar>
          </w:tcPr>
          <w:p>
            <w:r>
              <w:rPr>
                <w:b w:val="false"/>
                <w:bCs w:val="false"/>
              </w:rPr>
              <w:t xml:space="preserve">Cambios en las políticas ambientales · Competencia de grandes marcas</w:t>
            </w:r>
          </w:p>
        </w:tc>
      </w:tr>
    </w:tbl>
    <w:p>
      <w:pPr>
        <w:pStyle w:val="Heading2"/>
        <w:spacing w:after="120" w:before="260"/>
      </w:pPr>
      <w:r>
        <w:t xml:space="preserve">6.2. DAFO cruzado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shd w:fill="2E5B8A" w:color="auto" w:val="clear"/>
            <w:tcMar>
              <w:top w:type="dxa" w:w="100"/>
              <w:left w:type="dxa" w:w="120"/>
              <w:bottom w:type="dxa" w:w="100"/>
              <w:right w:type="dxa" w:w="120"/>
            </w:tcMar>
          </w:tcPr>
          <w:p>
            <w:r>
              <w:rPr>
                <w:b/>
                <w:bCs/>
                <w:color w:val="FFFFFF"/>
              </w:rPr>
              <w:t xml:space="preserve"/>
            </w:r>
          </w:p>
        </w:tc>
        <w:tc>
          <w:tcPr>
            <w:tcW w:type="dxa" w:w="3800"/>
            <w:shd w:fill="2E5B8A" w:color="auto" w:val="clear"/>
            <w:tcMar>
              <w:top w:type="dxa" w:w="100"/>
              <w:left w:type="dxa" w:w="120"/>
              <w:bottom w:type="dxa" w:w="100"/>
              <w:right w:type="dxa" w:w="120"/>
            </w:tcMar>
          </w:tcPr>
          <w:p>
            <w:r>
              <w:rPr>
                <w:b/>
                <w:bCs/>
                <w:color w:val="FFFFFF"/>
              </w:rPr>
              <w:t xml:space="preserve">Fortalezas</w:t>
            </w:r>
          </w:p>
        </w:tc>
        <w:tc>
          <w:tcPr>
            <w:tcW w:type="dxa" w:w="3800"/>
            <w:shd w:fill="2E5B8A" w:color="auto" w:val="clear"/>
            <w:tcMar>
              <w:top w:type="dxa" w:w="100"/>
              <w:left w:type="dxa" w:w="120"/>
              <w:bottom w:type="dxa" w:w="100"/>
              <w:right w:type="dxa" w:w="120"/>
            </w:tcMar>
          </w:tcPr>
          <w:p>
            <w:r>
              <w:rPr>
                <w:b/>
                <w:bCs/>
                <w:color w:val="FFFFFF"/>
              </w:rPr>
              <w:t xml:space="preserve">Debilidades</w:t>
            </w:r>
          </w:p>
        </w:tc>
      </w:tr>
      <w:tr>
        <w:tc>
          <w:tcPr>
            <w:tcW w:type="dxa" w:w="1800"/>
            <w:shd w:fill="DCE6F1" w:color="auto" w:val="clear"/>
            <w:tcMar>
              <w:top w:type="dxa" w:w="100"/>
              <w:left w:type="dxa" w:w="120"/>
              <w:bottom w:type="dxa" w:w="100"/>
              <w:right w:type="dxa" w:w="120"/>
            </w:tcMar>
          </w:tcPr>
          <w:p>
            <w:r>
              <w:rPr>
                <w:b w:val="false"/>
                <w:bCs w:val="false"/>
              </w:rPr>
              <w:t xml:space="preserve">Oportunidades</w:t>
            </w:r>
          </w:p>
        </w:tc>
        <w:tc>
          <w:tcPr>
            <w:tcW w:type="dxa" w:w="3800"/>
            <w:shd w:fill="DCE6F1" w:color="auto" w:val="clear"/>
            <w:tcMar>
              <w:top w:type="dxa" w:w="100"/>
              <w:left w:type="dxa" w:w="120"/>
              <w:bottom w:type="dxa" w:w="100"/>
              <w:right w:type="dxa" w:w="120"/>
            </w:tcMar>
          </w:tcPr>
          <w:p>
            <w:r>
              <w:rPr>
                <w:b w:val="false"/>
                <w:bCs w:val="false"/>
              </w:rPr>
              <w:t xml:space="preserve">La reputación de Amazon combinada con nuestro enfoque en sostenibilidad nos permite un mayor alcance y la posibilidad de entrar en el mercado de muchos países desde Amazon.</w:t>
            </w:r>
          </w:p>
        </w:tc>
        <w:tc>
          <w:tcPr>
            <w:tcW w:type="dxa" w:w="3800"/>
            <w:shd w:fill="DCE6F1" w:color="auto" w:val="clear"/>
            <w:tcMar>
              <w:top w:type="dxa" w:w="100"/>
              <w:left w:type="dxa" w:w="120"/>
              <w:bottom w:type="dxa" w:w="100"/>
              <w:right w:type="dxa" w:w="120"/>
            </w:tcMar>
          </w:tcPr>
          <w:p>
            <w:r>
              <w:rPr>
                <w:b w:val="false"/>
                <w:bCs w:val="false"/>
              </w:rPr>
              <w:t xml:space="preserve">El posible margen de beneficio inicial menor abre la puerta a competencia desleal mientras la marca se consolida.</w:t>
            </w:r>
          </w:p>
        </w:tc>
      </w:tr>
      <w:tr>
        <w:tc>
          <w:tcPr>
            <w:tcW w:type="dxa" w:w="1800"/>
            <w:tcMar>
              <w:top w:type="dxa" w:w="100"/>
              <w:left w:type="dxa" w:w="120"/>
              <w:bottom w:type="dxa" w:w="100"/>
              <w:right w:type="dxa" w:w="120"/>
            </w:tcMar>
          </w:tcPr>
          <w:p>
            <w:r>
              <w:rPr>
                <w:b w:val="false"/>
                <w:bCs w:val="false"/>
              </w:rPr>
              <w:t xml:space="preserve">Amenazas</w:t>
            </w:r>
          </w:p>
        </w:tc>
        <w:tc>
          <w:tcPr>
            <w:tcW w:type="dxa" w:w="3800"/>
            <w:tcMar>
              <w:top w:type="dxa" w:w="100"/>
              <w:left w:type="dxa" w:w="120"/>
              <w:bottom w:type="dxa" w:w="100"/>
              <w:right w:type="dxa" w:w="120"/>
            </w:tcMar>
          </w:tcPr>
          <w:p>
            <w:r>
              <w:rPr>
                <w:b w:val="false"/>
                <w:bCs w:val="false"/>
              </w:rPr>
              <w:t xml:space="preserve">La dependencia de Amazon se compensa por el momento con nuestra diferenciación en sostenibilidad frente a cambios en las políticas ambientales.</w:t>
            </w:r>
          </w:p>
        </w:tc>
        <w:tc>
          <w:tcPr>
            <w:tcW w:type="dxa" w:w="3800"/>
            <w:tcMar>
              <w:top w:type="dxa" w:w="100"/>
              <w:left w:type="dxa" w:w="120"/>
              <w:bottom w:type="dxa" w:w="100"/>
              <w:right w:type="dxa" w:w="120"/>
            </w:tcMar>
          </w:tcPr>
          <w:p>
            <w:r>
              <w:rPr>
                <w:b w:val="false"/>
                <w:bCs w:val="false"/>
              </w:rPr>
              <w:t xml:space="preserve">La competencia, especialmente en precio, es el principal riesgo: como muestra el mapa de posicionamiento, competiremos por calidad, ya que hay empresas que nos superan en precio.</w:t>
            </w:r>
          </w:p>
        </w:tc>
      </w:tr>
    </w:tbl>
    <w:p>
      <w:pPr>
        <w:pStyle w:val="Heading2"/>
        <w:spacing w:after="120" w:before="260"/>
      </w:pPr>
      <w:r>
        <w:t xml:space="preserve">6.3. Estrategia CAME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5B8A" w:color="auto" w:val="clear"/>
            <w:tcMar>
              <w:top w:type="dxa" w:w="100"/>
              <w:left w:type="dxa" w:w="120"/>
              <w:bottom w:type="dxa" w:w="100"/>
              <w:right w:type="dxa" w:w="120"/>
            </w:tcMar>
          </w:tcPr>
          <w:p>
            <w:r>
              <w:rPr>
                <w:b/>
                <w:bCs/>
                <w:color w:val="FFFFFF"/>
              </w:rPr>
              <w:t xml:space="preserve">Elemento</w:t>
            </w:r>
          </w:p>
        </w:tc>
        <w:tc>
          <w:tcPr>
            <w:tcW w:type="dxa" w:w="6800"/>
            <w:shd w:fill="2E5B8A" w:color="auto" w:val="clear"/>
            <w:tcMar>
              <w:top w:type="dxa" w:w="100"/>
              <w:left w:type="dxa" w:w="120"/>
              <w:bottom w:type="dxa" w:w="100"/>
              <w:right w:type="dxa" w:w="120"/>
            </w:tcMar>
          </w:tcPr>
          <w:p>
            <w:r>
              <w:rPr>
                <w:b/>
                <w:bCs/>
                <w:color w:val="FFFFFF"/>
              </w:rPr>
              <w:t xml:space="preserve">Estrategia / solución</w:t>
            </w:r>
          </w:p>
        </w:tc>
      </w:tr>
      <w:tr>
        <w:tc>
          <w:tcPr>
            <w:tcW w:type="dxa" w:w="2600"/>
            <w:shd w:fill="DCE6F1" w:color="auto" w:val="clear"/>
            <w:tcMar>
              <w:top w:type="dxa" w:w="100"/>
              <w:left w:type="dxa" w:w="120"/>
              <w:bottom w:type="dxa" w:w="100"/>
              <w:right w:type="dxa" w:w="120"/>
            </w:tcMar>
          </w:tcPr>
          <w:p>
            <w:r>
              <w:rPr>
                <w:b w:val="false"/>
                <w:bCs w:val="false"/>
              </w:rPr>
              <w:t xml:space="preserve">Corregir (debilidades)</w:t>
            </w:r>
          </w:p>
        </w:tc>
        <w:tc>
          <w:tcPr>
            <w:tcW w:type="dxa" w:w="6800"/>
            <w:shd w:fill="DCE6F1" w:color="auto" w:val="clear"/>
            <w:tcMar>
              <w:top w:type="dxa" w:w="100"/>
              <w:left w:type="dxa" w:w="120"/>
              <w:bottom w:type="dxa" w:w="100"/>
              <w:right w:type="dxa" w:w="120"/>
            </w:tcMar>
          </w:tcPr>
          <w:p>
            <w:r>
              <w:rPr>
                <w:b w:val="false"/>
                <w:bCs w:val="false"/>
              </w:rPr>
              <w:t xml:space="preserve">Al comienzo, nuestro margen de beneficio será menor porque Amazon retiene una parte de los ingresos a cambio de un mayor alcance de clientes.</w:t>
            </w:r>
          </w:p>
        </w:tc>
      </w:tr>
      <w:tr>
        <w:tc>
          <w:tcPr>
            <w:tcW w:type="dxa" w:w="2600"/>
            <w:tcMar>
              <w:top w:type="dxa" w:w="100"/>
              <w:left w:type="dxa" w:w="120"/>
              <w:bottom w:type="dxa" w:w="100"/>
              <w:right w:type="dxa" w:w="120"/>
            </w:tcMar>
          </w:tcPr>
          <w:p>
            <w:r>
              <w:rPr>
                <w:b w:val="false"/>
                <w:bCs w:val="false"/>
              </w:rPr>
              <w:t xml:space="preserve">Afrontar (amenazas)</w:t>
            </w:r>
          </w:p>
        </w:tc>
        <w:tc>
          <w:tcPr>
            <w:tcW w:type="dxa" w:w="6800"/>
            <w:tcMar>
              <w:top w:type="dxa" w:w="100"/>
              <w:left w:type="dxa" w:w="120"/>
              <w:bottom w:type="dxa" w:w="100"/>
              <w:right w:type="dxa" w:w="120"/>
            </w:tcMar>
          </w:tcPr>
          <w:p>
            <w:r>
              <w:rPr>
                <w:b w:val="false"/>
                <w:bCs w:val="false"/>
              </w:rPr>
              <w:t xml:space="preserve">La competencia en precio es fuerte; nuestra respuesta es competir en calidad y en la propuesta de valor sostenible.</w:t>
            </w:r>
          </w:p>
        </w:tc>
      </w:tr>
      <w:tr>
        <w:tc>
          <w:tcPr>
            <w:tcW w:type="dxa" w:w="2600"/>
            <w:shd w:fill="DCE6F1" w:color="auto" w:val="clear"/>
            <w:tcMar>
              <w:top w:type="dxa" w:w="100"/>
              <w:left w:type="dxa" w:w="120"/>
              <w:bottom w:type="dxa" w:w="100"/>
              <w:right w:type="dxa" w:w="120"/>
            </w:tcMar>
          </w:tcPr>
          <w:p>
            <w:r>
              <w:rPr>
                <w:b w:val="false"/>
                <w:bCs w:val="false"/>
              </w:rPr>
              <w:t xml:space="preserve">Mantener (fortalezas)</w:t>
            </w:r>
          </w:p>
        </w:tc>
        <w:tc>
          <w:tcPr>
            <w:tcW w:type="dxa" w:w="6800"/>
            <w:shd w:fill="DCE6F1" w:color="auto" w:val="clear"/>
            <w:tcMar>
              <w:top w:type="dxa" w:w="100"/>
              <w:left w:type="dxa" w:w="120"/>
              <w:bottom w:type="dxa" w:w="100"/>
              <w:right w:type="dxa" w:w="120"/>
            </w:tcMar>
          </w:tcPr>
          <w:p>
            <w:r>
              <w:rPr>
                <w:b w:val="false"/>
                <w:bCs w:val="false"/>
              </w:rPr>
              <w:t xml:space="preserve">Capacidad de alcanzar a muchos más clientes al operar en el mayor marketplace del mundo, lo que nos permite crecer como marca y ganar relevancia antes de expandirnos a otros marketplaces.</w:t>
            </w:r>
          </w:p>
        </w:tc>
      </w:tr>
      <w:tr>
        <w:tc>
          <w:tcPr>
            <w:tcW w:type="dxa" w:w="2600"/>
            <w:tcMar>
              <w:top w:type="dxa" w:w="100"/>
              <w:left w:type="dxa" w:w="120"/>
              <w:bottom w:type="dxa" w:w="100"/>
              <w:right w:type="dxa" w:w="120"/>
            </w:tcMar>
          </w:tcPr>
          <w:p>
            <w:r>
              <w:rPr>
                <w:b w:val="false"/>
                <w:bCs w:val="false"/>
              </w:rPr>
              <w:t xml:space="preserve">Explotar (oportunidades)</w:t>
            </w:r>
          </w:p>
        </w:tc>
        <w:tc>
          <w:tcPr>
            <w:tcW w:type="dxa" w:w="6800"/>
            <w:tcMar>
              <w:top w:type="dxa" w:w="100"/>
              <w:left w:type="dxa" w:w="120"/>
              <w:bottom w:type="dxa" w:w="100"/>
              <w:right w:type="dxa" w:w="120"/>
            </w:tcMar>
          </w:tcPr>
          <w:p>
            <w:r>
              <w:rPr>
                <w:b w:val="false"/>
                <w:bCs w:val="false"/>
              </w:rPr>
              <w:t xml:space="preserve">Mayor alcance y posibilidad de entrar en el mercado de muchos países operando desde Amazon.</w:t>
            </w:r>
          </w:p>
        </w:tc>
      </w:tr>
    </w:tbl>
    <w:p>
      <w:pPr>
        <w:pStyle w:val="Heading2"/>
        <w:spacing w:after="120" w:before="260"/>
      </w:pPr>
      <w:r>
        <w:t xml:space="preserve">6.4. Mapa de posicionamiento</w:t>
      </w:r>
    </w:p>
    <w:p>
      <w:pPr>
        <w:spacing w:after="160" w:line="276"/>
      </w:pPr>
      <w:r>
        <w:t xml:space="preserve">Ejes de posicionamiento frente a la competencia: precio y calidad percibida.</w:t>
      </w:r>
    </w:p>
    <w:p>
      <w:pPr>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33625"/>
                    </a:xfrm>
                    <a:prstGeom prst="rect">
                      <a:avLst/>
                    </a:prstGeom>
                  </pic:spPr>
                </pic:pic>
              </a:graphicData>
            </a:graphic>
          </wp:inline>
        </w:drawing>
      </w:r>
    </w:p>
    <w:p>
      <w:pPr>
        <w:spacing w:after="200" w:before="100"/>
      </w:pPr>
      <w:r>
        <w:rPr>
          <w:i/>
          <w:iCs/>
          <w:color w:val="946A00"/>
        </w:rPr>
        <w:t xml:space="preserve">Nota de revisión: el mapa de posicionamiento en el documento original solo incluye los ejes (Precio/Calidad) pero no llegó a ubicar a AMZ Future ni a la competencia dentro del gráfico. Te recomiendo completarlo con los puntos de cada marca antes de publicarlo.</w:t>
      </w:r>
    </w:p>
    <w:p>
      <w:pPr>
        <w:pStyle w:val="Heading2"/>
        <w:spacing w:after="120" w:before="260"/>
      </w:pPr>
      <w:r>
        <w:t xml:space="preserve">6.5. Competencia de grandes marcas</w:t>
      </w:r>
    </w:p>
    <w:p>
      <w:pPr>
        <w:spacing w:after="160" w:line="276"/>
      </w:pPr>
      <w:r>
        <w:t xml:space="preserve">Resumen comparativo frente a cuatro competidores de referencia (EcoBrand, GreenGoods Inc., SustainMart y EcoTrends):</w:t>
      </w:r>
    </w:p>
    <w:p>
      <w:pPr>
        <w:spacing w:after="160" w:line="276"/>
      </w:pPr>
      <w:r>
        <w:rPr>
          <w:b/>
          <w:bCs/>
        </w:rPr>
        <w:t xml:space="preserve">EcoBrand: </w:t>
      </w:r>
      <w:r>
        <w:t xml:space="preserve">Gama diversa y transparencia en la cadena de suministro; reconocimiento de marca en productos sostenibles; oportunidad de aprovechar el crecimiento del mercado de productos sostenibles; amenaza por dependencia de la plataforma y cambios regulatorios.</w:t>
      </w:r>
    </w:p>
    <w:p>
      <w:pPr>
        <w:spacing w:after="160" w:line="276"/>
      </w:pPr>
      <w:r>
        <w:rPr>
          <w:b/>
          <w:bCs/>
        </w:rPr>
        <w:t xml:space="preserve">GreenGoods Inc.: </w:t>
      </w:r>
      <w:r>
        <w:t xml:space="preserve">Asociaciones sólidas con organizaciones ambientales; reconocimiento por sus asociaciones; oportunidad de explorar nuevas alianzas para ampliar su base de clientes; amenaza por competencia desleal en un mercado saturado.</w:t>
      </w:r>
    </w:p>
    <w:p>
      <w:pPr>
        <w:spacing w:after="160" w:line="276"/>
      </w:pPr>
      <w:r>
        <w:rPr>
          <w:b/>
          <w:bCs/>
        </w:rPr>
        <w:t xml:space="preserve">SustainMart: </w:t>
      </w:r>
      <w:r>
        <w:t xml:space="preserve">Innovación en tecnologías sostenibles y embalajes ecológicos; compromiso ambiental en toda la cadena de suministro; oportunidad de colaborar con organizaciones medioambientales; amenaza por la necesidad de destacar en un mercado saturado.</w:t>
      </w:r>
    </w:p>
    <w:p>
      <w:pPr>
        <w:spacing w:after="160" w:line="276"/>
      </w:pPr>
      <w:r>
        <w:rPr>
          <w:b/>
          <w:bCs/>
        </w:rPr>
        <w:t xml:space="preserve">EcoTrends: </w:t>
      </w:r>
      <w:r>
        <w:t xml:space="preserve">Compromiso con la investigación en productos sostenibles y compensación de carbono; enfoque en prácticas respetuosas con el medio ambiente; oportunidad de desarrollar alianzas estratégicas para ganar visibilidad; amenaza por la entrada de grandes marcas en el mercado sostenible.</w:t>
      </w:r>
    </w:p>
    <w:p>
      <w:pPr>
        <w:spacing w:after="200" w:before="100"/>
      </w:pPr>
      <w:r>
        <w:rPr>
          <w:i/>
          <w:iCs/>
          <w:color w:val="946A00"/>
        </w:rPr>
        <w:t xml:space="preserve">Nota de revisión: esta tabla era la más dañada del documento original (cuatro columnas con celdas fusionadas que se desordenaron al exportar). La he reescrito en formato de ficha por competidor para que la información sea legible; te recomiendo contrastarla con tu fuente original.</w:t>
      </w:r>
    </w:p>
    <w:p>
      <w:pPr>
        <w:pStyle w:val="Heading2"/>
        <w:spacing w:after="120" w:before="260"/>
      </w:pPr>
      <w:r>
        <w:t xml:space="preserve">6.6. Conclusión del análisis</w:t>
      </w:r>
    </w:p>
    <w:p>
      <w:pPr>
        <w:spacing w:after="160" w:line="276"/>
      </w:pPr>
      <w:r>
        <w:t xml:space="preserve">El enfoque adoptado para lanzar la empresa es eficaz, ya que ofrece un gran alcance de público desde el primer momento. Es importante tener claras nuestras debilidades, perfectamente subsanables al diversificarnos hacia otros marketplaces, y aprovechar nuestras fortalezas (el mensaje que transmite la empresa) y las oportunidades que nos brinda empezar en Amazon.</w:t>
      </w:r>
    </w:p>
    <w:p>
      <w:pPr>
        <w:pStyle w:val="Heading1"/>
        <w:spacing w:after="160" w:before="360"/>
      </w:pPr>
      <w:r>
        <w:t xml:space="preserve">7. Categoría del producto</w:t>
      </w:r>
    </w:p>
    <w:p>
      <w:pPr>
        <w:spacing w:after="160" w:line="276"/>
      </w:pPr>
      <w:r>
        <w:t xml:space="preserve">AMZ Future se puede clasificar como un producto de comparación, ya que ofrecemos un tipo de envío y embalaje muy diferente al habitual en el mercado. Nuestro embalaje y envío no contaminan: buscamos que el producto llegue al comprador en el mejor estado posible, con materiales ecológicos. A diferencia del resto de empresas de envío, lo hacemos de forma sostenible, aunque algo más cara.</w:t>
      </w:r>
    </w:p>
    <w:p>
      <w:pPr>
        <w:spacing w:after="160" w:line="276"/>
      </w:pPr>
      <w:r>
        <w:t xml:space="preserve">En los productos de comparación es clave invertir en estrategias publicitarias que convenzan al público del valor del producto y de los beneficios de su compra frente a la competencia. El precio juega un papel determinante en la decisión de los consumidores, por lo que ofrecer promociones, descuentos y rebajas ayudará a atraer compradores hacia la marca.</w:t>
      </w:r>
    </w:p>
    <w:p>
      <w:pPr>
        <w:spacing w:after="160" w:line="276"/>
      </w:pPr>
      <w:r>
        <w:t xml:space="preserve">AMZ Future puede satisfacer a una amplia franja de la población actual, dado que cada vez más gente busca un mundo sostenible y sin contaminación, y está dispuesta a pagar algo más a cambio de contribuir a un mundo mejor.</w:t>
      </w:r>
    </w:p>
    <w:p>
      <w:pPr>
        <w:pStyle w:val="Heading3"/>
        <w:spacing w:after="100" w:before="200"/>
      </w:pPr>
      <w:r>
        <w:t xml:space="preserve">Ciclo de vida del producto</w:t>
      </w:r>
    </w:p>
    <w:p>
      <w:pPr>
        <w:spacing w:after="160" w:line="276"/>
      </w:pPr>
      <w:r>
        <w:rPr>
          <w:b/>
          <w:bCs/>
        </w:rPr>
        <w:t xml:space="preserve">Introducción: </w:t>
      </w:r>
      <w:r>
        <w:t xml:space="preserve">preveemos que las ventas en este primer periodo no serán muy amplias, porque una parte del público todavía no confía en las novedades y no cambia sus hábitos de compra. Realizaremos una inversión alta con expectativas a largo plazo, dirigida principalmente a los consumidores más innovadores y comprometidos con reducir la huella de carbono.</w:t>
      </w:r>
    </w:p>
    <w:p>
      <w:pPr>
        <w:spacing w:after="160" w:line="276"/>
      </w:pPr>
      <w:r>
        <w:rPr>
          <w:b/>
          <w:bCs/>
        </w:rPr>
        <w:t xml:space="preserve">Crecimiento: </w:t>
      </w:r>
      <w:r>
        <w:t xml:space="preserve">las ventas aumentarán rápidamente a medida que más consumidores adopten el producto. Con las economías de escala y el incremento de la demanda, mejorará la rentabilidad; la competencia empezará a aumentar y podrá haber diversificación de productos para distintos segmentos de mercado.</w:t>
      </w:r>
    </w:p>
    <w:p>
      <w:pPr>
        <w:spacing w:after="160" w:line="276"/>
      </w:pPr>
      <w:r>
        <w:rPr>
          <w:b/>
          <w:bCs/>
        </w:rPr>
        <w:t xml:space="preserve">Madurez: </w:t>
      </w:r>
      <w:r>
        <w:t xml:space="preserve">las tasas de crecimiento de las ventas se estabilizarán y el mercado alcanzará su punto máximo. La competencia será intensa y las empresas buscarán diferenciar sus productos; el mercado podrá estar saturado y las oportunidades de crecimiento serán más limitadas.</w:t>
      </w:r>
    </w:p>
    <w:p>
      <w:pPr>
        <w:spacing w:after="160" w:line="276"/>
      </w:pPr>
      <w:r>
        <w:rPr>
          <w:b/>
          <w:bCs/>
        </w:rPr>
        <w:t xml:space="preserve">Declive: </w:t>
      </w:r>
      <w:r>
        <w:t xml:space="preserve">no tenemos certeza de cómo evolucionará esta fase, pero no creemos que la empresa pierda mucho, dado el interés creciente por reducir la contaminación.</w:t>
      </w:r>
    </w:p>
    <w:p>
      <w:pPr>
        <w:pStyle w:val="Heading1"/>
        <w:spacing w:after="160" w:before="360"/>
      </w:pPr>
      <w:r>
        <w:t xml:space="preserve">8. Pricing</w:t>
      </w:r>
    </w:p>
    <w:p>
      <w:pPr>
        <w:pStyle w:val="Heading2"/>
        <w:spacing w:after="120" w:before="260"/>
      </w:pPr>
      <w:r>
        <w:t xml:space="preserve">8.1. Análisis de costos</w:t>
      </w:r>
    </w:p>
    <w:p>
      <w:pPr>
        <w:spacing w:after="160" w:line="276"/>
      </w:pPr>
      <w:r>
        <w:t xml:space="preserve">Desglose de los costos asociados a producción, distribución y marketing del producto:</w:t>
      </w:r>
    </w:p>
    <w:p>
      <w:pPr>
        <w:spacing w:after="160" w:line="276"/>
      </w:pPr>
      <w:r>
        <w:rPr>
          <w:b/>
          <w:bCs/>
        </w:rPr>
        <w:t xml:space="preserve">Producción: </w:t>
      </w:r>
      <w:r>
        <w:t xml:space="preserve">materiales para productos biodegradables, costos laborales y costos de fabricación.</w:t>
      </w:r>
    </w:p>
    <w:p>
      <w:pPr>
        <w:spacing w:after="160" w:line="276"/>
      </w:pPr>
      <w:r>
        <w:rPr>
          <w:b/>
          <w:bCs/>
        </w:rPr>
        <w:t xml:space="preserve">Distribución: </w:t>
      </w:r>
      <w:r>
        <w:t xml:space="preserve">transporte de los productos desde los proveedores hasta los almacenes de Amazon y costos de almacenamiento.</w:t>
      </w:r>
    </w:p>
    <w:p>
      <w:pPr>
        <w:spacing w:after="160" w:line="276"/>
      </w:pPr>
      <w:r>
        <w:rPr>
          <w:b/>
          <w:bCs/>
        </w:rPr>
        <w:t xml:space="preserve">Marketing: </w:t>
      </w:r>
      <w:r>
        <w:t xml:space="preserve">campañas de marketing digital, publicidad en Amazon, y diseño de envases y etiquetas.</w:t>
      </w:r>
    </w:p>
    <w:p>
      <w:pPr>
        <w:pStyle w:val="Heading2"/>
        <w:spacing w:after="120" w:before="260"/>
      </w:pPr>
      <w:r>
        <w:t xml:space="preserve">8.2. Objetivos financieros</w:t>
      </w:r>
    </w:p>
    <w:p>
      <w:pPr>
        <w:spacing w:after="160" w:line="276"/>
      </w:pPr>
      <w:r>
        <w:rPr>
          <w:b/>
          <w:bCs/>
        </w:rPr>
        <w:t xml:space="preserve">Beneficio: </w:t>
      </w:r>
      <w:r>
        <w:t xml:space="preserve">establecer un margen de beneficio razonable por cada unidad vendida.</w:t>
      </w:r>
    </w:p>
    <w:p>
      <w:pPr>
        <w:spacing w:after="160" w:line="276"/>
      </w:pPr>
      <w:r>
        <w:rPr>
          <w:b/>
          <w:bCs/>
        </w:rPr>
        <w:t xml:space="preserve">Participación en el mercado: </w:t>
      </w:r>
      <w:r>
        <w:t xml:space="preserve">fijar metas de cuota de mercado dentro del sector de productos sostenibles en Amazon.</w:t>
      </w:r>
    </w:p>
    <w:p>
      <w:pPr>
        <w:pStyle w:val="Heading2"/>
        <w:spacing w:after="120" w:before="260"/>
      </w:pPr>
      <w:r>
        <w:t xml:space="preserve">8.3. Análisis del mercado</w:t>
      </w:r>
    </w:p>
    <w:p>
      <w:pPr>
        <w:spacing w:after="160" w:line="276"/>
      </w:pPr>
      <w:r>
        <w:t xml:space="preserve">Realizar un análisis comparativo de precios de productos similares en Amazon y otras plataformas para determinar un rango de precios competitivos.</w:t>
      </w:r>
    </w:p>
    <w:p>
      <w:pPr>
        <w:pStyle w:val="Heading2"/>
        <w:spacing w:after="120" w:before="260"/>
      </w:pPr>
      <w:r>
        <w:t xml:space="preserve">8.4. Valor percibido por el cliente</w:t>
      </w:r>
    </w:p>
    <w:p>
      <w:pPr>
        <w:spacing w:after="160" w:line="276"/>
      </w:pPr>
      <w:r>
        <w:t xml:space="preserve">Destacar las características únicas de los productos biodegradables, el embalaje reciclable y la logística sostenible para diferenciarnos de la competencia y aumentar el valor percibido por los clientes.</w:t>
      </w:r>
    </w:p>
    <w:p>
      <w:pPr>
        <w:pStyle w:val="Heading2"/>
        <w:spacing w:after="120" w:before="260"/>
      </w:pPr>
      <w:r>
        <w:t xml:space="preserve">8.5. Segmentación de precios</w:t>
      </w:r>
    </w:p>
    <w:p>
      <w:pPr>
        <w:spacing w:after="160" w:line="276"/>
      </w:pPr>
      <w:r>
        <w:t xml:space="preserve">Segmentar el mercado según la sensibilidad al precio, la conciencia ambiental y otros factores relevantes, adaptando la estrategia de precios en consecuencia. Entre las estrategias específicas: precios premium para clientes conscientes del medio ambiente, descuentos por volumen para incentivar compras mayores y precios dinámicos para optimizar la rentabilidad.</w:t>
      </w:r>
    </w:p>
    <w:p>
      <w:pPr>
        <w:pStyle w:val="Heading2"/>
        <w:spacing w:after="120" w:before="260"/>
      </w:pPr>
      <w:r>
        <w:t xml:space="preserve">8.6. Flexibilidad de precios</w:t>
      </w:r>
    </w:p>
    <w:p>
      <w:pPr>
        <w:spacing w:after="160" w:line="276"/>
      </w:pPr>
      <w:r>
        <w:t xml:space="preserve">Evaluar la demanda del mercado, las condiciones competitivas y otros factores para determinar la necesidad de ajustes flexibles en los precios, manteniendo la competitividad y maximizando los ingresos.</w:t>
      </w:r>
    </w:p>
    <w:p>
      <w:pPr>
        <w:pStyle w:val="Heading1"/>
        <w:spacing w:after="160" w:before="360"/>
      </w:pPr>
      <w:r>
        <w:t xml:space="preserve">9. Distribución</w:t>
      </w:r>
    </w:p>
    <w:p>
      <w:pPr>
        <w:pStyle w:val="Heading2"/>
        <w:spacing w:after="120" w:before="260"/>
      </w:pPr>
      <w:r>
        <w:t xml:space="preserve">9.1. Canales de distribución</w:t>
      </w:r>
    </w:p>
    <w:p>
      <w:pPr>
        <w:spacing w:after="160" w:line="276"/>
      </w:pPr>
      <w:r>
        <w:t xml:space="preserve">La empresa comenzará con Amazon como su principal canal de distribución, para abarcar a más clientes y hacer crecer la marca. Más adelante, el objetivo será expandirse, una vez la popularidad de la marca lo permita, a nuevos mercados y canales —como tiendas de productos ecológicos o plataformas sostenibles.</w:t>
      </w:r>
    </w:p>
    <w:p>
      <w:pPr>
        <w:spacing w:after="160" w:line="276"/>
      </w:pPr>
      <w:r>
        <w:t xml:space="preserve">La elección de Amazon como canal inicial se justifica por su accesibilidad y alcance masivo: al ser una plataforma global y de gran visibilidad, permite llegar de forma efectiva a consumidores interesados en productos similares, generando reconocimiento de marca desde el principio. A medida que la marca gane popularidad, la estrategia contempla diversificar hacia nuevos mercados y canales, de forma planificada, en línea con la consolidación de la marca y la demanda del mercado.</w:t>
      </w:r>
    </w:p>
    <w:p>
      <w:pPr>
        <w:pStyle w:val="Heading2"/>
        <w:spacing w:after="120" w:before="260"/>
      </w:pPr>
      <w:r>
        <w:t xml:space="preserve">9.2. Logística y cadena de suministro</w:t>
      </w:r>
    </w:p>
    <w:p>
      <w:pPr>
        <w:spacing w:after="160" w:line="276"/>
      </w:pPr>
      <w:r>
        <w:t xml:space="preserve">Mientras el producto se venda a través de Amazon, la logística no supone un problema, ya que es uno de los privilegios de trabajar con esta plataforma. Cuando el producto se venda también por cuenta propia, será necesario considerar: la gestión de inventario, la colaboración con proveedores, un sistema de distribución eficiente y una estrategia de expansión logística a medida que la marca se diversifique hacia nuevos canales.</w:t>
      </w:r>
    </w:p>
    <w:p>
      <w:pPr>
        <w:pStyle w:val="Heading3"/>
        <w:spacing w:after="100" w:before="200"/>
      </w:pPr>
      <w:r>
        <w:t xml:space="preserve">Posibles obstáculos y soluciones logísticas</w:t>
      </w:r>
    </w:p>
    <w:p>
      <w:pPr>
        <w:spacing w:after="160" w:line="276"/>
      </w:pPr>
      <w:r>
        <w:rPr>
          <w:b/>
          <w:bCs/>
        </w:rPr>
        <w:t xml:space="preserve">Variaciones en la demanda. </w:t>
      </w:r>
      <w:r>
        <w:t xml:space="preserve">Obstáculo: fluctuaciones imprevistas que dificultan la gestión de inventarios. Solución: sistemas de previsión de demanda avanzados y machine learning para anticipar patrones y ajustar los niveles de inventario.</w:t>
      </w:r>
    </w:p>
    <w:p>
      <w:pPr>
        <w:spacing w:after="160" w:line="276"/>
      </w:pPr>
      <w:r>
        <w:rPr>
          <w:b/>
          <w:bCs/>
        </w:rPr>
        <w:t xml:space="preserve">Problemas en la cadena de suministro global. </w:t>
      </w:r>
      <w:r>
        <w:t xml:space="preserve">Obstáculo: interrupciones como retrasos en aduanas o transporte internacional. Solución: diversificar proveedores, considerar el nearshoring y mantener comunicación activa con proveedores y transportistas.</w:t>
      </w:r>
    </w:p>
    <w:p>
      <w:pPr>
        <w:spacing w:after="160" w:line="276"/>
      </w:pPr>
      <w:r>
        <w:rPr>
          <w:b/>
          <w:bCs/>
        </w:rPr>
        <w:t xml:space="preserve">Errores en la gestión de inventarios. </w:t>
      </w:r>
      <w:r>
        <w:t xml:space="preserve">Obstáculo: escasez o excedentes no deseados. Solución: sistemas de gestión avanzados, auditorías periódicas y tecnologías como código de barras o RFID.</w:t>
      </w:r>
    </w:p>
    <w:p>
      <w:pPr>
        <w:spacing w:after="160" w:line="276"/>
      </w:pPr>
      <w:r>
        <w:rPr>
          <w:b/>
          <w:bCs/>
        </w:rPr>
        <w:t xml:space="preserve">Retrasos en la entrega. </w:t>
      </w:r>
      <w:r>
        <w:t xml:space="preserve">Obstáculo: impacto en la satisfacción del cliente. Solución: colaborar estrechamente con socios logísticos, usar entrega rápida y ofrecer seguimiento en tiempo real.</w:t>
      </w:r>
    </w:p>
    <w:p>
      <w:pPr>
        <w:spacing w:after="160" w:line="276"/>
      </w:pPr>
      <w:r>
        <w:rPr>
          <w:b/>
          <w:bCs/>
        </w:rPr>
        <w:t xml:space="preserve">Problemas de calidad en los productos. </w:t>
      </w:r>
      <w:r>
        <w:t xml:space="preserve">Obstáculo: recepción de productos defectuosos o de baja calidad. Solución: estándares claros con proveedores, controles de calidad regulares y políticas de devolución eficientes.</w:t>
      </w:r>
    </w:p>
    <w:p>
      <w:pPr>
        <w:spacing w:after="160" w:line="276"/>
      </w:pPr>
      <w:r>
        <w:rPr>
          <w:b/>
          <w:bCs/>
        </w:rPr>
        <w:t xml:space="preserve">Crecimiento rápido de la demanda. </w:t>
      </w:r>
      <w:r>
        <w:t xml:space="preserve">Obstáculo: sobrecarga de la capacidad de producción y distribución. Solución: planificar escenarios de crecimiento y mantener acuerdos flexibles con proveedores y transportistas.</w:t>
      </w:r>
    </w:p>
    <w:p>
      <w:pPr>
        <w:pStyle w:val="Heading2"/>
        <w:spacing w:after="120" w:before="260"/>
      </w:pPr>
      <w:r>
        <w:t xml:space="preserve">9.3. Alianzas estratégicas</w:t>
      </w:r>
    </w:p>
    <w:p>
      <w:pPr>
        <w:spacing w:after="160" w:line="276"/>
      </w:pPr>
      <w:r>
        <w:t xml:space="preserve">La evaluación de posibles colaboraciones con otras empresas es clave para mejorar la distribución y ampliar el alcance del mercado:</w:t>
      </w:r>
    </w:p>
    <w:p>
      <w:pPr>
        <w:spacing w:after="160" w:line="276"/>
      </w:pPr>
      <w:r>
        <w:rPr>
          <w:b/>
          <w:bCs/>
        </w:rPr>
        <w:t xml:space="preserve">Empresas de logística: </w:t>
      </w:r>
      <w:r>
        <w:t xml:space="preserve">mejoran la eficiencia en la distribución y reducen costos, ofreciendo almacenamiento, gestión de inventarios y transporte.</w:t>
      </w:r>
    </w:p>
    <w:p>
      <w:pPr>
        <w:spacing w:after="160" w:line="276"/>
      </w:pPr>
      <w:r>
        <w:rPr>
          <w:b/>
          <w:bCs/>
        </w:rPr>
        <w:t xml:space="preserve">Proveedores: </w:t>
      </w:r>
      <w:r>
        <w:t xml:space="preserve">relaciones sólidas que facilitan la disponibilidad oportuna de materias primas y componentes.</w:t>
      </w:r>
    </w:p>
    <w:p>
      <w:pPr>
        <w:spacing w:after="160" w:line="276"/>
      </w:pPr>
      <w:r>
        <w:rPr>
          <w:b/>
          <w:bCs/>
        </w:rPr>
        <w:t xml:space="preserve">Distribuidores regionales: </w:t>
      </w:r>
      <w:r>
        <w:t xml:space="preserve">ayudan a llegar a mercados locales con redes de distribución y conocimiento del mercado ya establecidos.</w:t>
      </w:r>
    </w:p>
    <w:p>
      <w:pPr>
        <w:spacing w:after="160" w:line="276"/>
      </w:pPr>
      <w:r>
        <w:rPr>
          <w:b/>
          <w:bCs/>
        </w:rPr>
        <w:t xml:space="preserve">Plataformas de comercio electrónico: </w:t>
      </w:r>
      <w:r>
        <w:t xml:space="preserve">alianzas más allá de Amazon que amplían la visibilidad y accesibilidad del producto online.</w:t>
      </w:r>
    </w:p>
    <w:p>
      <w:pPr>
        <w:spacing w:after="160" w:line="276"/>
      </w:pPr>
      <w:r>
        <w:rPr>
          <w:b/>
          <w:bCs/>
        </w:rPr>
        <w:t xml:space="preserve">Empresas de tecnología: </w:t>
      </w:r>
      <w:r>
        <w:t xml:space="preserve">permiten adoptar soluciones innovadoras de gestión de la cadena de suministro (seguimiento en la nube, IoT).</w:t>
      </w:r>
    </w:p>
    <w:p>
      <w:pPr>
        <w:spacing w:after="160" w:line="276"/>
      </w:pPr>
      <w:r>
        <w:rPr>
          <w:b/>
          <w:bCs/>
        </w:rPr>
        <w:t xml:space="preserve">Competidores (en casos puntuales): </w:t>
      </w:r>
      <w:r>
        <w:t xml:space="preserve">compartir recursos o infraestructura logística en áreas donde no hay competencia directa y existe beneficio mutuo.</w:t>
      </w:r>
    </w:p>
    <w:p>
      <w:pPr>
        <w:spacing w:after="160" w:line="276"/>
      </w:pPr>
      <w:r>
        <w:rPr>
          <w:b/>
          <w:bCs/>
        </w:rPr>
        <w:t xml:space="preserve">Organizaciones de comercio justo o sostenible: </w:t>
      </w:r>
      <w:r>
        <w:t xml:space="preserve">mejoran la imagen de marca y abren nuevas oportunidades de distribución en mercados éticos.</w:t>
      </w:r>
    </w:p>
    <w:p>
      <w:pPr>
        <w:pStyle w:val="Heading1"/>
        <w:spacing w:after="160" w:before="360"/>
      </w:pPr>
      <w:r>
        <w:t xml:space="preserve">10. Plan de comunicación</w:t>
      </w:r>
    </w:p>
    <w:p>
      <w:pPr>
        <w:pStyle w:val="Heading2"/>
        <w:spacing w:after="120" w:before="260"/>
      </w:pPr>
      <w:r>
        <w:t xml:space="preserve">10.1. Público objetivo y segmentación</w:t>
      </w:r>
    </w:p>
    <w:p>
      <w:pPr>
        <w:spacing w:after="160" w:line="276"/>
      </w:pPr>
      <w:r>
        <w:t xml:space="preserve">El público objetivo de AMZ Future se compone de consumidores conscientes del medio ambiente, con preferencia por productos sostenibles y preocupados por la huella de carbono.</w:t>
      </w:r>
    </w:p>
    <w:p>
      <w:pPr>
        <w:pStyle w:val="Heading3"/>
        <w:spacing w:after="100" w:before="200"/>
      </w:pPr>
      <w:r>
        <w:t xml:space="preserve">Características demográficas, psicográficas y comportamentales</w:t>
      </w:r>
    </w:p>
    <w:p>
      <w:pPr>
        <w:spacing w:after="160" w:line="276"/>
      </w:pPr>
      <w:r>
        <w:rPr>
          <w:b/>
          <w:bCs/>
        </w:rPr>
        <w:t xml:space="preserve">Demográficas: </w:t>
      </w:r>
      <w:r>
        <w:t xml:space="preserve">adultos jóvenes y de mediana edad (18-45 años), sin distinción de género, en zonas urbanas y suburbanas con conciencia ambiental.</w:t>
      </w:r>
    </w:p>
    <w:p>
      <w:pPr>
        <w:spacing w:after="160" w:line="276"/>
      </w:pPr>
      <w:r>
        <w:rPr>
          <w:b/>
          <w:bCs/>
        </w:rPr>
        <w:t xml:space="preserve">Psicográficas: </w:t>
      </w:r>
      <w:r>
        <w:t xml:space="preserve">valores medioambientales, conciencia social e interés por apoyar iniciativas que beneficien al planeta, y apertura a nuevas tendencias de consumo.</w:t>
      </w:r>
    </w:p>
    <w:p>
      <w:pPr>
        <w:spacing w:after="160" w:line="276"/>
      </w:pPr>
      <w:r>
        <w:rPr>
          <w:b/>
          <w:bCs/>
        </w:rPr>
        <w:t xml:space="preserve">Comportamentales: </w:t>
      </w:r>
      <w:r>
        <w:t xml:space="preserve">compradores habituales en plataformas online (especialmente Amazon), fieles a marcas comprometidas con la sostenibilidad y dispuestos a pagar algo más por productos sostenibles.</w:t>
      </w:r>
    </w:p>
    <w:p>
      <w:pPr>
        <w:pStyle w:val="Heading3"/>
        <w:spacing w:after="100" w:before="200"/>
      </w:pPr>
      <w:r>
        <w:t xml:space="preserve">Segmentación del mercado</w:t>
      </w:r>
    </w:p>
    <w:p>
      <w:pPr>
        <w:spacing w:after="160" w:line="276"/>
      </w:pPr>
      <w:r>
        <w:rPr>
          <w:b/>
          <w:bCs/>
        </w:rPr>
        <w:t xml:space="preserve">Demográfica: </w:t>
      </w:r>
      <w:r>
        <w:t xml:space="preserve">jóvenes adultos (18-25), adultos (26-35) y adultos de mediana edad (36-45), sin distinción de género, en zonas urbanas y suburbanas.</w:t>
      </w:r>
    </w:p>
    <w:p>
      <w:pPr>
        <w:spacing w:after="160" w:line="276"/>
      </w:pPr>
      <w:r>
        <w:rPr>
          <w:b/>
          <w:bCs/>
        </w:rPr>
        <w:t xml:space="preserve">Psicográfica: </w:t>
      </w:r>
      <w:r>
        <w:t xml:space="preserve">ecologistas con fuerte compromiso ambiental, modernos conscientes interesados en tendencias sostenibles, y pragmáticos verdes que buscan soluciones prácticas.</w:t>
      </w:r>
    </w:p>
    <w:p>
      <w:pPr>
        <w:spacing w:after="160" w:line="276"/>
      </w:pPr>
      <w:r>
        <w:rPr>
          <w:b/>
          <w:bCs/>
        </w:rPr>
        <w:t xml:space="preserve">Comportamental: </w:t>
      </w:r>
      <w:r>
        <w:t xml:space="preserve">compradores habituales en línea, consumidores éticos y consumidores influenciados por la reputación y el compromiso de la marca.</w:t>
      </w:r>
    </w:p>
    <w:p>
      <w:pPr>
        <w:pStyle w:val="Heading3"/>
        <w:spacing w:after="100" w:before="200"/>
      </w:pPr>
      <w:r>
        <w:t xml:space="preserve">Comportamiento de compra</w:t>
      </w:r>
    </w:p>
    <w:p>
      <w:pPr>
        <w:spacing w:after="160" w:line="276"/>
      </w:pPr>
      <w:r>
        <w:rPr>
          <w:b/>
          <w:bCs/>
        </w:rPr>
        <w:t xml:space="preserve">Investigación previa: </w:t>
      </w:r>
      <w:r>
        <w:t xml:space="preserve">los consumidores buscan información sobre la sostenibilidad del producto y revisan reseñas antes de comprar.</w:t>
      </w:r>
    </w:p>
    <w:p>
      <w:pPr>
        <w:spacing w:after="160" w:line="276"/>
      </w:pPr>
      <w:r>
        <w:rPr>
          <w:b/>
          <w:bCs/>
        </w:rPr>
        <w:t xml:space="preserve">Factores ambientales: </w:t>
      </w:r>
      <w:r>
        <w:t xml:space="preserve">la sostenibilidad del producto, su impacto ambiental y el uso de envases reciclables influyen de forma decisiva en la compra.</w:t>
      </w:r>
    </w:p>
    <w:p>
      <w:pPr>
        <w:spacing w:after="160" w:line="276"/>
      </w:pPr>
      <w:r>
        <w:rPr>
          <w:b/>
          <w:bCs/>
        </w:rPr>
        <w:t xml:space="preserve">Lealtad a la marca: </w:t>
      </w:r>
      <w:r>
        <w:t xml:space="preserve">los consumidores leales repiten compra si la empresa demuestra un compromiso constante con la sostenibilidad, lo que puede generar lealtad a largo plazo.</w:t>
      </w:r>
    </w:p>
    <w:p>
      <w:pPr>
        <w:pStyle w:val="Heading2"/>
        <w:spacing w:after="120" w:before="260"/>
      </w:pPr>
      <w:r>
        <w:t xml:space="preserve">10.2. Selección e integración de canales</w:t>
      </w:r>
    </w:p>
    <w:p>
      <w:pPr>
        <w:spacing w:after="160" w:line="276"/>
      </w:pPr>
      <w:r>
        <w:rPr>
          <w:b/>
          <w:bCs/>
        </w:rPr>
        <w:t xml:space="preserve">Publicidad en línea: </w:t>
      </w:r>
      <w:r>
        <w:t xml:space="preserve">anuncios en Google Ads centrados en palabras clave sobre sostenibilidad, y publicidad en redes sociales como Instagram y Facebook.</w:t>
      </w:r>
    </w:p>
    <w:p>
      <w:pPr>
        <w:spacing w:after="160" w:line="276"/>
      </w:pPr>
      <w:r>
        <w:rPr>
          <w:b/>
          <w:bCs/>
        </w:rPr>
        <w:t xml:space="preserve">Redes sociales: </w:t>
      </w:r>
      <w:r>
        <w:t xml:space="preserve">gestión activa de perfiles y publicación de contenido sobre sostenibilidad, productos biodegradables y acciones medioambientales.</w:t>
      </w:r>
    </w:p>
    <w:p>
      <w:pPr>
        <w:spacing w:after="160" w:line="276"/>
      </w:pPr>
      <w:r>
        <w:rPr>
          <w:b/>
          <w:bCs/>
        </w:rPr>
        <w:t xml:space="preserve">Marketing de contenidos: </w:t>
      </w:r>
      <w:r>
        <w:t xml:space="preserve">blog en el sitio web con artículos sobre sostenibilidad, procesos de producción e historias de proveedores.</w:t>
      </w:r>
    </w:p>
    <w:p>
      <w:pPr>
        <w:spacing w:after="160" w:line="276"/>
      </w:pPr>
      <w:r>
        <w:rPr>
          <w:b/>
          <w:bCs/>
        </w:rPr>
        <w:t xml:space="preserve">Email marketing: </w:t>
      </w:r>
      <w:r>
        <w:t xml:space="preserve">campañas que destaquen nuevos productos, iniciativas ecológicas y ofertas para clientes leales.</w:t>
      </w:r>
    </w:p>
    <w:p>
      <w:pPr>
        <w:spacing w:after="160" w:line="276"/>
      </w:pPr>
      <w:r>
        <w:rPr>
          <w:b/>
          <w:bCs/>
        </w:rPr>
        <w:t xml:space="preserve">Colaboraciones y patrocinios: </w:t>
      </w:r>
      <w:r>
        <w:t xml:space="preserve">alianzas con influencers alineados con la sostenibilidad y patrocinio de eventos medioambientales.</w:t>
      </w:r>
    </w:p>
    <w:p>
      <w:pPr>
        <w:spacing w:after="160" w:line="276"/>
      </w:pPr>
      <w:r>
        <w:t xml:space="preserve">Para maximizar el impacto, se integrarán los canales online y offline de forma coherente: mensaje unificado en todos los canales, códigos QR en materiales impresos que dirijan a contenido online, eventos físicos y virtuales con transmisión en redes sociales, y fomento de la participación activa de la audiencia para recoger opiniones y experiencias.</w:t>
      </w:r>
    </w:p>
    <w:p>
      <w:pPr>
        <w:pStyle w:val="Heading2"/>
        <w:spacing w:after="120" w:before="260"/>
      </w:pPr>
      <w:r>
        <w:t xml:space="preserve">10.3. Presupuesto de comunicación</w:t>
      </w:r>
    </w:p>
    <w:p>
      <w:pPr>
        <w:spacing w:after="160" w:line="276"/>
      </w:pPr>
      <w:r>
        <w:t xml:space="preserve">Distribución tentativa del presupuesto de comunicación por canal: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00"/>
      </w:tblGrid>
      <w:tr>
        <w:trPr>
          <w:tblHeader/>
        </w:trPr>
        <w:tc>
          <w:tcPr>
            <w:tcW w:type="dxa" w:w="3200"/>
            <w:shd w:fill="2E5B8A" w:color="auto" w:val="clear"/>
            <w:tcMar>
              <w:top w:type="dxa" w:w="100"/>
              <w:left w:type="dxa" w:w="120"/>
              <w:bottom w:type="dxa" w:w="100"/>
              <w:right w:type="dxa" w:w="120"/>
            </w:tcMar>
          </w:tcPr>
          <w:p>
            <w:r>
              <w:rPr>
                <w:b/>
                <w:bCs/>
                <w:color w:val="FFFFFF"/>
              </w:rPr>
              <w:t xml:space="preserve">Canal</w:t>
            </w:r>
          </w:p>
        </w:tc>
        <w:tc>
          <w:tcPr>
            <w:tcW w:type="dxa" w:w="2000"/>
            <w:shd w:fill="2E5B8A" w:color="auto" w:val="clear"/>
            <w:tcMar>
              <w:top w:type="dxa" w:w="100"/>
              <w:left w:type="dxa" w:w="120"/>
              <w:bottom w:type="dxa" w:w="100"/>
              <w:right w:type="dxa" w:w="120"/>
            </w:tcMar>
          </w:tcPr>
          <w:p>
            <w:r>
              <w:rPr>
                <w:b/>
                <w:bCs/>
                <w:color w:val="FFFFFF"/>
              </w:rPr>
              <w:t xml:space="preserve">% del presupuesto</w:t>
            </w:r>
          </w:p>
        </w:tc>
        <w:tc>
          <w:tcPr>
            <w:tcW w:type="dxa" w:w="4400"/>
            <w:shd w:fill="2E5B8A" w:color="auto" w:val="clear"/>
            <w:tcMar>
              <w:top w:type="dxa" w:w="100"/>
              <w:left w:type="dxa" w:w="120"/>
              <w:bottom w:type="dxa" w:w="100"/>
              <w:right w:type="dxa" w:w="120"/>
            </w:tcMar>
          </w:tcPr>
          <w:p>
            <w:r>
              <w:rPr>
                <w:b/>
                <w:bCs/>
                <w:color w:val="FFFFFF"/>
              </w:rPr>
              <w:t xml:space="preserve">Detalle</w:t>
            </w:r>
          </w:p>
        </w:tc>
      </w:tr>
      <w:tr>
        <w:tc>
          <w:tcPr>
            <w:tcW w:type="dxa" w:w="3200"/>
            <w:shd w:fill="DCE6F1" w:color="auto" w:val="clear"/>
            <w:tcMar>
              <w:top w:type="dxa" w:w="100"/>
              <w:left w:type="dxa" w:w="120"/>
              <w:bottom w:type="dxa" w:w="100"/>
              <w:right w:type="dxa" w:w="120"/>
            </w:tcMar>
          </w:tcPr>
          <w:p>
            <w:r>
              <w:rPr>
                <w:b w:val="false"/>
                <w:bCs w:val="false"/>
              </w:rPr>
              <w:t xml:space="preserve">Publicidad en línea</w:t>
            </w:r>
          </w:p>
        </w:tc>
        <w:tc>
          <w:tcPr>
            <w:tcW w:type="dxa" w:w="2000"/>
            <w:shd w:fill="DCE6F1" w:color="auto" w:val="clear"/>
            <w:tcMar>
              <w:top w:type="dxa" w:w="100"/>
              <w:left w:type="dxa" w:w="120"/>
              <w:bottom w:type="dxa" w:w="100"/>
              <w:right w:type="dxa" w:w="120"/>
            </w:tcMar>
          </w:tcPr>
          <w:p>
            <w:r>
              <w:rPr>
                <w:b w:val="false"/>
                <w:bCs w:val="false"/>
              </w:rPr>
              <w:t xml:space="preserve">30 %</w:t>
            </w:r>
          </w:p>
        </w:tc>
        <w:tc>
          <w:tcPr>
            <w:tcW w:type="dxa" w:w="4400"/>
            <w:shd w:fill="DCE6F1" w:color="auto" w:val="clear"/>
            <w:tcMar>
              <w:top w:type="dxa" w:w="100"/>
              <w:left w:type="dxa" w:w="120"/>
              <w:bottom w:type="dxa" w:w="100"/>
              <w:right w:type="dxa" w:w="120"/>
            </w:tcMar>
          </w:tcPr>
          <w:p>
            <w:r>
              <w:rPr>
                <w:b w:val="false"/>
                <w:bCs w:val="false"/>
              </w:rPr>
              <w:t xml:space="preserve">Google Ads, Facebook Ads, Instagram Ads, etc.</w:t>
            </w:r>
          </w:p>
        </w:tc>
      </w:tr>
      <w:tr>
        <w:tc>
          <w:tcPr>
            <w:tcW w:type="dxa" w:w="3200"/>
            <w:tcMar>
              <w:top w:type="dxa" w:w="100"/>
              <w:left w:type="dxa" w:w="120"/>
              <w:bottom w:type="dxa" w:w="100"/>
              <w:right w:type="dxa" w:w="120"/>
            </w:tcMar>
          </w:tcPr>
          <w:p>
            <w:r>
              <w:rPr>
                <w:b w:val="false"/>
                <w:bCs w:val="false"/>
              </w:rPr>
              <w:t xml:space="preserve">Redes sociales</w:t>
            </w:r>
          </w:p>
        </w:tc>
        <w:tc>
          <w:tcPr>
            <w:tcW w:type="dxa" w:w="2000"/>
            <w:tcMar>
              <w:top w:type="dxa" w:w="100"/>
              <w:left w:type="dxa" w:w="120"/>
              <w:bottom w:type="dxa" w:w="100"/>
              <w:right w:type="dxa" w:w="120"/>
            </w:tcMar>
          </w:tcPr>
          <w:p>
            <w:r>
              <w:rPr>
                <w:b w:val="false"/>
                <w:bCs w:val="false"/>
              </w:rPr>
              <w:t xml:space="preserve">25 %</w:t>
            </w:r>
          </w:p>
        </w:tc>
        <w:tc>
          <w:tcPr>
            <w:tcW w:type="dxa" w:w="4400"/>
            <w:tcMar>
              <w:top w:type="dxa" w:w="100"/>
              <w:left w:type="dxa" w:w="120"/>
              <w:bottom w:type="dxa" w:w="100"/>
              <w:right w:type="dxa" w:w="120"/>
            </w:tcMar>
          </w:tcPr>
          <w:p>
            <w:r>
              <w:rPr>
                <w:b w:val="false"/>
                <w:bCs w:val="false"/>
              </w:rPr>
              <w:t xml:space="preserve">Creación y gestión de contenido en plataformas clave.</w:t>
            </w:r>
          </w:p>
        </w:tc>
      </w:tr>
      <w:tr>
        <w:tc>
          <w:tcPr>
            <w:tcW w:type="dxa" w:w="3200"/>
            <w:shd w:fill="DCE6F1" w:color="auto" w:val="clear"/>
            <w:tcMar>
              <w:top w:type="dxa" w:w="100"/>
              <w:left w:type="dxa" w:w="120"/>
              <w:bottom w:type="dxa" w:w="100"/>
              <w:right w:type="dxa" w:w="120"/>
            </w:tcMar>
          </w:tcPr>
          <w:p>
            <w:r>
              <w:rPr>
                <w:b w:val="false"/>
                <w:bCs w:val="false"/>
              </w:rPr>
              <w:t xml:space="preserve">Marketing de contenidos</w:t>
            </w:r>
          </w:p>
        </w:tc>
        <w:tc>
          <w:tcPr>
            <w:tcW w:type="dxa" w:w="2000"/>
            <w:shd w:fill="DCE6F1" w:color="auto" w:val="clear"/>
            <w:tcMar>
              <w:top w:type="dxa" w:w="100"/>
              <w:left w:type="dxa" w:w="120"/>
              <w:bottom w:type="dxa" w:w="100"/>
              <w:right w:type="dxa" w:w="120"/>
            </w:tcMar>
          </w:tcPr>
          <w:p>
            <w:r>
              <w:rPr>
                <w:b w:val="false"/>
                <w:bCs w:val="false"/>
              </w:rPr>
              <w:t xml:space="preserve">15 %</w:t>
            </w:r>
          </w:p>
        </w:tc>
        <w:tc>
          <w:tcPr>
            <w:tcW w:type="dxa" w:w="4400"/>
            <w:shd w:fill="DCE6F1" w:color="auto" w:val="clear"/>
            <w:tcMar>
              <w:top w:type="dxa" w:w="100"/>
              <w:left w:type="dxa" w:w="120"/>
              <w:bottom w:type="dxa" w:w="100"/>
              <w:right w:type="dxa" w:w="120"/>
            </w:tcMar>
          </w:tcPr>
          <w:p>
            <w:r>
              <w:rPr>
                <w:b w:val="false"/>
                <w:bCs w:val="false"/>
              </w:rPr>
              <w:t xml:space="preserve">Desarrollo y mantenimiento del blog corporativo.</w:t>
            </w:r>
          </w:p>
        </w:tc>
      </w:tr>
      <w:tr>
        <w:tc>
          <w:tcPr>
            <w:tcW w:type="dxa" w:w="3200"/>
            <w:tcMar>
              <w:top w:type="dxa" w:w="100"/>
              <w:left w:type="dxa" w:w="120"/>
              <w:bottom w:type="dxa" w:w="100"/>
              <w:right w:type="dxa" w:w="120"/>
            </w:tcMar>
          </w:tcPr>
          <w:p>
            <w:r>
              <w:rPr>
                <w:b w:val="false"/>
                <w:bCs w:val="false"/>
              </w:rPr>
              <w:t xml:space="preserve">Colaboraciones y patrocinios</w:t>
            </w:r>
          </w:p>
        </w:tc>
        <w:tc>
          <w:tcPr>
            <w:tcW w:type="dxa" w:w="2000"/>
            <w:tcMar>
              <w:top w:type="dxa" w:w="100"/>
              <w:left w:type="dxa" w:w="120"/>
              <w:bottom w:type="dxa" w:w="100"/>
              <w:right w:type="dxa" w:w="120"/>
            </w:tcMar>
          </w:tcPr>
          <w:p>
            <w:r>
              <w:rPr>
                <w:b w:val="false"/>
                <w:bCs w:val="false"/>
              </w:rPr>
              <w:t xml:space="preserve">12 %</w:t>
            </w:r>
          </w:p>
        </w:tc>
        <w:tc>
          <w:tcPr>
            <w:tcW w:type="dxa" w:w="4400"/>
            <w:tcMar>
              <w:top w:type="dxa" w:w="100"/>
              <w:left w:type="dxa" w:w="120"/>
              <w:bottom w:type="dxa" w:w="100"/>
              <w:right w:type="dxa" w:w="120"/>
            </w:tcMar>
          </w:tcPr>
          <w:p>
            <w:r>
              <w:rPr>
                <w:b w:val="false"/>
                <w:bCs w:val="false"/>
              </w:rPr>
              <w:t xml:space="preserve">Pagos a influencers y costos de eventos patrocinados.</w:t>
            </w:r>
          </w:p>
        </w:tc>
      </w:tr>
      <w:tr>
        <w:tc>
          <w:tcPr>
            <w:tcW w:type="dxa" w:w="3200"/>
            <w:shd w:fill="DCE6F1" w:color="auto" w:val="clear"/>
            <w:tcMar>
              <w:top w:type="dxa" w:w="100"/>
              <w:left w:type="dxa" w:w="120"/>
              <w:bottom w:type="dxa" w:w="100"/>
              <w:right w:type="dxa" w:w="120"/>
            </w:tcMar>
          </w:tcPr>
          <w:p>
            <w:r>
              <w:rPr>
                <w:b w:val="false"/>
                <w:bCs w:val="false"/>
              </w:rPr>
              <w:t xml:space="preserve">Email marketing</w:t>
            </w:r>
          </w:p>
        </w:tc>
        <w:tc>
          <w:tcPr>
            <w:tcW w:type="dxa" w:w="2000"/>
            <w:shd w:fill="DCE6F1" w:color="auto" w:val="clear"/>
            <w:tcMar>
              <w:top w:type="dxa" w:w="100"/>
              <w:left w:type="dxa" w:w="120"/>
              <w:bottom w:type="dxa" w:w="100"/>
              <w:right w:type="dxa" w:w="120"/>
            </w:tcMar>
          </w:tcPr>
          <w:p>
            <w:r>
              <w:rPr>
                <w:b w:val="false"/>
                <w:bCs w:val="false"/>
              </w:rPr>
              <w:t xml:space="preserve">10 %</w:t>
            </w:r>
          </w:p>
        </w:tc>
        <w:tc>
          <w:tcPr>
            <w:tcW w:type="dxa" w:w="4400"/>
            <w:shd w:fill="DCE6F1" w:color="auto" w:val="clear"/>
            <w:tcMar>
              <w:top w:type="dxa" w:w="100"/>
              <w:left w:type="dxa" w:w="120"/>
              <w:bottom w:type="dxa" w:w="100"/>
              <w:right w:type="dxa" w:w="120"/>
            </w:tcMar>
          </w:tcPr>
          <w:p>
            <w:r>
              <w:rPr>
                <w:b w:val="false"/>
                <w:bCs w:val="false"/>
              </w:rPr>
              <w:t xml:space="preserve">Campañas de correo y gestión de listas.</w:t>
            </w:r>
          </w:p>
        </w:tc>
      </w:tr>
      <w:tr>
        <w:tc>
          <w:tcPr>
            <w:tcW w:type="dxa" w:w="3200"/>
            <w:tcMar>
              <w:top w:type="dxa" w:w="100"/>
              <w:left w:type="dxa" w:w="120"/>
              <w:bottom w:type="dxa" w:w="100"/>
              <w:right w:type="dxa" w:w="120"/>
            </w:tcMar>
          </w:tcPr>
          <w:p>
            <w:r>
              <w:rPr>
                <w:b w:val="false"/>
                <w:bCs w:val="false"/>
              </w:rPr>
              <w:t xml:space="preserve">Eventos físicos y virtuales</w:t>
            </w:r>
          </w:p>
        </w:tc>
        <w:tc>
          <w:tcPr>
            <w:tcW w:type="dxa" w:w="2000"/>
            <w:tcMar>
              <w:top w:type="dxa" w:w="100"/>
              <w:left w:type="dxa" w:w="120"/>
              <w:bottom w:type="dxa" w:w="100"/>
              <w:right w:type="dxa" w:w="120"/>
            </w:tcMar>
          </w:tcPr>
          <w:p>
            <w:r>
              <w:rPr>
                <w:b w:val="false"/>
                <w:bCs w:val="false"/>
              </w:rPr>
              <w:t xml:space="preserve">8 %</w:t>
            </w:r>
          </w:p>
        </w:tc>
        <w:tc>
          <w:tcPr>
            <w:tcW w:type="dxa" w:w="4400"/>
            <w:tcMar>
              <w:top w:type="dxa" w:w="100"/>
              <w:left w:type="dxa" w:w="120"/>
              <w:bottom w:type="dxa" w:w="100"/>
              <w:right w:type="dxa" w:w="120"/>
            </w:tcMar>
          </w:tcPr>
          <w:p>
            <w:r>
              <w:rPr>
                <w:b w:val="false"/>
                <w:bCs w:val="false"/>
              </w:rPr>
              <w:t xml:space="preserve">Organización de eventos y participación en ferias.</w:t>
            </w:r>
          </w:p>
        </w:tc>
      </w:tr>
    </w:tbl>
    <w:p>
      <w:pPr>
        <w:spacing w:after="160" w:line="276"/>
      </w:pPr>
      <w:r>
        <w:t xml:space="preserve">La inversión se justifica por su contribución directa a los objetivos de marketing: la publicidad online y las redes sociales aumentan la conciencia de marca; el marketing de contenidos y el email marketing generan demanda al educar al consumidor; y las colaboraciones con influencers y eventos refuerzan el cierre de ventas, el posicionamiento como líder sostenible y el retorno de inversión a largo plazo.</w:t>
      </w:r>
    </w:p>
    <w:p>
      <w:pPr>
        <w:pStyle w:val="Heading2"/>
        <w:spacing w:after="120" w:before="260"/>
      </w:pPr>
      <w:r>
        <w:t xml:space="preserve">10.4. Indicadores clave de desempeño (KPIs)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5B8A" w:color="auto" w:val="clear"/>
            <w:tcMar>
              <w:top w:type="dxa" w:w="100"/>
              <w:left w:type="dxa" w:w="120"/>
              <w:bottom w:type="dxa" w:w="100"/>
              <w:right w:type="dxa" w:w="120"/>
            </w:tcMar>
          </w:tcPr>
          <w:p>
            <w:r>
              <w:rPr>
                <w:b/>
                <w:bCs/>
                <w:color w:val="FFFFFF"/>
              </w:rPr>
              <w:t xml:space="preserve">Categoría</w:t>
            </w:r>
          </w:p>
        </w:tc>
        <w:tc>
          <w:tcPr>
            <w:tcW w:type="dxa" w:w="6800"/>
            <w:shd w:fill="2E5B8A" w:color="auto" w:val="clear"/>
            <w:tcMar>
              <w:top w:type="dxa" w:w="100"/>
              <w:left w:type="dxa" w:w="120"/>
              <w:bottom w:type="dxa" w:w="100"/>
              <w:right w:type="dxa" w:w="120"/>
            </w:tcMar>
          </w:tcPr>
          <w:p>
            <w:r>
              <w:rPr>
                <w:b/>
                <w:bCs/>
                <w:color w:val="FFFFFF"/>
              </w:rPr>
              <w:t xml:space="preserve">Indicadores</w:t>
            </w:r>
          </w:p>
        </w:tc>
      </w:tr>
      <w:tr>
        <w:tc>
          <w:tcPr>
            <w:tcW w:type="dxa" w:w="2600"/>
            <w:shd w:fill="DCE6F1" w:color="auto" w:val="clear"/>
            <w:tcMar>
              <w:top w:type="dxa" w:w="100"/>
              <w:left w:type="dxa" w:w="120"/>
              <w:bottom w:type="dxa" w:w="100"/>
              <w:right w:type="dxa" w:w="120"/>
            </w:tcMar>
          </w:tcPr>
          <w:p>
            <w:r>
              <w:rPr>
                <w:b w:val="false"/>
                <w:bCs w:val="false"/>
              </w:rPr>
              <w:t xml:space="preserve">Conciencia de marca</w:t>
            </w:r>
          </w:p>
        </w:tc>
        <w:tc>
          <w:tcPr>
            <w:tcW w:type="dxa" w:w="6800"/>
            <w:shd w:fill="DCE6F1" w:color="auto" w:val="clear"/>
            <w:tcMar>
              <w:top w:type="dxa" w:w="100"/>
              <w:left w:type="dxa" w:w="120"/>
              <w:bottom w:type="dxa" w:w="100"/>
              <w:right w:type="dxa" w:w="120"/>
            </w:tcMar>
          </w:tcPr>
          <w:p>
            <w:r>
              <w:rPr>
                <w:b w:val="false"/>
                <w:bCs w:val="false"/>
              </w:rPr>
              <w:t xml:space="preserve">Aumento del reconocimiento de marca en encuestas y estudios de mercado; número de menciones y contenido compartido en redes sociales.</w:t>
            </w:r>
          </w:p>
        </w:tc>
      </w:tr>
      <w:tr>
        <w:tc>
          <w:tcPr>
            <w:tcW w:type="dxa" w:w="2600"/>
            <w:tcMar>
              <w:top w:type="dxa" w:w="100"/>
              <w:left w:type="dxa" w:w="120"/>
              <w:bottom w:type="dxa" w:w="100"/>
              <w:right w:type="dxa" w:w="120"/>
            </w:tcMar>
          </w:tcPr>
          <w:p>
            <w:r>
              <w:rPr>
                <w:b w:val="false"/>
                <w:bCs w:val="false"/>
              </w:rPr>
              <w:t xml:space="preserve">Tráfico del sitio web</w:t>
            </w:r>
          </w:p>
        </w:tc>
        <w:tc>
          <w:tcPr>
            <w:tcW w:type="dxa" w:w="6800"/>
            <w:tcMar>
              <w:top w:type="dxa" w:w="100"/>
              <w:left w:type="dxa" w:w="120"/>
              <w:bottom w:type="dxa" w:w="100"/>
              <w:right w:type="dxa" w:w="120"/>
            </w:tcMar>
          </w:tcPr>
          <w:p>
            <w:r>
              <w:rPr>
                <w:b w:val="false"/>
                <w:bCs w:val="false"/>
              </w:rPr>
              <w:t xml:space="preserve">Incremento del tráfico orgánico y de referencia; tasa de rebote y duración de la visita.</w:t>
            </w:r>
          </w:p>
        </w:tc>
      </w:tr>
      <w:tr>
        <w:tc>
          <w:tcPr>
            <w:tcW w:type="dxa" w:w="2600"/>
            <w:shd w:fill="DCE6F1" w:color="auto" w:val="clear"/>
            <w:tcMar>
              <w:top w:type="dxa" w:w="100"/>
              <w:left w:type="dxa" w:w="120"/>
              <w:bottom w:type="dxa" w:w="100"/>
              <w:right w:type="dxa" w:w="120"/>
            </w:tcMar>
          </w:tcPr>
          <w:p>
            <w:r>
              <w:rPr>
                <w:b w:val="false"/>
                <w:bCs w:val="false"/>
              </w:rPr>
              <w:t xml:space="preserve">Conversiones</w:t>
            </w:r>
          </w:p>
        </w:tc>
        <w:tc>
          <w:tcPr>
            <w:tcW w:type="dxa" w:w="6800"/>
            <w:shd w:fill="DCE6F1" w:color="auto" w:val="clear"/>
            <w:tcMar>
              <w:top w:type="dxa" w:w="100"/>
              <w:left w:type="dxa" w:w="120"/>
              <w:bottom w:type="dxa" w:w="100"/>
              <w:right w:type="dxa" w:w="120"/>
            </w:tcMar>
          </w:tcPr>
          <w:p>
            <w:r>
              <w:rPr>
                <w:b w:val="false"/>
                <w:bCs w:val="false"/>
              </w:rPr>
              <w:t xml:space="preserve">Número de conversiones en ventas en Amazon; conversiones derivadas de campañas de email marketing.</w:t>
            </w:r>
          </w:p>
        </w:tc>
      </w:tr>
      <w:tr>
        <w:tc>
          <w:tcPr>
            <w:tcW w:type="dxa" w:w="2600"/>
            <w:tcMar>
              <w:top w:type="dxa" w:w="100"/>
              <w:left w:type="dxa" w:w="120"/>
              <w:bottom w:type="dxa" w:w="100"/>
              <w:right w:type="dxa" w:w="120"/>
            </w:tcMar>
          </w:tcPr>
          <w:p>
            <w:r>
              <w:rPr>
                <w:b w:val="false"/>
                <w:bCs w:val="false"/>
              </w:rPr>
              <w:t xml:space="preserve">Ventas</w:t>
            </w:r>
          </w:p>
        </w:tc>
        <w:tc>
          <w:tcPr>
            <w:tcW w:type="dxa" w:w="6800"/>
            <w:tcMar>
              <w:top w:type="dxa" w:w="100"/>
              <w:left w:type="dxa" w:w="120"/>
              <w:bottom w:type="dxa" w:w="100"/>
              <w:right w:type="dxa" w:w="120"/>
            </w:tcMar>
          </w:tcPr>
          <w:p>
            <w:r>
              <w:rPr>
                <w:b w:val="false"/>
                <w:bCs w:val="false"/>
              </w:rPr>
              <w:t xml:space="preserve">Crecimiento en ventas de productos sostenibles; relación entre inversión publicitaria y aumento de ventas.</w:t>
            </w:r>
          </w:p>
        </w:tc>
      </w:tr>
      <w:tr>
        <w:tc>
          <w:tcPr>
            <w:tcW w:type="dxa" w:w="2600"/>
            <w:shd w:fill="DCE6F1" w:color="auto" w:val="clear"/>
            <w:tcMar>
              <w:top w:type="dxa" w:w="100"/>
              <w:left w:type="dxa" w:w="120"/>
              <w:bottom w:type="dxa" w:w="100"/>
              <w:right w:type="dxa" w:w="120"/>
            </w:tcMar>
          </w:tcPr>
          <w:p>
            <w:r>
              <w:rPr>
                <w:b w:val="false"/>
                <w:bCs w:val="false"/>
              </w:rPr>
              <w:t xml:space="preserve">Participación en redes sociales</w:t>
            </w:r>
          </w:p>
        </w:tc>
        <w:tc>
          <w:tcPr>
            <w:tcW w:type="dxa" w:w="6800"/>
            <w:shd w:fill="DCE6F1" w:color="auto" w:val="clear"/>
            <w:tcMar>
              <w:top w:type="dxa" w:w="100"/>
              <w:left w:type="dxa" w:w="120"/>
              <w:bottom w:type="dxa" w:w="100"/>
              <w:right w:type="dxa" w:w="120"/>
            </w:tcMar>
          </w:tcPr>
          <w:p>
            <w:r>
              <w:rPr>
                <w:b w:val="false"/>
                <w:bCs w:val="false"/>
              </w:rPr>
              <w:t xml:space="preserve">Número de seguidores y crecimiento en plataformas; comentarios, «me gusta» y contenido compartido.</w:t>
            </w:r>
          </w:p>
        </w:tc>
      </w:tr>
      <w:tr>
        <w:tc>
          <w:tcPr>
            <w:tcW w:type="dxa" w:w="2600"/>
            <w:tcMar>
              <w:top w:type="dxa" w:w="100"/>
              <w:left w:type="dxa" w:w="120"/>
              <w:bottom w:type="dxa" w:w="100"/>
              <w:right w:type="dxa" w:w="120"/>
            </w:tcMar>
          </w:tcPr>
          <w:p>
            <w:r>
              <w:rPr>
                <w:b w:val="false"/>
                <w:bCs w:val="false"/>
              </w:rPr>
              <w:t xml:space="preserve">Retención y lealtad del cliente</w:t>
            </w:r>
          </w:p>
        </w:tc>
        <w:tc>
          <w:tcPr>
            <w:tcW w:type="dxa" w:w="6800"/>
            <w:tcMar>
              <w:top w:type="dxa" w:w="100"/>
              <w:left w:type="dxa" w:w="120"/>
              <w:bottom w:type="dxa" w:w="100"/>
              <w:right w:type="dxa" w:w="120"/>
            </w:tcMar>
          </w:tcPr>
          <w:p>
            <w:r>
              <w:rPr>
                <w:b w:val="false"/>
                <w:bCs w:val="false"/>
              </w:rPr>
              <w:t xml:space="preserve">Tasa de retención a lo largo del tiempo; participación en programas de lealtad y repetición de compra.</w:t>
            </w:r>
          </w:p>
        </w:tc>
      </w:tr>
    </w:tbl>
    <w:p>
      <w:pPr>
        <w:pStyle w:val="Heading2"/>
        <w:spacing w:after="120" w:before="260"/>
      </w:pPr>
      <w:r>
        <w:t xml:space="preserve">10.5. Frecuencia de evaluación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2E5B8A" w:color="auto" w:val="clear"/>
            <w:tcMar>
              <w:top w:type="dxa" w:w="100"/>
              <w:left w:type="dxa" w:w="120"/>
              <w:bottom w:type="dxa" w:w="100"/>
              <w:right w:type="dxa" w:w="120"/>
            </w:tcMar>
          </w:tcPr>
          <w:p>
            <w:r>
              <w:rPr>
                <w:b/>
                <w:bCs/>
                <w:color w:val="FFFFFF"/>
              </w:rPr>
              <w:t xml:space="preserve">Frecuencia</w:t>
            </w:r>
          </w:p>
        </w:tc>
        <w:tc>
          <w:tcPr>
            <w:tcW w:type="dxa" w:w="7000"/>
            <w:shd w:fill="2E5B8A" w:color="auto" w:val="clear"/>
            <w:tcMar>
              <w:top w:type="dxa" w:w="100"/>
              <w:left w:type="dxa" w:w="120"/>
              <w:bottom w:type="dxa" w:w="100"/>
              <w:right w:type="dxa" w:w="120"/>
            </w:tcMar>
          </w:tcPr>
          <w:p>
            <w:r>
              <w:rPr>
                <w:b/>
                <w:bCs/>
                <w:color w:val="FFFFFF"/>
              </w:rPr>
              <w:t xml:space="preserve">Qué se revisa</w:t>
            </w:r>
          </w:p>
        </w:tc>
      </w:tr>
      <w:tr>
        <w:tc>
          <w:tcPr>
            <w:tcW w:type="dxa" w:w="2400"/>
            <w:shd w:fill="DCE6F1" w:color="auto" w:val="clear"/>
            <w:tcMar>
              <w:top w:type="dxa" w:w="100"/>
              <w:left w:type="dxa" w:w="120"/>
              <w:bottom w:type="dxa" w:w="100"/>
              <w:right w:type="dxa" w:w="120"/>
            </w:tcMar>
          </w:tcPr>
          <w:p>
            <w:r>
              <w:rPr>
                <w:b w:val="false"/>
                <w:bCs w:val="false"/>
              </w:rPr>
              <w:t xml:space="preserve">Mensual</w:t>
            </w:r>
          </w:p>
        </w:tc>
        <w:tc>
          <w:tcPr>
            <w:tcW w:type="dxa" w:w="7000"/>
            <w:shd w:fill="DCE6F1" w:color="auto" w:val="clear"/>
            <w:tcMar>
              <w:top w:type="dxa" w:w="100"/>
              <w:left w:type="dxa" w:w="120"/>
              <w:bottom w:type="dxa" w:w="100"/>
              <w:right w:type="dxa" w:w="120"/>
            </w:tcMar>
          </w:tcPr>
          <w:p>
            <w:r>
              <w:rPr>
                <w:b w:val="false"/>
                <w:bCs w:val="false"/>
              </w:rPr>
              <w:t xml:space="preserve">KPIs de conciencia de marca y tráfico del sitio web; métricas de redes sociales y participación del público.</w:t>
            </w:r>
          </w:p>
        </w:tc>
      </w:tr>
      <w:tr>
        <w:tc>
          <w:tcPr>
            <w:tcW w:type="dxa" w:w="2400"/>
            <w:tcMar>
              <w:top w:type="dxa" w:w="100"/>
              <w:left w:type="dxa" w:w="120"/>
              <w:bottom w:type="dxa" w:w="100"/>
              <w:right w:type="dxa" w:w="120"/>
            </w:tcMar>
          </w:tcPr>
          <w:p>
            <w:r>
              <w:rPr>
                <w:b w:val="false"/>
                <w:bCs w:val="false"/>
              </w:rPr>
              <w:t xml:space="preserve">Trimestral</w:t>
            </w:r>
          </w:p>
        </w:tc>
        <w:tc>
          <w:tcPr>
            <w:tcW w:type="dxa" w:w="7000"/>
            <w:tcMar>
              <w:top w:type="dxa" w:w="100"/>
              <w:left w:type="dxa" w:w="120"/>
              <w:bottom w:type="dxa" w:w="100"/>
              <w:right w:type="dxa" w:w="120"/>
            </w:tcMar>
          </w:tcPr>
          <w:p>
            <w:r>
              <w:rPr>
                <w:b w:val="false"/>
                <w:bCs w:val="false"/>
              </w:rPr>
              <w:t xml:space="preserve">Efectividad de las estrategias de conversión y ventas; tasa de retención y lealtad del cliente.</w:t>
            </w:r>
          </w:p>
        </w:tc>
      </w:tr>
      <w:tr>
        <w:tc>
          <w:tcPr>
            <w:tcW w:type="dxa" w:w="2400"/>
            <w:shd w:fill="DCE6F1" w:color="auto" w:val="clear"/>
            <w:tcMar>
              <w:top w:type="dxa" w:w="100"/>
              <w:left w:type="dxa" w:w="120"/>
              <w:bottom w:type="dxa" w:w="100"/>
              <w:right w:type="dxa" w:w="120"/>
            </w:tcMar>
          </w:tcPr>
          <w:p>
            <w:r>
              <w:rPr>
                <w:b w:val="false"/>
                <w:bCs w:val="false"/>
              </w:rPr>
              <w:t xml:space="preserve">Semestral</w:t>
            </w:r>
          </w:p>
        </w:tc>
        <w:tc>
          <w:tcPr>
            <w:tcW w:type="dxa" w:w="7000"/>
            <w:shd w:fill="DCE6F1" w:color="auto" w:val="clear"/>
            <w:tcMar>
              <w:top w:type="dxa" w:w="100"/>
              <w:left w:type="dxa" w:w="120"/>
              <w:bottom w:type="dxa" w:w="100"/>
              <w:right w:type="dxa" w:w="120"/>
            </w:tcMar>
          </w:tcPr>
          <w:p>
            <w:r>
              <w:rPr>
                <w:b w:val="false"/>
                <w:bCs w:val="false"/>
              </w:rPr>
              <w:t xml:space="preserve">Inversión en publicidad y su impacto en ventas; rendimiento de eventos patrocinados y colaboraciones.</w:t>
            </w:r>
          </w:p>
        </w:tc>
      </w:tr>
      <w:tr>
        <w:tc>
          <w:tcPr>
            <w:tcW w:type="dxa" w:w="2400"/>
            <w:tcMar>
              <w:top w:type="dxa" w:w="100"/>
              <w:left w:type="dxa" w:w="120"/>
              <w:bottom w:type="dxa" w:w="100"/>
              <w:right w:type="dxa" w:w="120"/>
            </w:tcMar>
          </w:tcPr>
          <w:p>
            <w:r>
              <w:rPr>
                <w:b w:val="false"/>
                <w:bCs w:val="false"/>
              </w:rPr>
              <w:t xml:space="preserve">Anual</w:t>
            </w:r>
          </w:p>
        </w:tc>
        <w:tc>
          <w:tcPr>
            <w:tcW w:type="dxa" w:w="7000"/>
            <w:tcMar>
              <w:top w:type="dxa" w:w="100"/>
              <w:left w:type="dxa" w:w="120"/>
              <w:bottom w:type="dxa" w:w="100"/>
              <w:right w:type="dxa" w:w="120"/>
            </w:tcMar>
          </w:tcPr>
          <w:p>
            <w:r>
              <w:rPr>
                <w:b w:val="false"/>
                <w:bCs w:val="false"/>
              </w:rPr>
              <w:t xml:space="preserve">Análisis integral del rendimiento del plan de comunicación; reajuste de estrategias y nuevos objetivos para el año siguiente.</w:t>
            </w:r>
          </w:p>
        </w:tc>
      </w:tr>
    </w:tbl>
    <w:p>
      <w:pPr>
        <w:spacing w:after="160" w:line="276"/>
      </w:pPr>
      <w:r>
        <w:t xml:space="preserve">La evaluación regular permite identificar oportunidades de mejora, ajustar la estrategia según los resultados y mantener el plan de comunicación alineado con los objetivos de marketing y ventas de AMZ Future.</w:t>
      </w:r>
    </w:p>
    <w:p>
      <w:pPr>
        <w:pStyle w:val="Heading1"/>
        <w:spacing w:after="160" w:before="360"/>
      </w:pPr>
      <w:r>
        <w:t xml:space="preserve">11. Conclusiones</w:t>
      </w:r>
    </w:p>
    <w:p>
      <w:pPr>
        <w:spacing w:after="160" w:line="276"/>
      </w:pPr>
      <w:r>
        <w:rPr>
          <w:b/>
          <w:bCs/>
        </w:rPr>
        <w:t xml:space="preserve">Oportunidad en el mercado. </w:t>
      </w:r>
      <w:r>
        <w:t xml:space="preserve">AMZ Future se encuentra en una posición estratégica para capitalizar la creciente demanda de productos sostenibles en el mercado de Amazon. La ausencia de competidores directos con una estrategia similar crea una oportunidad única en un entorno donde la conciencia ambiental está en aumento.</w:t>
      </w:r>
    </w:p>
    <w:p>
      <w:pPr>
        <w:spacing w:after="160" w:line="276"/>
      </w:pPr>
      <w:r>
        <w:rPr>
          <w:b/>
          <w:bCs/>
        </w:rPr>
        <w:t xml:space="preserve">Diferenciación competitiva. </w:t>
      </w:r>
      <w:r>
        <w:t xml:space="preserve">La propuesta de valor de AMZ Future destaca al ofrecer no solo productos biodegradables, sino también prácticas sostenibles en todos los aspectos de su operación: colaboración con Amazon, vehículos de cero emisiones y envoltorios reciclables.</w:t>
      </w:r>
    </w:p>
    <w:p>
      <w:pPr>
        <w:spacing w:after="160" w:line="276"/>
      </w:pPr>
      <w:r>
        <w:rPr>
          <w:b/>
          <w:bCs/>
        </w:rPr>
        <w:t xml:space="preserve">Conciencia ambiental. </w:t>
      </w:r>
      <w:r>
        <w:t xml:space="preserve">La estrategia de comunicación, centrada en la sostenibilidad, refleja un compromiso auténtico con valores medioambientales que puede resonar positivamente entre consumidores conscientes, generando conexión emocional y lealtad hacia la marca.</w:t>
      </w:r>
    </w:p>
    <w:p>
      <w:pPr>
        <w:spacing w:after="160" w:line="276"/>
      </w:pPr>
      <w:r>
        <w:rPr>
          <w:b/>
          <w:bCs/>
        </w:rPr>
        <w:t xml:space="preserve">Segmentación efectiva. </w:t>
      </w:r>
      <w:r>
        <w:t xml:space="preserve">La identificación clara del público objetivo permite personalizar mensajes y estrategias, maximizando el impacto de la comunicación al dirigirse específicamente a consumidores que valoran la sostenibilidad.</w:t>
      </w:r>
    </w:p>
    <w:p>
      <w:pPr>
        <w:spacing w:after="160" w:line="276"/>
      </w:pPr>
      <w:r>
        <w:rPr>
          <w:b/>
          <w:bCs/>
        </w:rPr>
        <w:t xml:space="preserve">Uso de canales adecuados. </w:t>
      </w:r>
      <w:r>
        <w:t xml:space="preserve">La elección de canales, tanto online como offline, es coherente con el perfil del público objetivo, proporcionando una cobertura integral en múltiples puntos de contacto.</w:t>
      </w:r>
    </w:p>
    <w:p>
      <w:pPr>
        <w:pStyle w:val="Heading1"/>
        <w:spacing w:after="160" w:before="360"/>
      </w:pPr>
      <w:r>
        <w:t xml:space="preserve">12. Recomendaciones</w:t>
      </w:r>
    </w:p>
    <w:p>
      <w:pPr>
        <w:spacing w:after="160" w:line="276"/>
      </w:pPr>
      <w:r>
        <w:rPr>
          <w:b/>
          <w:bCs/>
        </w:rPr>
        <w:t xml:space="preserve">Optimización del presupuesto: </w:t>
      </w:r>
      <w:r>
        <w:t xml:space="preserve">realizar evaluaciones periódicas del rendimiento de cada canal y ajustar el presupuesto en consecuencia, priorizando los canales más efectivos.</w:t>
      </w:r>
    </w:p>
    <w:p>
      <w:pPr>
        <w:spacing w:after="160" w:line="276"/>
      </w:pPr>
      <w:r>
        <w:rPr>
          <w:b/>
          <w:bCs/>
        </w:rPr>
        <w:t xml:space="preserve">Fortalecimiento de colaboraciones: </w:t>
      </w:r>
      <w:r>
        <w:t xml:space="preserve">reforzar las alianzas con influencers y personalidades alineadas con los valores de sostenibilidad, estableciendo asociaciones a largo plazo.</w:t>
      </w:r>
    </w:p>
    <w:p>
      <w:pPr>
        <w:spacing w:after="160" w:line="276"/>
      </w:pPr>
      <w:r>
        <w:rPr>
          <w:b/>
          <w:bCs/>
        </w:rPr>
        <w:t xml:space="preserve">Monitoreo de tendencias: </w:t>
      </w:r>
      <w:r>
        <w:t xml:space="preserve">mantenerse al tanto de las tendencias del mercado y adaptar continuamente la oferta de productos.</w:t>
      </w:r>
    </w:p>
    <w:p>
      <w:pPr>
        <w:spacing w:after="160" w:line="276"/>
      </w:pPr>
      <w:r>
        <w:rPr>
          <w:b/>
          <w:bCs/>
        </w:rPr>
        <w:t xml:space="preserve">Ampliación de la oferta: </w:t>
      </w:r>
      <w:r>
        <w:t xml:space="preserve">considerar expandir el catálogo de productos sostenibles a más categorías para atraer a un público más amplio.</w:t>
      </w:r>
    </w:p>
    <w:p>
      <w:pPr>
        <w:spacing w:after="160" w:line="276"/>
      </w:pPr>
      <w:r>
        <w:rPr>
          <w:b/>
          <w:bCs/>
        </w:rPr>
        <w:t xml:space="preserve">Feedback del cliente: </w:t>
      </w:r>
      <w:r>
        <w:t xml:space="preserve">implementar sistemas para recopilar y analizar activamente la opinión de los clientes y ajustar productos y estrategias en consecuencia.</w:t>
      </w:r>
    </w:p>
    <w:p>
      <w:pPr>
        <w:spacing w:after="160" w:line="276"/>
      </w:pPr>
      <w:r>
        <w:rPr>
          <w:b/>
          <w:bCs/>
        </w:rPr>
        <w:t xml:space="preserve">Sostenibilidad en la cadena de suministro: </w:t>
      </w:r>
      <w:r>
        <w:t xml:space="preserve">reforzar los esfuerzos para que la cadena de suministro sea completamente sostenible, priorizando proveedores locales y de países vecinos.</w:t>
      </w:r>
    </w:p>
    <w:p>
      <w:pPr>
        <w:spacing w:after="160" w:line="276"/>
      </w:pPr>
      <w:r>
        <w:rPr>
          <w:b/>
          <w:bCs/>
        </w:rPr>
        <w:t xml:space="preserve">Evaluación periódica de la estrategia de comunicación: </w:t>
      </w:r>
      <w:r>
        <w:t xml:space="preserve">mantener una revisión regular para adaptarse a cambios en el mercado, el comportamiento del consumidor y las tendencias emergentes.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AMZ Future — Plan de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3E7A4E"/>
      <w:sz w:val="32"/>
      <w:szCs w:val="32"/>
    </w:rPr>
  </w:style>
  <w:style w:type="paragraph" w:styleId="Heading2">
    <w:name w:val="Heading 2"/>
    <w:basedOn w:val="Normal"/>
    <w:next w:val="Normal"/>
    <w:qFormat/>
    <w:pPr>
      <w:spacing w:after="120" w:before="260"/>
      <w:outlineLvl w:val="1"/>
    </w:pPr>
    <w:rPr>
      <w:b/>
      <w:bCs/>
      <w:color w:val="2E5B8A"/>
      <w:sz w:val="26"/>
      <w:szCs w:val="26"/>
    </w:rPr>
  </w:style>
  <w:style w:type="paragraph" w:styleId="Heading3">
    <w:name w:val="Heading 3"/>
    <w:basedOn w:val="Normal"/>
    <w:next w:val="Normal"/>
    <w:qFormat/>
    <w:pPr>
      <w:spacing w:after="100" w:before="200"/>
      <w:outlineLvl w:val="2"/>
    </w:pPr>
    <w:rPr>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b058d6b010efa568296011eae84970b877475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AMZ Future — Plan de Marketing</dc:title>
  <dc:creator>AMZ Future</dc:creator>
  <cp:lastModifiedBy>Un-named</cp:lastModifiedBy>
  <cp:revision>1</cp:revision>
  <dcterms:created xsi:type="dcterms:W3CDTF">2026-09-17T10:13:05.571Z</dcterms:created>
  <dcterms:modified xsi:type="dcterms:W3CDTF">2026-09-17T10:13:05.582Z</dcterms:modified>
</cp:coreProperties>
</file>

<file path=docProps/custom.xml><?xml version="1.0" encoding="utf-8"?>
<Properties xmlns="http://schemas.openxmlformats.org/officeDocument/2006/custom-properties" xmlns:vt="http://schemas.openxmlformats.org/officeDocument/2006/docPropsVTypes"/>
</file>