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D1D1B"/>
          <w:spacing w:val="40"/>
          <w:sz w:val="40"/>
          <w:szCs w:val="40"/>
        </w:rPr>
        <w:t xml:space="preserve">GONÇALO MOREIRA NEVES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36699"/>
          <w:sz w:val="24"/>
          <w:szCs w:val="24"/>
        </w:rPr>
        <w:t xml:space="preserve">Agri-Food Tech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24E"/>
          <w:sz w:val="20"/>
          <w:szCs w:val="20"/>
        </w:rPr>
        <w:t xml:space="preserve">A moldar a cultura e a impulsionar o crescimento económico no Agri-Food Tech</w:t>
      </w:r>
    </w:p>
    <w:p>
      <w:pPr>
        <w:pBdr>
          <w:bottom w:val="single" w:color="D1CDC8" w:sz="6" w:space="6"/>
        </w:pBdr>
        <w:spacing w:after="120"/>
      </w:pPr>
      <w:r>
        <w:rPr>
          <w:rFonts w:ascii="Calibri" w:cs="Calibri" w:eastAsia="Calibri" w:hAnsi="Calibri"/>
          <w:color w:val="55524E"/>
          <w:sz w:val="19"/>
          <w:szCs w:val="19"/>
        </w:rPr>
        <w:t xml:space="preserve">Lisboa, Portugal</w:t>
      </w:r>
      <w:r>
        <w:rPr>
          <w:rFonts w:ascii="Calibri" w:cs="Calibri" w:eastAsia="Calibri" w:hAnsi="Calibri"/>
          <w:color w:val="55524E"/>
          <w:sz w:val="19"/>
          <w:szCs w:val="19"/>
        </w:rPr>
        <w:t xml:space="preserve"> | </w:t>
      </w:r>
      <w:hyperlink w:history="1" r:id="rIdsjxhsripp0n020n2k9hul">
        <w:r>
          <w:rPr>
            <w:rFonts w:ascii="Calibri" w:cs="Calibri" w:eastAsia="Calibri" w:hAnsi="Calibri"/>
            <w:color w:val="336699"/>
            <w:sz w:val="19"/>
            <w:szCs w:val="19"/>
          </w:rPr>
          <w:t xml:space="preserve">+351 962 695 021</w:t>
        </w:r>
      </w:hyperlink>
      <w:r>
        <w:rPr>
          <w:rFonts w:ascii="Calibri" w:cs="Calibri" w:eastAsia="Calibri" w:hAnsi="Calibri"/>
          <w:color w:val="55524E"/>
          <w:sz w:val="19"/>
          <w:szCs w:val="19"/>
        </w:rPr>
        <w:t xml:space="preserve"> | </w:t>
      </w:r>
      <w:hyperlink w:history="1" r:id="rIdhni0xszgljsokyxgdiecw">
        <w:r>
          <w:rPr>
            <w:rFonts w:ascii="Calibri" w:cs="Calibri" w:eastAsia="Calibri" w:hAnsi="Calibri"/>
            <w:color w:val="336699"/>
            <w:sz w:val="19"/>
            <w:szCs w:val="19"/>
          </w:rPr>
          <w:t xml:space="preserve">goncalocsmn@gmail.com</w:t>
        </w:r>
      </w:hyperlink>
      <w:r>
        <w:rPr>
          <w:rFonts w:ascii="Calibri" w:cs="Calibri" w:eastAsia="Calibri" w:hAnsi="Calibri"/>
          <w:color w:val="55524E"/>
          <w:sz w:val="19"/>
          <w:szCs w:val="19"/>
        </w:rPr>
        <w:t xml:space="preserve"> | </w:t>
      </w:r>
      <w:hyperlink w:history="1" r:id="rIdlmyxbpkupdpl7lilptyjw">
        <w:r>
          <w:rPr>
            <w:rFonts w:ascii="Calibri" w:cs="Calibri" w:eastAsia="Calibri" w:hAnsi="Calibri"/>
            <w:color w:val="336699"/>
            <w:sz w:val="19"/>
            <w:szCs w:val="19"/>
          </w:rPr>
          <w:t xml:space="preserve">linkedin.com/in/moreiraneves</w:t>
        </w:r>
      </w:hyperlink>
      <w:r>
        <w:rPr>
          <w:rFonts w:ascii="Calibri" w:cs="Calibri" w:eastAsia="Calibri" w:hAnsi="Calibri"/>
          <w:color w:val="55524E"/>
          <w:sz w:val="19"/>
          <w:szCs w:val="19"/>
        </w:rPr>
        <w:t xml:space="preserve"> | </w:t>
      </w:r>
      <w:hyperlink w:history="1" r:id="rIdgunqnofjz-r3wjqw7jmey">
        <w:r>
          <w:rPr>
            <w:rFonts w:ascii="Calibri" w:cs="Calibri" w:eastAsia="Calibri" w:hAnsi="Calibri"/>
            <w:color w:val="336699"/>
            <w:sz w:val="19"/>
            <w:szCs w:val="19"/>
          </w:rPr>
          <w:t xml:space="preserve">CV online</w:t>
        </w:r>
      </w:hyperlink>
      <w:r>
        <w:rPr>
          <w:rFonts w:ascii="Calibri" w:cs="Calibri" w:eastAsia="Calibri" w:hAnsi="Calibri"/>
          <w:color w:val="55524E"/>
          <w:sz w:val="19"/>
          <w:szCs w:val="19"/>
        </w:rPr>
        <w:t xml:space="preserve"> | </w:t>
      </w:r>
      <w:hyperlink w:history="1" r:id="rIdqvbgqc2hklqj0bjggpb_d">
        <w:r>
          <w:rPr>
            <w:rFonts w:ascii="Calibri" w:cs="Calibri" w:eastAsia="Calibri" w:hAnsi="Calibri"/>
            <w:color w:val="336699"/>
            <w:sz w:val="19"/>
            <w:szCs w:val="19"/>
          </w:rPr>
          <w:t xml:space="preserve">Marcar reunião</w:t>
        </w:r>
      </w:hyperlink>
    </w:p>
    <w:p>
      <w:pPr>
        <w:keepNext/>
        <w:pBdr>
          <w:bottom w:val="single" w:color="FC9B2C" w:sz="12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00467D"/>
          <w:spacing w:val="30"/>
          <w:sz w:val="22"/>
          <w:szCs w:val="22"/>
        </w:rPr>
        <w:t xml:space="preserve">RESUMO PROFISSIONAL</w:t>
      </w:r>
    </w:p>
    <w:p>
      <w:pPr>
        <w:keepLines/>
        <w:spacing w:after="40" w:line="252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Executivo em iluminação hortícola e CEA com mais de 15 anos entre investigação em fotobiologia, design de produtos LED, liderança comercial e gestão de topo na Europa, Ásia e América do Norte. Managing Partner da APTA Advisory (due diligence e estratégia de negócio) desde agosto de 2026. Engenheiro de base e líder comercial na prática: faz crescer receita, lidera transformação e recuperação, capta capital e constrói as parcerias que dão escala a um negócio. Disponível para funções de liderança sénior em iluminação hortícola e CEA.</w:t>
      </w:r>
    </w:p>
    <w:p>
      <w:pPr>
        <w:keepNext/>
        <w:pBdr>
          <w:bottom w:val="single" w:color="FC9B2C" w:sz="12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00467D"/>
          <w:spacing w:val="30"/>
          <w:sz w:val="22"/>
          <w:szCs w:val="22"/>
        </w:rPr>
        <w:t xml:space="preserve">COMPETÊNCIAS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Liderança executiva: CEO / co-CEO, gestão de topo interina, transformação e recuperação, responsabilidade por P&amp;L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Estratégia comercial: go-to-market, preços, expansão de mercado, segmentação de clientes, crescimento de grandes contas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Desenvolvimento de negócio e parcerias estratégicas em toda a cadeia de valor de CEA e iluminação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Captação de capital e relação com investidores (de seed a Série D); due diligence técnica e comercial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Iluminação hortícola, fotobiologia e projeto de PPFD / DLI / espectro para CEA e vertical farming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Desenvolvimento de produto hardware; engenharia eletrotécnica e de iluminação; IoT, automação e robótica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Fluxos de trabalho com IA e decisão orientada por dados (ChatGPT, Perplexity, Claude)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Reestruturação organizacional, mudança cultural e liderança de equipas multidisciplinares e remotas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Agile em escala: SAFe, Flight Levels, Kanban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Relação com stakeholders e conselhos de administração; negociação e influência</w:t>
      </w:r>
    </w:p>
    <w:p>
      <w:pPr>
        <w:keepNext/>
        <w:pBdr>
          <w:bottom w:val="single" w:color="FC9B2C" w:sz="12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00467D"/>
          <w:spacing w:val="30"/>
          <w:sz w:val="22"/>
          <w:szCs w:val="22"/>
        </w:rPr>
        <w:t xml:space="preserve">EXPERIÊNCIA PROFISSIONAL</w:t>
      </w:r>
    </w:p>
    <w:p>
      <w:pPr>
        <w:keepNext/>
        <w:keepLines/>
        <w:spacing w:after="0" w:before="4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Managing Partner</w:t>
      </w:r>
      <w:r>
        <w:rPr>
          <w:rFonts w:ascii="Calibri" w:cs="Calibri" w:eastAsia="Calibri" w:hAnsi="Calibri"/>
          <w:b/>
          <w:bCs/>
          <w:color w:val="FC9B2C"/>
          <w:sz w:val="21"/>
          <w:szCs w:val="21"/>
        </w:rPr>
        <w:t xml:space="preserve"> | </w:t>
      </w:r>
      <w:r>
        <w:rPr>
          <w:rFonts w:ascii="Calibri" w:cs="Calibri" w:eastAsia="Calibri" w:hAnsi="Calibri"/>
          <w:b/>
          <w:bCs/>
          <w:color w:val="336699"/>
          <w:sz w:val="21"/>
          <w:szCs w:val="21"/>
        </w:rPr>
        <w:t xml:space="preserve">APTA Advisory</w:t>
      </w:r>
    </w:p>
    <w:p>
      <w:pPr>
        <w:keepNext/>
        <w:spacing w:after="40"/>
      </w:pPr>
      <w:r>
        <w:rPr>
          <w:rFonts w:ascii="Calibri" w:cs="Calibri" w:eastAsia="Calibri" w:hAnsi="Calibri"/>
          <w:color w:val="55524E"/>
          <w:sz w:val="18"/>
          <w:szCs w:val="18"/>
        </w:rPr>
        <w:t xml:space="preserve">Lisboa, Portugal | ago 2026 - atual</w:t>
      </w:r>
    </w:p>
    <w:p>
      <w:pPr>
        <w:keepNext/>
        <w:keepLines/>
        <w:spacing w:after="50" w:line="252"/>
        <w:jc w:val="both"/>
      </w:pPr>
      <w:r>
        <w:rPr>
          <w:rFonts w:ascii="Calibri" w:cs="Calibri" w:eastAsia="Calibri" w:hAnsi="Calibri"/>
          <w:i/>
          <w:iCs/>
          <w:color w:val="55524E"/>
          <w:sz w:val="19"/>
          <w:szCs w:val="19"/>
        </w:rPr>
        <w:t xml:space="preserve">Consultora independente de due diligence e estratégia de negócio para CEA e horticultura.</w:t>
      </w:r>
    </w:p>
    <w:p>
      <w:pPr>
        <w:pStyle w:val="ListParagraph"/>
        <w:keepNext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Lidero a empresa e o seu modelo de serviço: due diligence de CapEx e OpEx para compradores de iluminação, clima e automação; estratégia para fornecedores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Aconselho conselhos de administração, investidores e equipas de operações sobre casos de investimento, seleção de fornecedores, economia unitária e criação de valor; responsável pelo go-to-market, preços e parcerias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Concebi um modelo de honorários indexado a resultados (percentagem das poupanças verificadas, ou valor fixo)</w:t>
      </w:r>
    </w:p>
    <w:p>
      <w:pPr>
        <w:keepNext/>
        <w:keepLines/>
        <w:spacing w:after="0" w:before="11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co-CEO | Diretor Comercial e de Marketing interino</w:t>
      </w:r>
      <w:r>
        <w:rPr>
          <w:rFonts w:ascii="Calibri" w:cs="Calibri" w:eastAsia="Calibri" w:hAnsi="Calibri"/>
          <w:b/>
          <w:bCs/>
          <w:color w:val="FC9B2C"/>
          <w:sz w:val="21"/>
          <w:szCs w:val="21"/>
        </w:rPr>
        <w:t xml:space="preserve"> | </w:t>
      </w:r>
      <w:r>
        <w:rPr>
          <w:rFonts w:ascii="Calibri" w:cs="Calibri" w:eastAsia="Calibri" w:hAnsi="Calibri"/>
          <w:b/>
          <w:bCs/>
          <w:color w:val="336699"/>
          <w:sz w:val="21"/>
          <w:szCs w:val="21"/>
        </w:rPr>
        <w:t xml:space="preserve">Lumatek EU</w:t>
      </w:r>
    </w:p>
    <w:p>
      <w:pPr>
        <w:keepNext/>
        <w:spacing w:after="40"/>
      </w:pPr>
      <w:r>
        <w:rPr>
          <w:rFonts w:ascii="Calibri" w:cs="Calibri" w:eastAsia="Calibri" w:hAnsi="Calibri"/>
          <w:color w:val="55524E"/>
          <w:sz w:val="18"/>
          <w:szCs w:val="18"/>
        </w:rPr>
        <w:t xml:space="preserve">Lisboa, Portugal | dez 2024 - jul 2026</w:t>
      </w:r>
    </w:p>
    <w:p>
      <w:pPr>
        <w:keepNext/>
        <w:keepLines/>
        <w:spacing w:after="50" w:line="252"/>
        <w:jc w:val="both"/>
      </w:pPr>
      <w:r>
        <w:rPr>
          <w:rFonts w:ascii="Calibri" w:cs="Calibri" w:eastAsia="Calibri" w:hAnsi="Calibri"/>
          <w:i/>
          <w:iCs/>
          <w:color w:val="55524E"/>
          <w:sz w:val="19"/>
          <w:szCs w:val="19"/>
        </w:rPr>
        <w:t xml:space="preserve">Transformação comercial e crescimento de um fabricante de iluminação hortícola (HID e LED) com 20 anos.</w:t>
      </w:r>
    </w:p>
    <w:p>
      <w:pPr>
        <w:pStyle w:val="ListParagraph"/>
        <w:keepNext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Depois de fazer crescer o segmento 210% em 2025, atingiu um ritmo de 4x o de 2025 no 1.º trimestre de 2026, através de desenvolvimento dirigido e de uma oferta de produto reposicionada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Criou dois novos segmentos de clientes, alargando o mercado endereçável para além dos canais tradicionais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Implementou uma estratégia de redução de custos que cortou os custos globais do negócio em ~60%, em parceria com o CFO, COO e CPO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Concretizou uma reestruturação comercial e cultural completa: redimensionou equipas, encerrou mercados com fraco desempenho e abriu novas geografias e canais de distribuição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Tornou o negócio orientado por dados e unificou a cultura comercial, eliminando silos internos entre equipas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Recrutou e integrou talento de marketing e vendas; deixou o negócio a crescer, comercialmente autossustentável e preparado para o próximo capítulo</w:t>
      </w:r>
    </w:p>
    <w:p>
      <w:pPr>
        <w:keepNext/>
        <w:keepLines/>
        <w:spacing w:after="0" w:before="11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Consultor independente</w:t>
      </w:r>
      <w:r>
        <w:rPr>
          <w:rFonts w:ascii="Calibri" w:cs="Calibri" w:eastAsia="Calibri" w:hAnsi="Calibri"/>
          <w:b/>
          <w:bCs/>
          <w:color w:val="FC9B2C"/>
          <w:sz w:val="21"/>
          <w:szCs w:val="21"/>
        </w:rPr>
        <w:t xml:space="preserve"> | </w:t>
      </w:r>
      <w:r>
        <w:rPr>
          <w:rFonts w:ascii="Calibri" w:cs="Calibri" w:eastAsia="Calibri" w:hAnsi="Calibri"/>
          <w:b/>
          <w:bCs/>
          <w:color w:val="336699"/>
          <w:sz w:val="21"/>
          <w:szCs w:val="21"/>
        </w:rPr>
        <w:t xml:space="preserve">Gonçalo Neves Consulting</w:t>
      </w:r>
    </w:p>
    <w:p>
      <w:pPr>
        <w:keepNext/>
        <w:spacing w:after="40"/>
      </w:pPr>
      <w:r>
        <w:rPr>
          <w:rFonts w:ascii="Calibri" w:cs="Calibri" w:eastAsia="Calibri" w:hAnsi="Calibri"/>
          <w:color w:val="55524E"/>
          <w:sz w:val="18"/>
          <w:szCs w:val="18"/>
        </w:rPr>
        <w:t xml:space="preserve">Lisboa, Portugal | abr 2024 - ago 2026</w:t>
      </w:r>
    </w:p>
    <w:p>
      <w:pPr>
        <w:keepNext/>
        <w:keepLines/>
        <w:spacing w:after="50" w:line="252"/>
        <w:jc w:val="both"/>
      </w:pPr>
      <w:r>
        <w:rPr>
          <w:rFonts w:ascii="Calibri" w:cs="Calibri" w:eastAsia="Calibri" w:hAnsi="Calibri"/>
          <w:i/>
          <w:iCs/>
          <w:color w:val="55524E"/>
          <w:sz w:val="19"/>
          <w:szCs w:val="19"/>
        </w:rPr>
        <w:t xml:space="preserve">Consultoria estratégica e técnica a investidores e operadores em Agri-Food Tech e CEA (clientes sob NDA).</w:t>
      </w:r>
    </w:p>
    <w:p>
      <w:pPr>
        <w:pStyle w:val="ListParagraph"/>
        <w:keepNext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Realizou due diligence técnica a empresas, produtos e plataformas de CEA para decisões de investimento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Produziu análises de mercado competitivas: tendências tecnológicas, regulamentação, quota de mercado e preferências dos consumidores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Desenvolveu e implementou modelos de criação de valor e benchmarks de KPI para startups e scale-ups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Aconselhou sobre go-to-market, preços e estrutura da equipa comercial; deu workshops e formação</w:t>
      </w:r>
    </w:p>
    <w:p>
      <w:pPr>
        <w:keepNext/>
        <w:keepLines/>
        <w:spacing w:after="0" w:before="11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VP de Desenvolvimento de Negócio e Head of AgriTech Partnerships</w:t>
      </w:r>
      <w:r>
        <w:rPr>
          <w:rFonts w:ascii="Calibri" w:cs="Calibri" w:eastAsia="Calibri" w:hAnsi="Calibri"/>
          <w:b/>
          <w:bCs/>
          <w:color w:val="FC9B2C"/>
          <w:sz w:val="21"/>
          <w:szCs w:val="21"/>
        </w:rPr>
        <w:t xml:space="preserve"> | </w:t>
      </w:r>
      <w:r>
        <w:rPr>
          <w:rFonts w:ascii="Calibri" w:cs="Calibri" w:eastAsia="Calibri" w:hAnsi="Calibri"/>
          <w:b/>
          <w:bCs/>
          <w:color w:val="336699"/>
          <w:sz w:val="21"/>
          <w:szCs w:val="21"/>
        </w:rPr>
        <w:t xml:space="preserve">IGS (Intelligent Growth Solutions)</w:t>
      </w:r>
    </w:p>
    <w:p>
      <w:pPr>
        <w:keepNext/>
        <w:spacing w:after="40"/>
      </w:pPr>
      <w:r>
        <w:rPr>
          <w:rFonts w:ascii="Calibri" w:cs="Calibri" w:eastAsia="Calibri" w:hAnsi="Calibri"/>
          <w:color w:val="55524E"/>
          <w:sz w:val="18"/>
          <w:szCs w:val="18"/>
        </w:rPr>
        <w:t xml:space="preserve">Edimburgo / Amesterdão | ago 2021 - jul 2024</w:t>
      </w:r>
    </w:p>
    <w:p>
      <w:pPr>
        <w:keepNext/>
        <w:keepLines/>
        <w:spacing w:after="50" w:line="252"/>
        <w:jc w:val="both"/>
      </w:pPr>
      <w:r>
        <w:rPr>
          <w:rFonts w:ascii="Calibri" w:cs="Calibri" w:eastAsia="Calibri" w:hAnsi="Calibri"/>
          <w:i/>
          <w:iCs/>
          <w:color w:val="55524E"/>
          <w:sz w:val="19"/>
          <w:szCs w:val="19"/>
        </w:rPr>
        <w:t xml:space="preserve">Empresa premiada de tecnologia de vertical farming; com IoT e IA, assente em seis famílias de patentes (acionista da IGS).</w:t>
      </w:r>
    </w:p>
    <w:p>
      <w:pPr>
        <w:pStyle w:val="ListParagraph"/>
        <w:keepNext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Contribuiu para a captação da Série B de €50M, com uma avaliação da empresa superior a €200M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Abriu duas novas fontes de receita que geraram mais de €20M (híbrido vertical farming/estufa; produtores de plantas jovens e sementes/melhoramento)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Reduziu o OpEx do produto até 40% e o CapEx/m2 até 15% através de parcerias e integração de processos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Fechou parcerias estratégicas com a Schneider Electric, Viscon Group, Microsoft, Plant Lighting e Wageningen University &amp; Research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Criou e liderou a equipa de desenvolvimento de negócio; geriu equipas de business cases lean, aquisição de PI e parcerias; reportava ao CEO e ao COO</w:t>
      </w:r>
    </w:p>
    <w:p>
      <w:pPr>
        <w:keepNext/>
        <w:keepLines/>
        <w:spacing w:after="0" w:before="11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Director of Farm Hardware</w:t>
      </w:r>
      <w:r>
        <w:rPr>
          <w:rFonts w:ascii="Calibri" w:cs="Calibri" w:eastAsia="Calibri" w:hAnsi="Calibri"/>
          <w:b/>
          <w:bCs/>
          <w:color w:val="FC9B2C"/>
          <w:sz w:val="21"/>
          <w:szCs w:val="21"/>
        </w:rPr>
        <w:t xml:space="preserve"> | </w:t>
      </w:r>
      <w:r>
        <w:rPr>
          <w:rFonts w:ascii="Calibri" w:cs="Calibri" w:eastAsia="Calibri" w:hAnsi="Calibri"/>
          <w:b/>
          <w:bCs/>
          <w:color w:val="336699"/>
          <w:sz w:val="21"/>
          <w:szCs w:val="21"/>
        </w:rPr>
        <w:t xml:space="preserve">Infarm</w:t>
      </w:r>
    </w:p>
    <w:p>
      <w:pPr>
        <w:keepNext/>
        <w:spacing w:after="40"/>
      </w:pPr>
      <w:r>
        <w:rPr>
          <w:rFonts w:ascii="Calibri" w:cs="Calibri" w:eastAsia="Calibri" w:hAnsi="Calibri"/>
          <w:color w:val="55524E"/>
          <w:sz w:val="18"/>
          <w:szCs w:val="18"/>
        </w:rPr>
        <w:t xml:space="preserve">Berlim, Alemanha | mar 2020 - mar 2021</w:t>
      </w:r>
    </w:p>
    <w:p>
      <w:pPr>
        <w:keepNext/>
        <w:keepLines/>
        <w:spacing w:after="50" w:line="252"/>
        <w:jc w:val="both"/>
      </w:pPr>
      <w:r>
        <w:rPr>
          <w:rFonts w:ascii="Calibri" w:cs="Calibri" w:eastAsia="Calibri" w:hAnsi="Calibri"/>
          <w:i/>
          <w:iCs/>
          <w:color w:val="55524E"/>
          <w:sz w:val="19"/>
          <w:szCs w:val="19"/>
        </w:rPr>
        <w:t xml:space="preserve">Liderança de hardware numa das scale-ups de vertical farming mais conhecidas da Europa.</w:t>
      </w:r>
    </w:p>
    <w:p>
      <w:pPr>
        <w:pStyle w:val="ListParagraph"/>
        <w:keepNext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Conseguiu uma redução de 40% no custo energético por planta com um novo projeto de AVAC, uma redução de 61% no custo de renda por m2 através da integração tecnológica e +73% de produção por m2 com novas técnicas de cultivo e otimização do espaço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Contribuiu para a captação da Série D de €200M, com avaliação superior a €1B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Fez crescer a equipa de ~40 para 100 pessoas num ano e conseguiu uma redução de 83% no custo de mão de obra por planta através de automação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Criou equipas multidisciplinares (culturas, hardware, software, gestão de produto digital) e liderou a adoção de SAFe, Agile, Kanban e Flight Levels; migrou a gestão de hardware para o JIRA</w:t>
      </w:r>
    </w:p>
    <w:p>
      <w:pPr>
        <w:keepNext/>
        <w:keepLines/>
        <w:spacing w:after="0" w:before="11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Experiência empreendedora (cinco empresas)</w:t>
      </w:r>
    </w:p>
    <w:p>
      <w:pPr>
        <w:keepNext/>
        <w:spacing w:after="40"/>
      </w:pPr>
      <w:r>
        <w:rPr>
          <w:rFonts w:ascii="Calibri" w:cs="Calibri" w:eastAsia="Calibri" w:hAnsi="Calibri"/>
          <w:color w:val="55524E"/>
          <w:sz w:val="18"/>
          <w:szCs w:val="18"/>
        </w:rPr>
        <w:t xml:space="preserve">Amesterdão, Países Baixos | jun 2016 - jan 2020</w:t>
      </w:r>
    </w:p>
    <w:p>
      <w:pPr>
        <w:keepNext/>
        <w:keepLines/>
        <w:spacing w:after="50" w:line="252"/>
        <w:jc w:val="both"/>
      </w:pPr>
      <w:r>
        <w:rPr>
          <w:rFonts w:ascii="Calibri" w:cs="Calibri" w:eastAsia="Calibri" w:hAnsi="Calibri"/>
          <w:i/>
          <w:iCs/>
          <w:color w:val="55524E"/>
          <w:sz w:val="19"/>
          <w:szCs w:val="19"/>
        </w:rPr>
        <w:t xml:space="preserve">Fundou e liderou cinco empresas distintas em AgriTech, iluminação, consultoria e educação.</w:t>
      </w:r>
    </w:p>
    <w:p>
      <w:pPr>
        <w:pStyle w:val="ListParagraph"/>
        <w:keepNext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Fundador e CEO, Spectron Light Science (nov 2016 - dez 2017): concebeu e fabricou três linhas de produtos LED hortícolas; empresa adquirida por um dos principais operadores do setor hortícola em 14 meses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Fundador e CTO, OneFarm BV (jan 2017 - jan 2020): liderou a tecnologia e o produto para implementações de vertical farms em grande escala; captou uma ronda seed (€1M, avaliação superior a €5M) e apoiou uma Série A (€9M, avaliação superior a €36M)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Fundador e CEO, BemStudio (jun 2016 - mai 2020): consultoria de engenharia e negócio para clientes de AgTech e CEA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Diretor, A Lab Vertical Farm (jun 2017 - dez 2019): geriu uma vertical farm comunitária e formou ~50 voluntários em agricultura em ambiente controlado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Professor convidado, Breitner Academie (mar 2017 - jun 2017): ensinou agricultura urbana e inovação em tecnologia alimentar com prototipagem rápida prática</w:t>
      </w:r>
    </w:p>
    <w:p>
      <w:pPr>
        <w:keepNext/>
        <w:keepLines/>
        <w:spacing w:after="0" w:before="11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Diretor de Desenvolvimento de Negócio</w:t>
      </w:r>
      <w:r>
        <w:rPr>
          <w:rFonts w:ascii="Calibri" w:cs="Calibri" w:eastAsia="Calibri" w:hAnsi="Calibri"/>
          <w:b/>
          <w:bCs/>
          <w:color w:val="FC9B2C"/>
          <w:sz w:val="21"/>
          <w:szCs w:val="21"/>
        </w:rPr>
        <w:t xml:space="preserve"> | </w:t>
      </w:r>
      <w:r>
        <w:rPr>
          <w:rFonts w:ascii="Calibri" w:cs="Calibri" w:eastAsia="Calibri" w:hAnsi="Calibri"/>
          <w:b/>
          <w:bCs/>
          <w:color w:val="336699"/>
          <w:sz w:val="21"/>
          <w:szCs w:val="21"/>
        </w:rPr>
        <w:t xml:space="preserve">Valoya</w:t>
      </w:r>
    </w:p>
    <w:p>
      <w:pPr>
        <w:keepNext/>
        <w:spacing w:after="40"/>
      </w:pPr>
      <w:r>
        <w:rPr>
          <w:rFonts w:ascii="Calibri" w:cs="Calibri" w:eastAsia="Calibri" w:hAnsi="Calibri"/>
          <w:color w:val="55524E"/>
          <w:sz w:val="18"/>
          <w:szCs w:val="18"/>
        </w:rPr>
        <w:t xml:space="preserve">Helsínquia, Finlândia / Países Baixos | jun 2011 - mai 2016</w:t>
      </w:r>
    </w:p>
    <w:p>
      <w:pPr>
        <w:keepNext/>
        <w:keepLines/>
        <w:spacing w:after="50" w:line="252"/>
        <w:jc w:val="both"/>
      </w:pPr>
      <w:r>
        <w:rPr>
          <w:rFonts w:ascii="Calibri" w:cs="Calibri" w:eastAsia="Calibri" w:hAnsi="Calibri"/>
          <w:i/>
          <w:iCs/>
          <w:color w:val="55524E"/>
          <w:sz w:val="19"/>
          <w:szCs w:val="19"/>
        </w:rPr>
        <w:t xml:space="preserve">Empresa de referência em iluminação LED de cultivo baseada em fotobiologia. Progrediu em três funções em cinco anos: Technical Manager, Solution Manager e Diretor de Desenvolvimento de Negócio (entrou como acionista minoritário).</w:t>
      </w:r>
    </w:p>
    <w:p>
      <w:pPr>
        <w:pStyle w:val="ListParagraph"/>
        <w:keepNext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Fechou o primeiro contrato comercial da empresa (mais de €300.000) e fez crescer a receita de €0 para mais de €10M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Expandiu para mais de 50 países na Europa, Sudeste Asiático, Japão e América do Norte; abriu o escritório de Amesterdão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Desenvolveu e lançou as primeiras linhas de produto da empresa; fechou parcerias de distribuição no Japão e na América do Norte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Identificou novas fontes de receita (sementes/melhoramento, investigação), reposicionando a empresa na capacidade em fotobiologia e não na eficiência pura</w:t>
      </w:r>
    </w:p>
    <w:p>
      <w:pPr>
        <w:keepNext/>
        <w:keepLines/>
        <w:spacing w:after="0" w:before="11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Investigador</w:t>
      </w:r>
      <w:r>
        <w:rPr>
          <w:rFonts w:ascii="Calibri" w:cs="Calibri" w:eastAsia="Calibri" w:hAnsi="Calibri"/>
          <w:b/>
          <w:bCs/>
          <w:color w:val="FC9B2C"/>
          <w:sz w:val="21"/>
          <w:szCs w:val="21"/>
        </w:rPr>
        <w:t xml:space="preserve"> | </w:t>
      </w:r>
      <w:r>
        <w:rPr>
          <w:rFonts w:ascii="Calibri" w:cs="Calibri" w:eastAsia="Calibri" w:hAnsi="Calibri"/>
          <w:b/>
          <w:bCs/>
          <w:color w:val="336699"/>
          <w:sz w:val="21"/>
          <w:szCs w:val="21"/>
        </w:rPr>
        <w:t xml:space="preserve">Universidade Aalto</w:t>
      </w:r>
    </w:p>
    <w:p>
      <w:pPr>
        <w:keepNext/>
        <w:spacing w:after="40"/>
      </w:pPr>
      <w:r>
        <w:rPr>
          <w:rFonts w:ascii="Calibri" w:cs="Calibri" w:eastAsia="Calibri" w:hAnsi="Calibri"/>
          <w:color w:val="55524E"/>
          <w:sz w:val="18"/>
          <w:szCs w:val="18"/>
        </w:rPr>
        <w:t xml:space="preserve">Helsínquia, Finlândia | abr 2009 - mai 2011</w:t>
      </w:r>
    </w:p>
    <w:p>
      <w:pPr>
        <w:pStyle w:val="ListParagraph"/>
        <w:keepNext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Investigou iluminação hortícola e de estado sólido: utilização e controlo de LED e a sua aplicação no cultivo de plantas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Projetos: SSHLighting, Solid-State Horticulture Lighting (2009-2011); LEDFlowers, LED Luminaire for Plant Cultivation (2008-2011)</w:t>
      </w:r>
    </w:p>
    <w:p>
      <w:pPr>
        <w:keepNext/>
        <w:pBdr>
          <w:bottom w:val="single" w:color="FC9B2C" w:sz="12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00467D"/>
          <w:spacing w:val="30"/>
          <w:sz w:val="22"/>
          <w:szCs w:val="22"/>
        </w:rPr>
        <w:t xml:space="preserve">FORMAÇÃO ACADÉMICA</w:t>
      </w:r>
    </w:p>
    <w:p>
      <w:pPr>
        <w:keepLines/>
        <w:spacing w:after="50" w:line="252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Mestrado (M.Sc.Tech.) em Engenharia Eletrotécnica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 (Engenharia de Iluminação e Instalações Elétricas em Edifícios), Universidade Aalto, Finlândia (2010-2012)</w:t>
      </w:r>
    </w:p>
    <w:p>
      <w:pPr>
        <w:keepLines/>
        <w:spacing w:after="50" w:line="252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Minor de mestrado em International Design Business Management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, Universidade Aalto, Finlândia (2011-2012)</w:t>
      </w:r>
    </w:p>
    <w:p>
      <w:pPr>
        <w:keepLines/>
        <w:spacing w:after="50" w:line="252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Licenciatura em Engenharia Eletromecânica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, Universidade da Beira Interior, Portugal (2004-2009)</w:t>
      </w:r>
    </w:p>
    <w:p>
      <w:pPr>
        <w:keepLines/>
        <w:spacing w:after="50" w:line="252"/>
        <w:jc w:val="both"/>
      </w:pPr>
      <w:r>
        <w:rPr>
          <w:rFonts w:ascii="Calibri" w:cs="Calibri" w:eastAsia="Calibri" w:hAnsi="Calibri"/>
          <w:b/>
          <w:bCs/>
          <w:color w:val="1D1D1B"/>
          <w:sz w:val="20"/>
          <w:szCs w:val="20"/>
        </w:rPr>
        <w:t xml:space="preserve">Intercâmbio Erasmus, Engenharia Eletromecânica</w:t>
      </w:r>
      <w:r>
        <w:rPr>
          <w:rFonts w:ascii="Calibri" w:cs="Calibri" w:eastAsia="Calibri" w:hAnsi="Calibri"/>
          <w:color w:val="3A3733"/>
          <w:sz w:val="20"/>
          <w:szCs w:val="20"/>
        </w:rPr>
        <w:t xml:space="preserve">, Teknillinen korkeakoulu (atual Aalto), Finlândia (2009)</w:t>
      </w:r>
    </w:p>
    <w:p>
      <w:pPr>
        <w:keepNext/>
        <w:pBdr>
          <w:bottom w:val="single" w:color="FC9B2C" w:sz="12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00467D"/>
          <w:spacing w:val="30"/>
          <w:sz w:val="22"/>
          <w:szCs w:val="22"/>
        </w:rPr>
        <w:t xml:space="preserve">CERTIFICAÇÕES E FORMAÇÃO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Lighting in Greenhouses and Vertical Farms, Wageningen University &amp; Research (2018)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Leading SAFe e Agile for Hardware, Gladwell Academy; Flight Levels, Flight Levels Academy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Product Development Project, Design Factory, Universidade Aalto; Mental Health First Aider, Worksafe (UK) Ltd</w:t>
      </w:r>
    </w:p>
    <w:p>
      <w:pPr>
        <w:keepNext/>
        <w:pBdr>
          <w:bottom w:val="single" w:color="FC9B2C" w:sz="12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00467D"/>
          <w:spacing w:val="30"/>
          <w:sz w:val="22"/>
          <w:szCs w:val="22"/>
        </w:rPr>
        <w:t xml:space="preserve">LÍNGUAS</w:t>
      </w:r>
    </w:p>
    <w:p>
      <w:pPr>
        <w:keepLines/>
        <w:spacing w:after="50" w:line="252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Português: nativo | Inglês: profissional completo | Espanhol: avançado | Francês: básico | Finlandês: iniciante</w:t>
      </w:r>
    </w:p>
    <w:p>
      <w:pPr>
        <w:keepNext/>
        <w:pBdr>
          <w:bottom w:val="single" w:color="FC9B2C" w:sz="12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00467D"/>
          <w:spacing w:val="30"/>
          <w:sz w:val="22"/>
          <w:szCs w:val="22"/>
        </w:rPr>
        <w:t xml:space="preserve">FERRAMENTAS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Assistentes de IA: ChatGPT, Perplexity, Claude (web, Cowork, Design, Code)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CRM: HubSpot, Salesforce | BI e análise de dados: Tableau | Sistemas ERP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Gestão de projetos: JIRA, Asana, Monday, Confluence | Agile: SAFe, Flight Levels, Kanban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Produtividade: Microsoft 365, Google Workspace</w:t>
      </w:r>
    </w:p>
    <w:p>
      <w:pPr>
        <w:keepNext/>
        <w:pBdr>
          <w:bottom w:val="single" w:color="FC9B2C" w:sz="12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00467D"/>
          <w:spacing w:val="30"/>
          <w:sz w:val="22"/>
          <w:szCs w:val="22"/>
        </w:rPr>
        <w:t xml:space="preserve">PUBLICAÇÕES E ASSOCIAÇÕES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Coautor, Advances in Plant Factories: New Technologies in Indoor Vertical Farming (Parte 6, Cap. 20), Burleigh Dodds Science Publishing, 2023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Autor, Lighting Units and Measurements in Plant Cultivation, Universidade Aalto, 2014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Coautor, Valotusta tarpeen mukaan (iluminação dinâmica em tempo real no cultivo), International Review of Civil Engineering, 2011</w:t>
      </w:r>
    </w:p>
    <w:p>
      <w:pPr>
        <w:pStyle w:val="ListParagraph"/>
        <w:keepLines/>
        <w:numPr>
          <w:ilvl w:val="0"/>
          <w:numId w:val="2"/>
        </w:numPr>
        <w:spacing w:after="30" w:line="240"/>
        <w:jc w:val="both"/>
      </w:pPr>
      <w:r>
        <w:rPr>
          <w:rFonts w:ascii="Calibri" w:cs="Calibri" w:eastAsia="Calibri" w:hAnsi="Calibri"/>
          <w:color w:val="3A3733"/>
          <w:sz w:val="20"/>
          <w:szCs w:val="20"/>
        </w:rPr>
        <w:t xml:space="preserve">Membro da International Society for Horticultural Science (ISHS)</w:t>
      </w:r>
    </w:p>
    <w:sectPr>
      <w:footerReference w:type="default" r:id="rId7"/>
      <w:pgSz w:w="11906" w:h="16838" w:orient="portrait"/>
      <w:pgMar w:top="1134" w:right="1134" w:bottom="1134" w:left="1134" w:header="708" w:footer="51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tabs>
        <w:tab w:val="right" w:pos="9638"/>
      </w:tabs>
    </w:pPr>
    <w:hyperlink w:history="1" r:id="rIdy2s7mhx-vpejxmfb1bgvc">
      <w:r>
        <w:rPr>
          <w:rFonts w:ascii="Calibri" w:cs="Calibri" w:eastAsia="Calibri" w:hAnsi="Calibri"/>
          <w:color w:val="336699"/>
          <w:sz w:val="15"/>
          <w:szCs w:val="15"/>
          <w:u w:val="single"/>
        </w:rPr>
        <w:t xml:space="preserve">+351 962 695 021</w:t>
      </w:r>
    </w:hyperlink>
    <w:r>
      <w:rPr>
        <w:rFonts w:ascii="Calibri" w:cs="Calibri" w:eastAsia="Calibri" w:hAnsi="Calibri"/>
        <w:color w:val="FC9B2C"/>
        <w:sz w:val="15"/>
        <w:szCs w:val="15"/>
      </w:rPr>
      <w:t xml:space="preserve">  ·  </w:t>
    </w:r>
    <w:hyperlink w:history="1" r:id="rIdlq1lqk6bj3kqvo3jjcqem">
      <w:r>
        <w:rPr>
          <w:rFonts w:ascii="Calibri" w:cs="Calibri" w:eastAsia="Calibri" w:hAnsi="Calibri"/>
          <w:color w:val="336699"/>
          <w:sz w:val="15"/>
          <w:szCs w:val="15"/>
          <w:u w:val="single"/>
        </w:rPr>
        <w:t xml:space="preserve">goncalocsmn@gmail.com</w:t>
      </w:r>
    </w:hyperlink>
    <w:r>
      <w:rPr>
        <w:rFonts w:ascii="Calibri" w:cs="Calibri" w:eastAsia="Calibri" w:hAnsi="Calibri"/>
        <w:color w:val="FC9B2C"/>
        <w:sz w:val="15"/>
        <w:szCs w:val="15"/>
      </w:rPr>
      <w:t xml:space="preserve">  ·  </w:t>
    </w:r>
    <w:hyperlink w:history="1" r:id="rIdwfjejwijrlmdjp8xwge1y">
      <w:r>
        <w:rPr>
          <w:rFonts w:ascii="Calibri" w:cs="Calibri" w:eastAsia="Calibri" w:hAnsi="Calibri"/>
          <w:color w:val="336699"/>
          <w:sz w:val="15"/>
          <w:szCs w:val="15"/>
          <w:u w:val="single"/>
        </w:rPr>
        <w:t xml:space="preserve">LinkedIn</w:t>
      </w:r>
    </w:hyperlink>
    <w:r>
      <w:rPr>
        <w:rFonts w:ascii="Calibri" w:cs="Calibri" w:eastAsia="Calibri" w:hAnsi="Calibri"/>
        <w:color w:val="FC9B2C"/>
        <w:sz w:val="15"/>
        <w:szCs w:val="15"/>
      </w:rPr>
      <w:t xml:space="preserve">  ·  </w:t>
    </w:r>
    <w:hyperlink w:history="1" r:id="rIdezfv6s-ax2pluuslfdvgi">
      <w:r>
        <w:rPr>
          <w:rFonts w:ascii="Calibri" w:cs="Calibri" w:eastAsia="Calibri" w:hAnsi="Calibri"/>
          <w:color w:val="336699"/>
          <w:sz w:val="15"/>
          <w:szCs w:val="15"/>
          <w:u w:val="single"/>
        </w:rPr>
        <w:t xml:space="preserve">CV online</w:t>
      </w:r>
    </w:hyperlink>
    <w:r>
      <w:rPr>
        <w:rFonts w:ascii="Calibri" w:cs="Calibri" w:eastAsia="Calibri" w:hAnsi="Calibri"/>
        <w:color w:val="FC9B2C"/>
        <w:sz w:val="15"/>
        <w:szCs w:val="15"/>
      </w:rPr>
      <w:t xml:space="preserve">  ·  </w:t>
    </w:r>
    <w:hyperlink w:history="1" r:id="rIdfz1cnibnlp0mrck6u4wxe">
      <w:r>
        <w:rPr>
          <w:rFonts w:ascii="Calibri" w:cs="Calibri" w:eastAsia="Calibri" w:hAnsi="Calibri"/>
          <w:color w:val="336699"/>
          <w:sz w:val="15"/>
          <w:szCs w:val="15"/>
          <w:u w:val="single"/>
        </w:rPr>
        <w:t xml:space="preserve">Marcar reunião</w:t>
      </w:r>
    </w:hyperlink>
    <w:r>
      <w:rPr>
        <w:rFonts w:ascii="Calibri" w:cs="Calibri" w:eastAsia="Calibri" w:hAnsi="Calibri"/>
        <w:color w:val="6E6B67"/>
        <w:sz w:val="15"/>
        <w:szCs w:val="15"/>
      </w:rPr>
      <w:t xml:space="preserve">  ·  outubro de 2026</w:t>
    </w:r>
    <w:r>
      <w:rPr>
        <w:rFonts w:ascii="Calibri" w:cs="Calibri" w:eastAsia="Calibri" w:hAnsi="Calibri"/>
        <w:color w:val="6E6B67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  <w:rPr>
        <w:color w:val="FC9B2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A37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rPr>
      <w:rFonts w:ascii="Calibri" w:cs="Calibri" w:eastAsia="Calibri" w:hAnsi="Calibri"/>
      <w:color w:val="6E6B67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sjxhsripp0n020n2k9hul" Type="http://schemas.openxmlformats.org/officeDocument/2006/relationships/hyperlink" Target="tel:+351962695021" TargetMode="External"/><Relationship Id="rIdhni0xszgljsokyxgdiecw" Type="http://schemas.openxmlformats.org/officeDocument/2006/relationships/hyperlink" Target="mailto:goncalocsmn@gmail.com" TargetMode="External"/><Relationship Id="rIdlmyxbpkupdpl7lilptyjw" Type="http://schemas.openxmlformats.org/officeDocument/2006/relationships/hyperlink" Target="https://www.linkedin.com/in/moreiraneves" TargetMode="External"/><Relationship Id="rIdgunqnofjz-r3wjqw7jmey" Type="http://schemas.openxmlformats.org/officeDocument/2006/relationships/hyperlink" Target="https://goncalocsmn.github.io/goncalo-moreira-neves_cv_ag/" TargetMode="External"/><Relationship Id="rIdqvbgqc2hklqj0bjggpb_d" Type="http://schemas.openxmlformats.org/officeDocument/2006/relationships/hyperlink" Target="https://calendar.app.google/yEnoiSdSKdpHQAzKA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y2s7mhx-vpejxmfb1bgvc" Type="http://schemas.openxmlformats.org/officeDocument/2006/relationships/hyperlink" Target="tel:+351962695021" TargetMode="External"/><Relationship Id="rIdlq1lqk6bj3kqvo3jjcqem" Type="http://schemas.openxmlformats.org/officeDocument/2006/relationships/hyperlink" Target="mailto:goncalocsmn@gmail.com" TargetMode="External"/><Relationship Id="rIdwfjejwijrlmdjp8xwge1y" Type="http://schemas.openxmlformats.org/officeDocument/2006/relationships/hyperlink" Target="https://www.linkedin.com/in/moreiraneves" TargetMode="External"/><Relationship Id="rIdezfv6s-ax2pluuslfdvgi" Type="http://schemas.openxmlformats.org/officeDocument/2006/relationships/hyperlink" Target="https://goncalocsmn.github.io/goncalo-moreira-neves_cv_ag/" TargetMode="External"/><Relationship Id="rIdfz1cnibnlp0mrck6u4wxe" Type="http://schemas.openxmlformats.org/officeDocument/2006/relationships/hyperlink" Target="https://calendar.app.google/yEnoiSdSKdpHQAzKA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Gonçalo Moreira Neves - CV</dc:title>
  <dc:creator>Gonçalo Moreira Neves</dc:creator>
  <cp:lastModifiedBy>Un-named</cp:lastModifiedBy>
  <cp:revision>1</cp:revision>
  <dcterms:created xsi:type="dcterms:W3CDTF">2026-10-09T11:26:58.693Z</dcterms:created>
  <dcterms:modified xsi:type="dcterms:W3CDTF">2026-10-09T11:26:58.694Z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