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D1D1B"/>
          <w:spacing w:val="40"/>
          <w:sz w:val="40"/>
          <w:szCs w:val="40"/>
        </w:rPr>
        <w:t xml:space="preserve">GONÇALO MOREIRA NEVES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336699"/>
          <w:sz w:val="24"/>
          <w:szCs w:val="24"/>
        </w:rPr>
        <w:t xml:space="preserve">Gestão Geral | Operações | Desempenho Comercial | Due Diligence Técnica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24E"/>
          <w:sz w:val="20"/>
          <w:szCs w:val="20"/>
        </w:rPr>
        <w:t xml:space="preserve">Gestão geral de empresas industriais de base tecnológica</w:t>
      </w:r>
    </w:p>
    <w:p>
      <w:pPr>
        <w:pBdr>
          <w:bottom w:val="single" w:color="D1CDC8" w:sz="6" w:space="6"/>
        </w:pBdr>
        <w:spacing w:after="120"/>
      </w:pPr>
      <w:r>
        <w:rPr>
          <w:rFonts w:ascii="Calibri" w:cs="Calibri" w:eastAsia="Calibri" w:hAnsi="Calibri"/>
          <w:color w:val="55524E"/>
          <w:sz w:val="19"/>
          <w:szCs w:val="19"/>
        </w:rPr>
        <w:t xml:space="preserve">Lisboa, Portugal</w:t>
      </w:r>
      <w:r>
        <w:rPr>
          <w:rFonts w:ascii="Calibri" w:cs="Calibri" w:eastAsia="Calibri" w:hAnsi="Calibri"/>
          <w:color w:val="55524E"/>
          <w:sz w:val="19"/>
          <w:szCs w:val="19"/>
        </w:rPr>
        <w:t xml:space="preserve"> | </w:t>
      </w:r>
      <w:hyperlink w:history="1" r:id="rId6excw-1zil3ob2swgurb_">
        <w:r>
          <w:rPr>
            <w:rFonts w:ascii="Calibri" w:cs="Calibri" w:eastAsia="Calibri" w:hAnsi="Calibri"/>
            <w:color w:val="336699"/>
            <w:sz w:val="19"/>
            <w:szCs w:val="19"/>
          </w:rPr>
          <w:t xml:space="preserve">+351 962 695 021</w:t>
        </w:r>
      </w:hyperlink>
      <w:r>
        <w:rPr>
          <w:rFonts w:ascii="Calibri" w:cs="Calibri" w:eastAsia="Calibri" w:hAnsi="Calibri"/>
          <w:color w:val="55524E"/>
          <w:sz w:val="19"/>
          <w:szCs w:val="19"/>
        </w:rPr>
        <w:t xml:space="preserve"> | </w:t>
      </w:r>
      <w:hyperlink w:history="1" r:id="rIdbi1tpzacjrpvoisrszl-n">
        <w:r>
          <w:rPr>
            <w:rFonts w:ascii="Calibri" w:cs="Calibri" w:eastAsia="Calibri" w:hAnsi="Calibri"/>
            <w:color w:val="336699"/>
            <w:sz w:val="19"/>
            <w:szCs w:val="19"/>
          </w:rPr>
          <w:t xml:space="preserve">goncalocsmn@gmail.com</w:t>
        </w:r>
      </w:hyperlink>
      <w:r>
        <w:rPr>
          <w:rFonts w:ascii="Calibri" w:cs="Calibri" w:eastAsia="Calibri" w:hAnsi="Calibri"/>
          <w:color w:val="55524E"/>
          <w:sz w:val="19"/>
          <w:szCs w:val="19"/>
        </w:rPr>
        <w:t xml:space="preserve"> | </w:t>
      </w:r>
      <w:hyperlink w:history="1" r:id="rId_4nybzmhcibc2qkx7muux">
        <w:r>
          <w:rPr>
            <w:rFonts w:ascii="Calibri" w:cs="Calibri" w:eastAsia="Calibri" w:hAnsi="Calibri"/>
            <w:color w:val="336699"/>
            <w:sz w:val="19"/>
            <w:szCs w:val="19"/>
          </w:rPr>
          <w:t xml:space="preserve">linkedin.com/in/moreiraneves</w:t>
        </w:r>
      </w:hyperlink>
      <w:r>
        <w:rPr>
          <w:rFonts w:ascii="Calibri" w:cs="Calibri" w:eastAsia="Calibri" w:hAnsi="Calibri"/>
          <w:color w:val="55524E"/>
          <w:sz w:val="19"/>
          <w:szCs w:val="19"/>
        </w:rPr>
        <w:t xml:space="preserve"> | </w:t>
      </w:r>
      <w:hyperlink w:history="1" r:id="rIdnfpr9jigmrxwv40rxft5m">
        <w:r>
          <w:rPr>
            <w:rFonts w:ascii="Calibri" w:cs="Calibri" w:eastAsia="Calibri" w:hAnsi="Calibri"/>
            <w:color w:val="336699"/>
            <w:sz w:val="19"/>
            <w:szCs w:val="19"/>
          </w:rPr>
          <w:t xml:space="preserve">CV online</w:t>
        </w:r>
      </w:hyperlink>
      <w:r>
        <w:rPr>
          <w:rFonts w:ascii="Calibri" w:cs="Calibri" w:eastAsia="Calibri" w:hAnsi="Calibri"/>
          <w:color w:val="55524E"/>
          <w:sz w:val="19"/>
          <w:szCs w:val="19"/>
        </w:rPr>
        <w:t xml:space="preserve"> | </w:t>
      </w:r>
      <w:hyperlink w:history="1" r:id="rIdb0jjx51bar_go-smjnprz">
        <w:r>
          <w:rPr>
            <w:rFonts w:ascii="Calibri" w:cs="Calibri" w:eastAsia="Calibri" w:hAnsi="Calibri"/>
            <w:color w:val="336699"/>
            <w:sz w:val="19"/>
            <w:szCs w:val="19"/>
          </w:rPr>
          <w:t xml:space="preserve">Marcar uma chamada</w:t>
        </w:r>
      </w:hyperlink>
    </w:p>
    <w:p>
      <w:pPr>
        <w:keepNext/>
        <w:pBdr>
          <w:bottom w:val="single" w:color="FC9B2C" w:sz="12" w:space="2"/>
        </w:pBdr>
        <w:spacing w:after="70" w:before="170"/>
      </w:pPr>
      <w:r>
        <w:rPr>
          <w:rFonts w:ascii="Calibri" w:cs="Calibri" w:eastAsia="Calibri" w:hAnsi="Calibri"/>
          <w:b/>
          <w:bCs/>
          <w:color w:val="00467D"/>
          <w:spacing w:val="30"/>
          <w:sz w:val="22"/>
          <w:szCs w:val="22"/>
        </w:rPr>
        <w:t xml:space="preserve">PERFIL</w:t>
      </w:r>
    </w:p>
    <w:p>
      <w:pPr>
        <w:keepLines/>
        <w:spacing w:after="40" w:line="252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Gestor geral e co-CEO com mais de 15 anos a liderar empresas industriais de base tecnológica na Europa, Ásia e América do Norte. Responsável pelo sistema completo: P&amp;L, equipas, base de custos, roadmap de produto, clientes e canais. Liderou no Lumatek Group uma reestruturação que cortou ~60% dos custos globais, fez crescer uma organização técnica de ~40 para 100 pessoas num ano, levou um negócio de 0 a mais de 10 M EUR em 50+ países e fundou cinco empresas, uma adquirida em 14 meses. Realiza due diligence técnica para decisões de investimento.</w:t>
      </w:r>
    </w:p>
    <w:p>
      <w:pPr>
        <w:keepNext/>
        <w:pBdr>
          <w:bottom w:val="single" w:color="FC9B2C" w:sz="12" w:space="2"/>
        </w:pBdr>
        <w:spacing w:after="70" w:before="170"/>
      </w:pPr>
      <w:r>
        <w:rPr>
          <w:rFonts w:ascii="Calibri" w:cs="Calibri" w:eastAsia="Calibri" w:hAnsi="Calibri"/>
          <w:b/>
          <w:bCs/>
          <w:color w:val="00467D"/>
          <w:spacing w:val="30"/>
          <w:sz w:val="22"/>
          <w:szCs w:val="22"/>
        </w:rPr>
        <w:t xml:space="preserve">PRINCIPAIS RESULTADOS</w:t>
      </w:r>
    </w:p>
    <w:p>
      <w:pPr>
        <w:keepNext/>
        <w:spacing w:after="30" w:before="20"/>
      </w:pPr>
      <w:r>
        <w:rPr>
          <w:rFonts w:ascii="Calibri" w:cs="Calibri" w:eastAsia="Calibri" w:hAnsi="Calibri"/>
          <w:b/>
          <w:bCs/>
          <w:color w:val="336699"/>
          <w:sz w:val="20"/>
          <w:szCs w:val="20"/>
        </w:rPr>
        <w:t xml:space="preserve">Liderança e Gestão Geral</w:t>
      </w:r>
    </w:p>
    <w:p>
      <w:pPr>
        <w:pStyle w:val="ListParagraph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b/>
          <w:bCs/>
          <w:color w:val="1D1D1B"/>
          <w:sz w:val="20"/>
          <w:szCs w:val="20"/>
        </w:rPr>
        <w:t xml:space="preserve">~60%</w:t>
      </w:r>
      <w:r>
        <w:rPr>
          <w:rFonts w:ascii="Calibri" w:cs="Calibri" w:eastAsia="Calibri" w:hAnsi="Calibri"/>
          <w:color w:val="3A3733"/>
          <w:sz w:val="20"/>
          <w:szCs w:val="20"/>
        </w:rPr>
        <w:t xml:space="preserve">: de redução dos custos globais, com o CFO, o COO e o CPO (Lumatek Group)</w:t>
      </w:r>
    </w:p>
    <w:p>
      <w:pPr>
        <w:pStyle w:val="ListParagraph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b/>
          <w:bCs/>
          <w:color w:val="1D1D1B"/>
          <w:sz w:val="20"/>
          <w:szCs w:val="20"/>
        </w:rPr>
        <w:t xml:space="preserve">40 para 100</w:t>
      </w:r>
      <w:r>
        <w:rPr>
          <w:rFonts w:ascii="Calibri" w:cs="Calibri" w:eastAsia="Calibri" w:hAnsi="Calibri"/>
          <w:color w:val="3A3733"/>
          <w:sz w:val="20"/>
          <w:szCs w:val="20"/>
        </w:rPr>
        <w:t xml:space="preserve">: equipa técnica em um ano (Infarm)</w:t>
      </w:r>
    </w:p>
    <w:p>
      <w:pPr>
        <w:pStyle w:val="ListParagraph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b/>
          <w:bCs/>
          <w:color w:val="1D1D1B"/>
          <w:sz w:val="20"/>
          <w:szCs w:val="20"/>
        </w:rPr>
        <w:t xml:space="preserve">14 meses</w:t>
      </w:r>
      <w:r>
        <w:rPr>
          <w:rFonts w:ascii="Calibri" w:cs="Calibri" w:eastAsia="Calibri" w:hAnsi="Calibri"/>
          <w:color w:val="3A3733"/>
          <w:sz w:val="20"/>
          <w:szCs w:val="20"/>
        </w:rPr>
        <w:t xml:space="preserve">: da fundação à aquisição (Spectron)</w:t>
      </w:r>
    </w:p>
    <w:p>
      <w:pPr>
        <w:keepNext/>
        <w:spacing w:after="30" w:before="80"/>
      </w:pPr>
      <w:r>
        <w:rPr>
          <w:rFonts w:ascii="Calibri" w:cs="Calibri" w:eastAsia="Calibri" w:hAnsi="Calibri"/>
          <w:b/>
          <w:bCs/>
          <w:color w:val="336699"/>
          <w:sz w:val="20"/>
          <w:szCs w:val="20"/>
        </w:rPr>
        <w:t xml:space="preserve">Operações e Excelência Técnica</w:t>
      </w:r>
    </w:p>
    <w:p>
      <w:pPr>
        <w:pStyle w:val="ListParagraph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b/>
          <w:bCs/>
          <w:color w:val="1D1D1B"/>
          <w:sz w:val="20"/>
          <w:szCs w:val="20"/>
        </w:rPr>
        <w:t xml:space="preserve">-83%</w:t>
      </w:r>
      <w:r>
        <w:rPr>
          <w:rFonts w:ascii="Calibri" w:cs="Calibri" w:eastAsia="Calibri" w:hAnsi="Calibri"/>
          <w:color w:val="3A3733"/>
          <w:sz w:val="20"/>
          <w:szCs w:val="20"/>
        </w:rPr>
        <w:t xml:space="preserve">: custo de mão de obra por unidade via automação (Infarm)</w:t>
      </w:r>
    </w:p>
    <w:p>
      <w:pPr>
        <w:pStyle w:val="ListParagraph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b/>
          <w:bCs/>
          <w:color w:val="1D1D1B"/>
          <w:sz w:val="20"/>
          <w:szCs w:val="20"/>
        </w:rPr>
        <w:t xml:space="preserve">-40% / +73%</w:t>
      </w:r>
      <w:r>
        <w:rPr>
          <w:rFonts w:ascii="Calibri" w:cs="Calibri" w:eastAsia="Calibri" w:hAnsi="Calibri"/>
          <w:color w:val="3A3733"/>
          <w:sz w:val="20"/>
          <w:szCs w:val="20"/>
        </w:rPr>
        <w:t xml:space="preserve">: custo de energia por unidade / produção por m2 (Infarm)</w:t>
      </w:r>
    </w:p>
    <w:p>
      <w:pPr>
        <w:pStyle w:val="ListParagraph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b/>
          <w:bCs/>
          <w:color w:val="1D1D1B"/>
          <w:sz w:val="20"/>
          <w:szCs w:val="20"/>
        </w:rPr>
        <w:t xml:space="preserve">-40% / -15%</w:t>
      </w:r>
      <w:r>
        <w:rPr>
          <w:rFonts w:ascii="Calibri" w:cs="Calibri" w:eastAsia="Calibri" w:hAnsi="Calibri"/>
          <w:color w:val="3A3733"/>
          <w:sz w:val="20"/>
          <w:szCs w:val="20"/>
        </w:rPr>
        <w:t xml:space="preserve">: OpEx de produto / CapEx por m2 (IGS)</w:t>
      </w:r>
    </w:p>
    <w:p>
      <w:pPr>
        <w:keepNext/>
        <w:spacing w:after="30" w:before="80"/>
      </w:pPr>
      <w:r>
        <w:rPr>
          <w:rFonts w:ascii="Calibri" w:cs="Calibri" w:eastAsia="Calibri" w:hAnsi="Calibri"/>
          <w:b/>
          <w:bCs/>
          <w:color w:val="336699"/>
          <w:sz w:val="20"/>
          <w:szCs w:val="20"/>
        </w:rPr>
        <w:t xml:space="preserve">Crescimento, Clientes e Performance</w:t>
      </w:r>
    </w:p>
    <w:p>
      <w:pPr>
        <w:pStyle w:val="ListParagraph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b/>
          <w:bCs/>
          <w:color w:val="1D1D1B"/>
          <w:sz w:val="20"/>
          <w:szCs w:val="20"/>
        </w:rPr>
        <w:t xml:space="preserve">+210%</w:t>
      </w:r>
      <w:r>
        <w:rPr>
          <w:rFonts w:ascii="Calibri" w:cs="Calibri" w:eastAsia="Calibri" w:hAnsi="Calibri"/>
          <w:color w:val="3A3733"/>
          <w:sz w:val="20"/>
          <w:szCs w:val="20"/>
        </w:rPr>
        <w:t xml:space="preserve">: num segmento-chave em 2025; Q1 2026 a ritmo 4x o de 2025 (Lumatek Group)</w:t>
      </w:r>
    </w:p>
    <w:p>
      <w:pPr>
        <w:pStyle w:val="ListParagraph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b/>
          <w:bCs/>
          <w:color w:val="1D1D1B"/>
          <w:sz w:val="20"/>
          <w:szCs w:val="20"/>
        </w:rPr>
        <w:t xml:space="preserve">0 para 10 M+ EUR</w:t>
      </w:r>
      <w:r>
        <w:rPr>
          <w:rFonts w:ascii="Calibri" w:cs="Calibri" w:eastAsia="Calibri" w:hAnsi="Calibri"/>
          <w:color w:val="3A3733"/>
          <w:sz w:val="20"/>
          <w:szCs w:val="20"/>
        </w:rPr>
        <w:t xml:space="preserve">: de receita, 50+ países (Valoya)</w:t>
      </w:r>
    </w:p>
    <w:p>
      <w:pPr>
        <w:pStyle w:val="ListParagraph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b/>
          <w:bCs/>
          <w:color w:val="1D1D1B"/>
          <w:sz w:val="20"/>
          <w:szCs w:val="20"/>
        </w:rPr>
        <w:t xml:space="preserve">20 M+ EUR</w:t>
      </w:r>
      <w:r>
        <w:rPr>
          <w:rFonts w:ascii="Calibri" w:cs="Calibri" w:eastAsia="Calibri" w:hAnsi="Calibri"/>
          <w:color w:val="3A3733"/>
          <w:sz w:val="20"/>
          <w:szCs w:val="20"/>
        </w:rPr>
        <w:t xml:space="preserve">: de dois novos fluxos de receita (IGS)</w:t>
      </w:r>
    </w:p>
    <w:p>
      <w:pPr>
        <w:keepNext/>
        <w:pBdr>
          <w:bottom w:val="single" w:color="FC9B2C" w:sz="12" w:space="2"/>
        </w:pBdr>
        <w:spacing w:after="70" w:before="170"/>
      </w:pPr>
      <w:r>
        <w:rPr>
          <w:rFonts w:ascii="Calibri" w:cs="Calibri" w:eastAsia="Calibri" w:hAnsi="Calibri"/>
          <w:b/>
          <w:bCs/>
          <w:color w:val="00467D"/>
          <w:spacing w:val="30"/>
          <w:sz w:val="22"/>
          <w:szCs w:val="22"/>
        </w:rPr>
        <w:t xml:space="preserve">COMPETÊNCIAS</w:t>
      </w:r>
    </w:p>
    <w:p>
      <w:pPr>
        <w:keepLines/>
        <w:spacing w:after="50" w:line="252"/>
        <w:jc w:val="both"/>
      </w:pPr>
      <w:r>
        <w:rPr>
          <w:rFonts w:ascii="Calibri" w:cs="Calibri" w:eastAsia="Calibri" w:hAnsi="Calibri"/>
          <w:b/>
          <w:bCs/>
          <w:color w:val="1D1D1B"/>
          <w:sz w:val="20"/>
          <w:szCs w:val="20"/>
        </w:rPr>
        <w:t xml:space="preserve">Liderança e Gestão Geral</w:t>
      </w:r>
      <w:r>
        <w:rPr>
          <w:rFonts w:ascii="Calibri" w:cs="Calibri" w:eastAsia="Calibri" w:hAnsi="Calibri"/>
          <w:color w:val="3A3733"/>
          <w:sz w:val="20"/>
          <w:szCs w:val="20"/>
        </w:rPr>
        <w:t xml:space="preserve">: Responsabilidade por P&amp;L, Reestruturação, Redução de custos, Construção de equipas, Reporte a conselho e investidores, Mudança cultural, Liderança empreendedora</w:t>
      </w:r>
    </w:p>
    <w:p>
      <w:pPr>
        <w:keepLines/>
        <w:spacing w:after="50" w:line="252"/>
        <w:jc w:val="both"/>
      </w:pPr>
      <w:r>
        <w:rPr>
          <w:rFonts w:ascii="Calibri" w:cs="Calibri" w:eastAsia="Calibri" w:hAnsi="Calibri"/>
          <w:b/>
          <w:bCs/>
          <w:color w:val="1D1D1B"/>
          <w:sz w:val="20"/>
          <w:szCs w:val="20"/>
        </w:rPr>
        <w:t xml:space="preserve">Operações e Excelência Técnica</w:t>
      </w:r>
      <w:r>
        <w:rPr>
          <w:rFonts w:ascii="Calibri" w:cs="Calibri" w:eastAsia="Calibri" w:hAnsi="Calibri"/>
          <w:color w:val="3A3733"/>
          <w:sz w:val="20"/>
          <w:szCs w:val="20"/>
        </w:rPr>
        <w:t xml:space="preserve">: Automação, Desenho de processos, Roteiro de produto, Agile, SAFe, Kanban, Engenharia de sistemas em edifícios, Due diligence técnica</w:t>
      </w:r>
    </w:p>
    <w:p>
      <w:pPr>
        <w:keepLines/>
        <w:spacing w:after="50" w:line="252"/>
        <w:jc w:val="both"/>
      </w:pPr>
      <w:r>
        <w:rPr>
          <w:rFonts w:ascii="Calibri" w:cs="Calibri" w:eastAsia="Calibri" w:hAnsi="Calibri"/>
          <w:b/>
          <w:bCs/>
          <w:color w:val="1D1D1B"/>
          <w:sz w:val="20"/>
          <w:szCs w:val="20"/>
        </w:rPr>
        <w:t xml:space="preserve">Crescimento, Clientes e Performance</w:t>
      </w:r>
      <w:r>
        <w:rPr>
          <w:rFonts w:ascii="Calibri" w:cs="Calibri" w:eastAsia="Calibri" w:hAnsi="Calibri"/>
          <w:color w:val="3A3733"/>
          <w:sz w:val="20"/>
          <w:szCs w:val="20"/>
        </w:rPr>
        <w:t xml:space="preserve">: Estratégia comercial, Canais e distribuição, Expansão internacional, Parcerias estratégicas, Gestão por KPI e dados, M&amp;A e integração, Relação com clientes-chave, Posicionamento de marca e mercado, Inovação de produto</w:t>
      </w:r>
    </w:p>
    <w:p>
      <w:pPr>
        <w:keepNext/>
        <w:pBdr>
          <w:bottom w:val="single" w:color="FC9B2C" w:sz="12" w:space="2"/>
        </w:pBdr>
        <w:spacing w:after="70" w:before="170"/>
      </w:pPr>
      <w:r>
        <w:rPr>
          <w:rFonts w:ascii="Calibri" w:cs="Calibri" w:eastAsia="Calibri" w:hAnsi="Calibri"/>
          <w:b/>
          <w:bCs/>
          <w:color w:val="00467D"/>
          <w:spacing w:val="30"/>
          <w:sz w:val="22"/>
          <w:szCs w:val="22"/>
        </w:rPr>
        <w:t xml:space="preserve">EXPERIÊNCIA PROFISSIONAL</w:t>
      </w:r>
    </w:p>
    <w:p>
      <w:pPr>
        <w:keepNext/>
        <w:keepLines/>
        <w:spacing w:after="0" w:before="40"/>
      </w:pPr>
      <w:r>
        <w:rPr>
          <w:rFonts w:ascii="Calibri" w:cs="Calibri" w:eastAsia="Calibri" w:hAnsi="Calibri"/>
          <w:b/>
          <w:bCs/>
          <w:color w:val="1D1D1B"/>
          <w:sz w:val="21"/>
          <w:szCs w:val="21"/>
        </w:rPr>
        <w:t xml:space="preserve">Managing Partner</w:t>
      </w:r>
      <w:r>
        <w:rPr>
          <w:rFonts w:ascii="Calibri" w:cs="Calibri" w:eastAsia="Calibri" w:hAnsi="Calibri"/>
          <w:b/>
          <w:bCs/>
          <w:color w:val="FC9B2C"/>
          <w:sz w:val="21"/>
          <w:szCs w:val="21"/>
        </w:rPr>
        <w:t xml:space="preserve"> | </w:t>
      </w:r>
      <w:r>
        <w:rPr>
          <w:rFonts w:ascii="Calibri" w:cs="Calibri" w:eastAsia="Calibri" w:hAnsi="Calibri"/>
          <w:b/>
          <w:bCs/>
          <w:color w:val="336699"/>
          <w:sz w:val="21"/>
          <w:szCs w:val="21"/>
        </w:rPr>
        <w:t xml:space="preserve">APTA Advisory</w:t>
      </w:r>
    </w:p>
    <w:p>
      <w:pPr>
        <w:keepNext/>
        <w:spacing w:after="40"/>
      </w:pPr>
      <w:r>
        <w:rPr>
          <w:rFonts w:ascii="Calibri" w:cs="Calibri" w:eastAsia="Calibri" w:hAnsi="Calibri"/>
          <w:color w:val="55524E"/>
          <w:sz w:val="18"/>
          <w:szCs w:val="18"/>
        </w:rPr>
        <w:t xml:space="preserve">Ago 2026 - Presente · Lisboa</w:t>
      </w:r>
    </w:p>
    <w:p>
      <w:pPr>
        <w:keepNext/>
        <w:keepLines/>
        <w:spacing w:after="50" w:line="252"/>
        <w:jc w:val="both"/>
      </w:pPr>
      <w:r>
        <w:rPr>
          <w:rFonts w:ascii="Calibri" w:cs="Calibri" w:eastAsia="Calibri" w:hAnsi="Calibri"/>
          <w:i/>
          <w:iCs/>
          <w:color w:val="55524E"/>
          <w:sz w:val="19"/>
          <w:szCs w:val="19"/>
        </w:rPr>
        <w:t xml:space="preserve">Empresa independente de due diligence e estratégia de negócio.</w:t>
      </w:r>
    </w:p>
    <w:p>
      <w:pPr>
        <w:pStyle w:val="ListParagraph"/>
        <w:keepNext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Lidero a empresa e o seu modelo de serviço: due diligence de CapEx e OpEx para compradores de sistemas técnicos (iluminação, clima e automação); estratégia para fornecedores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Aconselho conselhos de administração, investidores e equipas de operações em casos de investimento, seleção de fornecedores, economia unitária e criação de valor; responsável por go-to-market, preços e parcerias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Desenhei um modelo de honorários ligado a resultados (percentagem das poupanças verificadas, ou valor fixo)</w:t>
      </w:r>
    </w:p>
    <w:p>
      <w:pPr>
        <w:keepNext/>
        <w:keepLines/>
        <w:spacing w:after="0" w:before="110"/>
      </w:pPr>
      <w:r>
        <w:rPr>
          <w:rFonts w:ascii="Calibri" w:cs="Calibri" w:eastAsia="Calibri" w:hAnsi="Calibri"/>
          <w:b/>
          <w:bCs/>
          <w:color w:val="1D1D1B"/>
          <w:sz w:val="21"/>
          <w:szCs w:val="21"/>
        </w:rPr>
        <w:t xml:space="preserve">co-CEO e Diretor Comercial e de Marketing (interino)</w:t>
      </w:r>
      <w:r>
        <w:rPr>
          <w:rFonts w:ascii="Calibri" w:cs="Calibri" w:eastAsia="Calibri" w:hAnsi="Calibri"/>
          <w:b/>
          <w:bCs/>
          <w:color w:val="FC9B2C"/>
          <w:sz w:val="21"/>
          <w:szCs w:val="21"/>
        </w:rPr>
        <w:t xml:space="preserve"> | </w:t>
      </w:r>
      <w:r>
        <w:rPr>
          <w:rFonts w:ascii="Calibri" w:cs="Calibri" w:eastAsia="Calibri" w:hAnsi="Calibri"/>
          <w:b/>
          <w:bCs/>
          <w:color w:val="336699"/>
          <w:sz w:val="21"/>
          <w:szCs w:val="21"/>
        </w:rPr>
        <w:t xml:space="preserve">Lumatek Group</w:t>
      </w:r>
    </w:p>
    <w:p>
      <w:pPr>
        <w:keepNext/>
        <w:spacing w:after="40"/>
      </w:pPr>
      <w:r>
        <w:rPr>
          <w:rFonts w:ascii="Calibri" w:cs="Calibri" w:eastAsia="Calibri" w:hAnsi="Calibri"/>
          <w:color w:val="55524E"/>
          <w:sz w:val="18"/>
          <w:szCs w:val="18"/>
        </w:rPr>
        <w:t xml:space="preserve">Dez 2024 - Jul 2026 · Lisboa</w:t>
      </w:r>
    </w:p>
    <w:p>
      <w:pPr>
        <w:keepNext/>
        <w:keepLines/>
        <w:spacing w:after="50" w:line="252"/>
        <w:jc w:val="both"/>
      </w:pPr>
      <w:r>
        <w:rPr>
          <w:rFonts w:ascii="Calibri" w:cs="Calibri" w:eastAsia="Calibri" w:hAnsi="Calibri"/>
          <w:i/>
          <w:iCs/>
          <w:color w:val="55524E"/>
          <w:sz w:val="19"/>
          <w:szCs w:val="19"/>
        </w:rPr>
        <w:t xml:space="preserve">Fabricante industrial de sistemas de iluminação técnica (HID e LED), 20 anos de mercado, duas marcas, distribuição internacional.</w:t>
      </w:r>
    </w:p>
    <w:p>
      <w:pPr>
        <w:pStyle w:val="ListParagraph"/>
        <w:keepNext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Reestruturação comercial e cultural completa: equipas redimensionadas, mercados sem rentabilidade encerrados, novas geografias e canais abertos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Estratégia de redução de custos que cortou cerca de 60% dos custos globais, com o CFO, o COO e o CPO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Crescimento de 210% num segmento-chave em 2025 e, no Q1 2026, um ritmo 4x superior ao de 2025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Dois novos segmentos de clientes criados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Organização transformada em empresa orientada por dados; silos internos eliminados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Apoio ao roteiro de produto, ligando engenharia e requisitos comerciais</w:t>
      </w:r>
    </w:p>
    <w:p>
      <w:pPr>
        <w:keepNext/>
        <w:keepLines/>
        <w:spacing w:after="0" w:before="110"/>
      </w:pPr>
      <w:r>
        <w:rPr>
          <w:rFonts w:ascii="Calibri" w:cs="Calibri" w:eastAsia="Calibri" w:hAnsi="Calibri"/>
          <w:b/>
          <w:bCs/>
          <w:color w:val="1D1D1B"/>
          <w:sz w:val="21"/>
          <w:szCs w:val="21"/>
        </w:rPr>
        <w:t xml:space="preserve">Consultor Independente</w:t>
      </w:r>
      <w:r>
        <w:rPr>
          <w:rFonts w:ascii="Calibri" w:cs="Calibri" w:eastAsia="Calibri" w:hAnsi="Calibri"/>
          <w:b/>
          <w:bCs/>
          <w:color w:val="FC9B2C"/>
          <w:sz w:val="21"/>
          <w:szCs w:val="21"/>
        </w:rPr>
        <w:t xml:space="preserve"> | </w:t>
      </w:r>
      <w:r>
        <w:rPr>
          <w:rFonts w:ascii="Calibri" w:cs="Calibri" w:eastAsia="Calibri" w:hAnsi="Calibri"/>
          <w:b/>
          <w:bCs/>
          <w:color w:val="336699"/>
          <w:sz w:val="21"/>
          <w:szCs w:val="21"/>
        </w:rPr>
        <w:t xml:space="preserve">Gonçalo Neves Consulting</w:t>
      </w:r>
    </w:p>
    <w:p>
      <w:pPr>
        <w:keepNext/>
        <w:spacing w:after="40"/>
      </w:pPr>
      <w:r>
        <w:rPr>
          <w:rFonts w:ascii="Calibri" w:cs="Calibri" w:eastAsia="Calibri" w:hAnsi="Calibri"/>
          <w:color w:val="55524E"/>
          <w:sz w:val="18"/>
          <w:szCs w:val="18"/>
        </w:rPr>
        <w:t xml:space="preserve">Abr 2024 - Ago 2026 · Lisboa</w:t>
      </w:r>
    </w:p>
    <w:p>
      <w:pPr>
        <w:keepNext/>
        <w:keepLines/>
        <w:spacing w:after="50" w:line="252"/>
        <w:jc w:val="both"/>
      </w:pPr>
      <w:r>
        <w:rPr>
          <w:rFonts w:ascii="Calibri" w:cs="Calibri" w:eastAsia="Calibri" w:hAnsi="Calibri"/>
          <w:i/>
          <w:iCs/>
          <w:color w:val="55524E"/>
          <w:sz w:val="19"/>
          <w:szCs w:val="19"/>
        </w:rPr>
        <w:t xml:space="preserve">Clientes sob NDA.</w:t>
      </w:r>
    </w:p>
    <w:p>
      <w:pPr>
        <w:pStyle w:val="ListParagraph"/>
        <w:keepNext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Due diligence técnica a empresas, produtos e plataformas, para decisões de investimento e aquisição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Análise de mercado e concorrência; frameworks de criação de valor e benchmarks de KPI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Aconselhamento em estratégia de mercado, preços e estrutura de equipas comerciais</w:t>
      </w:r>
    </w:p>
    <w:p>
      <w:pPr>
        <w:keepNext/>
        <w:keepLines/>
        <w:spacing w:after="0" w:before="110"/>
      </w:pPr>
      <w:r>
        <w:rPr>
          <w:rFonts w:ascii="Calibri" w:cs="Calibri" w:eastAsia="Calibri" w:hAnsi="Calibri"/>
          <w:b/>
          <w:bCs/>
          <w:color w:val="1D1D1B"/>
          <w:sz w:val="21"/>
          <w:szCs w:val="21"/>
        </w:rPr>
        <w:t xml:space="preserve">VP Business Development &amp; Head of AgriTech Partnerships</w:t>
      </w:r>
      <w:r>
        <w:rPr>
          <w:rFonts w:ascii="Calibri" w:cs="Calibri" w:eastAsia="Calibri" w:hAnsi="Calibri"/>
          <w:b/>
          <w:bCs/>
          <w:color w:val="FC9B2C"/>
          <w:sz w:val="21"/>
          <w:szCs w:val="21"/>
        </w:rPr>
        <w:t xml:space="preserve"> | </w:t>
      </w:r>
      <w:r>
        <w:rPr>
          <w:rFonts w:ascii="Calibri" w:cs="Calibri" w:eastAsia="Calibri" w:hAnsi="Calibri"/>
          <w:b/>
          <w:bCs/>
          <w:color w:val="336699"/>
          <w:sz w:val="21"/>
          <w:szCs w:val="21"/>
        </w:rPr>
        <w:t xml:space="preserve">IGS</w:t>
      </w:r>
    </w:p>
    <w:p>
      <w:pPr>
        <w:keepNext/>
        <w:spacing w:after="40"/>
      </w:pPr>
      <w:r>
        <w:rPr>
          <w:rFonts w:ascii="Calibri" w:cs="Calibri" w:eastAsia="Calibri" w:hAnsi="Calibri"/>
          <w:color w:val="55524E"/>
          <w:sz w:val="18"/>
          <w:szCs w:val="18"/>
        </w:rPr>
        <w:t xml:space="preserve">Ago 2021 - Jul 2024 · Edimburgo e Amesterdão</w:t>
      </w:r>
    </w:p>
    <w:p>
      <w:pPr>
        <w:keepNext/>
        <w:keepLines/>
        <w:spacing w:after="50" w:line="252"/>
        <w:jc w:val="both"/>
      </w:pPr>
      <w:r>
        <w:rPr>
          <w:rFonts w:ascii="Calibri" w:cs="Calibri" w:eastAsia="Calibri" w:hAnsi="Calibri"/>
          <w:i/>
          <w:iCs/>
          <w:color w:val="55524E"/>
          <w:sz w:val="19"/>
          <w:szCs w:val="19"/>
        </w:rPr>
        <w:t xml:space="preserve">Empresa premiada de tecnologia industrial: automação, IoT e sistemas de controlo ambiental, seis famílias de patentes.</w:t>
      </w:r>
    </w:p>
    <w:p>
      <w:pPr>
        <w:pStyle w:val="ListParagraph"/>
        <w:keepNext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Dois novos fluxos de receita, gerando 20 M+ EUR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OpEx de produto reduzido até 40%; CapEx por m2 reduzido até 15%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Parcerias com Schneider Electric, Viscon Group, Microsoft, Plant Lighting e Wageningen University &amp; Research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Construí e liderei a equipa de desenvolvimento de negócio, com reporte ao CEO e ao COO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Contribuí para a Série B de 50 M EUR, avaliação de 200 M+ EUR</w:t>
      </w:r>
    </w:p>
    <w:p>
      <w:pPr>
        <w:keepNext/>
        <w:keepLines/>
        <w:spacing w:after="0" w:before="110"/>
      </w:pPr>
      <w:r>
        <w:rPr>
          <w:rFonts w:ascii="Calibri" w:cs="Calibri" w:eastAsia="Calibri" w:hAnsi="Calibri"/>
          <w:b/>
          <w:bCs/>
          <w:color w:val="1D1D1B"/>
          <w:sz w:val="21"/>
          <w:szCs w:val="21"/>
        </w:rPr>
        <w:t xml:space="preserve">Director of Farm Hardware</w:t>
      </w:r>
      <w:r>
        <w:rPr>
          <w:rFonts w:ascii="Calibri" w:cs="Calibri" w:eastAsia="Calibri" w:hAnsi="Calibri"/>
          <w:b/>
          <w:bCs/>
          <w:color w:val="FC9B2C"/>
          <w:sz w:val="21"/>
          <w:szCs w:val="21"/>
        </w:rPr>
        <w:t xml:space="preserve"> | </w:t>
      </w:r>
      <w:r>
        <w:rPr>
          <w:rFonts w:ascii="Calibri" w:cs="Calibri" w:eastAsia="Calibri" w:hAnsi="Calibri"/>
          <w:b/>
          <w:bCs/>
          <w:color w:val="336699"/>
          <w:sz w:val="21"/>
          <w:szCs w:val="21"/>
        </w:rPr>
        <w:t xml:space="preserve">Infarm</w:t>
      </w:r>
    </w:p>
    <w:p>
      <w:pPr>
        <w:keepNext/>
        <w:spacing w:after="40"/>
      </w:pPr>
      <w:r>
        <w:rPr>
          <w:rFonts w:ascii="Calibri" w:cs="Calibri" w:eastAsia="Calibri" w:hAnsi="Calibri"/>
          <w:color w:val="55524E"/>
          <w:sz w:val="18"/>
          <w:szCs w:val="18"/>
        </w:rPr>
        <w:t xml:space="preserve">Mar 2020 - Mar 2021 · Berlim</w:t>
      </w:r>
    </w:p>
    <w:p>
      <w:pPr>
        <w:keepNext/>
        <w:keepLines/>
        <w:spacing w:after="50" w:line="252"/>
        <w:jc w:val="both"/>
      </w:pPr>
      <w:r>
        <w:rPr>
          <w:rFonts w:ascii="Calibri" w:cs="Calibri" w:eastAsia="Calibri" w:hAnsi="Calibri"/>
          <w:i/>
          <w:iCs/>
          <w:color w:val="55524E"/>
          <w:sz w:val="19"/>
          <w:szCs w:val="19"/>
        </w:rPr>
        <w:t xml:space="preserve">Scale-up industrial europeia de sistemas modulares de produção em ambiente controlado, com parque de equipamento instalado em vários países.</w:t>
      </w:r>
    </w:p>
    <w:p>
      <w:pPr>
        <w:pStyle w:val="ListParagraph"/>
        <w:keepNext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Equipa técnica de cerca de 40 para 100 pessoas num ano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-83% de custo de mão de obra por unidade, via automação e novos fluxos de processo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Equipas multidisciplinares criadas; SAFe, Agile, Kanban e Flight Levels implementados; hardware migrado para JIRA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-40% de custo de energia por unidade via novo desenho de AVAC; -61% de custo de renda por m2; +73% de produção por m2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Contribuí para a Série D de 200 M EUR, avaliação de 1 000 M+ EUR</w:t>
      </w:r>
    </w:p>
    <w:p>
      <w:pPr>
        <w:keepNext/>
        <w:keepLines/>
        <w:spacing w:after="0" w:before="110"/>
      </w:pPr>
      <w:r>
        <w:rPr>
          <w:rFonts w:ascii="Calibri" w:cs="Calibri" w:eastAsia="Calibri" w:hAnsi="Calibri"/>
          <w:b/>
          <w:bCs/>
          <w:color w:val="1D1D1B"/>
          <w:sz w:val="21"/>
          <w:szCs w:val="21"/>
        </w:rPr>
        <w:t xml:space="preserve">Cinco empresas fundadas</w:t>
      </w:r>
    </w:p>
    <w:p>
      <w:pPr>
        <w:keepNext/>
        <w:spacing w:after="40"/>
      </w:pPr>
      <w:r>
        <w:rPr>
          <w:rFonts w:ascii="Calibri" w:cs="Calibri" w:eastAsia="Calibri" w:hAnsi="Calibri"/>
          <w:color w:val="55524E"/>
          <w:sz w:val="18"/>
          <w:szCs w:val="18"/>
        </w:rPr>
        <w:t xml:space="preserve">Jun 2016 - Jan 2020 · Amesterdão</w:t>
      </w:r>
    </w:p>
    <w:p>
      <w:pPr>
        <w:pStyle w:val="ListParagraph"/>
        <w:keepNext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Fundador e CEO, Spectron Light Science (Nov 2016 - Dez 2017): três linhas de produto de iluminação LED; empresa adquirida por um player de referência do sector 14 meses após a fundação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Fundador e CTO, OneFarm BV (Jan 2017 - Jan 2020): seed de 1 M EUR (avaliação de 5 M+ EUR); apoio à Série A de 9 M EUR (avaliação de 36 M+ EUR)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Fundador e CEO, BemStudio (Jun 2016 - Mai 2020): consultora de engenharia e gestão nos Países Baixos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Diretor, A Lab (Jun 2017 - Dez 2019): unidade de produção; formação de cerca de 50 pessoas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Docente convidado, Breitner Academie (Mar - Jun 2017)</w:t>
      </w:r>
    </w:p>
    <w:p>
      <w:pPr>
        <w:keepNext/>
        <w:keepLines/>
        <w:spacing w:after="0" w:before="110"/>
      </w:pPr>
      <w:r>
        <w:rPr>
          <w:rFonts w:ascii="Calibri" w:cs="Calibri" w:eastAsia="Calibri" w:hAnsi="Calibri"/>
          <w:b/>
          <w:bCs/>
          <w:color w:val="1D1D1B"/>
          <w:sz w:val="21"/>
          <w:szCs w:val="21"/>
        </w:rPr>
        <w:t xml:space="preserve">Diretor de Desenvolvimento de Negócio</w:t>
      </w:r>
      <w:r>
        <w:rPr>
          <w:rFonts w:ascii="Calibri" w:cs="Calibri" w:eastAsia="Calibri" w:hAnsi="Calibri"/>
          <w:b/>
          <w:bCs/>
          <w:color w:val="FC9B2C"/>
          <w:sz w:val="21"/>
          <w:szCs w:val="21"/>
        </w:rPr>
        <w:t xml:space="preserve"> | </w:t>
      </w:r>
      <w:r>
        <w:rPr>
          <w:rFonts w:ascii="Calibri" w:cs="Calibri" w:eastAsia="Calibri" w:hAnsi="Calibri"/>
          <w:b/>
          <w:bCs/>
          <w:color w:val="336699"/>
          <w:sz w:val="21"/>
          <w:szCs w:val="21"/>
        </w:rPr>
        <w:t xml:space="preserve">Valoya</w:t>
      </w:r>
    </w:p>
    <w:p>
      <w:pPr>
        <w:keepNext/>
        <w:spacing w:after="40"/>
      </w:pPr>
      <w:r>
        <w:rPr>
          <w:rFonts w:ascii="Calibri" w:cs="Calibri" w:eastAsia="Calibri" w:hAnsi="Calibri"/>
          <w:color w:val="55524E"/>
          <w:sz w:val="18"/>
          <w:szCs w:val="18"/>
        </w:rPr>
        <w:t xml:space="preserve">Jun 2011 - Mai 2016 · Helsínquia e Países Baixos</w:t>
      </w:r>
    </w:p>
    <w:p>
      <w:pPr>
        <w:keepNext/>
        <w:keepLines/>
        <w:spacing w:after="50" w:line="252"/>
        <w:jc w:val="both"/>
      </w:pPr>
      <w:r>
        <w:rPr>
          <w:rFonts w:ascii="Calibri" w:cs="Calibri" w:eastAsia="Calibri" w:hAnsi="Calibri"/>
          <w:i/>
          <w:iCs/>
          <w:color w:val="55524E"/>
          <w:sz w:val="19"/>
          <w:szCs w:val="19"/>
        </w:rPr>
        <w:t xml:space="preserve">Fabricante de sistemas de iluminação LED técnica. Três cargos em cinco anos: Technical Manager, Solution Manager, Director of Business Development. Entrei como acionista minoritário.</w:t>
      </w:r>
    </w:p>
    <w:p>
      <w:pPr>
        <w:pStyle w:val="ListParagraph"/>
        <w:keepNext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Primeiro contrato comercial da empresa, superior a 300 000 EUR; receita de 0 para 10 M+ EUR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Expansão a mais de 50 países na Europa, Sudeste Asiático, Japão e América do Norte; abertura do escritório de Amesterdão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Parcerias de distribuição no Japão e na América do Norte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Primeiras linhas de produto desenvolvidas e lançadas</w:t>
      </w:r>
    </w:p>
    <w:p>
      <w:pPr>
        <w:keepNext/>
        <w:keepLines/>
        <w:spacing w:after="0" w:before="110"/>
      </w:pPr>
      <w:r>
        <w:rPr>
          <w:rFonts w:ascii="Calibri" w:cs="Calibri" w:eastAsia="Calibri" w:hAnsi="Calibri"/>
          <w:b/>
          <w:bCs/>
          <w:color w:val="1D1D1B"/>
          <w:sz w:val="21"/>
          <w:szCs w:val="21"/>
        </w:rPr>
        <w:t xml:space="preserve">Investigador</w:t>
      </w:r>
      <w:r>
        <w:rPr>
          <w:rFonts w:ascii="Calibri" w:cs="Calibri" w:eastAsia="Calibri" w:hAnsi="Calibri"/>
          <w:b/>
          <w:bCs/>
          <w:color w:val="FC9B2C"/>
          <w:sz w:val="21"/>
          <w:szCs w:val="21"/>
        </w:rPr>
        <w:t xml:space="preserve"> | </w:t>
      </w:r>
      <w:r>
        <w:rPr>
          <w:rFonts w:ascii="Calibri" w:cs="Calibri" w:eastAsia="Calibri" w:hAnsi="Calibri"/>
          <w:b/>
          <w:bCs/>
          <w:color w:val="336699"/>
          <w:sz w:val="21"/>
          <w:szCs w:val="21"/>
        </w:rPr>
        <w:t xml:space="preserve">Aalto University</w:t>
      </w:r>
    </w:p>
    <w:p>
      <w:pPr>
        <w:keepNext/>
        <w:spacing w:after="40"/>
      </w:pPr>
      <w:r>
        <w:rPr>
          <w:rFonts w:ascii="Calibri" w:cs="Calibri" w:eastAsia="Calibri" w:hAnsi="Calibri"/>
          <w:color w:val="55524E"/>
          <w:sz w:val="18"/>
          <w:szCs w:val="18"/>
        </w:rPr>
        <w:t xml:space="preserve">Abr 2009 - Mai 2011 · Helsínquia</w:t>
      </w:r>
    </w:p>
    <w:p>
      <w:pPr>
        <w:keepNext w:val="false"/>
        <w:keepLines/>
        <w:spacing w:after="50" w:line="252"/>
        <w:jc w:val="both"/>
      </w:pPr>
      <w:r>
        <w:rPr>
          <w:rFonts w:ascii="Calibri" w:cs="Calibri" w:eastAsia="Calibri" w:hAnsi="Calibri"/>
          <w:i/>
          <w:iCs/>
          <w:color w:val="55524E"/>
          <w:sz w:val="19"/>
          <w:szCs w:val="19"/>
        </w:rPr>
        <w:t xml:space="preserve">Iluminação de estado sólido. Projetos SSHLighting (2009-2011) e LEDFlowers (2008-2011).</w:t>
      </w:r>
    </w:p>
    <w:p>
      <w:pPr>
        <w:keepNext/>
        <w:pBdr>
          <w:bottom w:val="single" w:color="FC9B2C" w:sz="12" w:space="2"/>
        </w:pBdr>
        <w:spacing w:after="70" w:before="170"/>
      </w:pPr>
      <w:r>
        <w:rPr>
          <w:rFonts w:ascii="Calibri" w:cs="Calibri" w:eastAsia="Calibri" w:hAnsi="Calibri"/>
          <w:b/>
          <w:bCs/>
          <w:color w:val="00467D"/>
          <w:spacing w:val="30"/>
          <w:sz w:val="22"/>
          <w:szCs w:val="22"/>
        </w:rPr>
        <w:t xml:space="preserve">FORMAÇÃO</w:t>
      </w:r>
    </w:p>
    <w:p>
      <w:pPr>
        <w:keepLines/>
        <w:spacing w:after="50" w:line="252"/>
        <w:jc w:val="both"/>
      </w:pPr>
      <w:r>
        <w:rPr>
          <w:rFonts w:ascii="Calibri" w:cs="Calibri" w:eastAsia="Calibri" w:hAnsi="Calibri"/>
          <w:b/>
          <w:bCs/>
          <w:color w:val="1D1D1B"/>
          <w:sz w:val="20"/>
          <w:szCs w:val="20"/>
        </w:rPr>
        <w:t xml:space="preserve">M.Sc.(Tech.) Engenharia Eletrotécnica</w:t>
      </w:r>
      <w:r>
        <w:rPr>
          <w:rFonts w:ascii="Calibri" w:cs="Calibri" w:eastAsia="Calibri" w:hAnsi="Calibri"/>
          <w:color w:val="3A3733"/>
          <w:sz w:val="20"/>
          <w:szCs w:val="20"/>
        </w:rPr>
        <w:t xml:space="preserve">, Especialização em Luminotecnia e Instalações Elétricas em Edifícios, Aalto University, Finlândia (2010-2012)</w:t>
      </w:r>
    </w:p>
    <w:p>
      <w:pPr>
        <w:keepLines/>
        <w:spacing w:after="50" w:line="252"/>
        <w:jc w:val="both"/>
      </w:pPr>
      <w:r>
        <w:rPr>
          <w:rFonts w:ascii="Calibri" w:cs="Calibri" w:eastAsia="Calibri" w:hAnsi="Calibri"/>
          <w:b/>
          <w:bCs/>
          <w:color w:val="1D1D1B"/>
          <w:sz w:val="20"/>
          <w:szCs w:val="20"/>
        </w:rPr>
        <w:t xml:space="preserve">M.Sc. minor, International Design Business Management</w:t>
      </w:r>
      <w:r>
        <w:rPr>
          <w:rFonts w:ascii="Calibri" w:cs="Calibri" w:eastAsia="Calibri" w:hAnsi="Calibri"/>
          <w:color w:val="3A3733"/>
          <w:sz w:val="20"/>
          <w:szCs w:val="20"/>
        </w:rPr>
        <w:t xml:space="preserve">, Aalto University (2011-2012)</w:t>
      </w:r>
    </w:p>
    <w:p>
      <w:pPr>
        <w:keepLines/>
        <w:spacing w:after="50" w:line="252"/>
        <w:jc w:val="both"/>
      </w:pPr>
      <w:r>
        <w:rPr>
          <w:rFonts w:ascii="Calibri" w:cs="Calibri" w:eastAsia="Calibri" w:hAnsi="Calibri"/>
          <w:b/>
          <w:bCs/>
          <w:color w:val="1D1D1B"/>
          <w:sz w:val="20"/>
          <w:szCs w:val="20"/>
        </w:rPr>
        <w:t xml:space="preserve">Licenciatura em Engenharia Eletromecânica</w:t>
      </w:r>
      <w:r>
        <w:rPr>
          <w:rFonts w:ascii="Calibri" w:cs="Calibri" w:eastAsia="Calibri" w:hAnsi="Calibri"/>
          <w:color w:val="3A3733"/>
          <w:sz w:val="20"/>
          <w:szCs w:val="20"/>
        </w:rPr>
        <w:t xml:space="preserve">, Universidade da Beira Interior (2004-2009). Erasmus na TKK, hoje Aalto (2009)</w:t>
      </w:r>
    </w:p>
    <w:p>
      <w:pPr>
        <w:keepNext/>
        <w:pBdr>
          <w:bottom w:val="single" w:color="FC9B2C" w:sz="12" w:space="2"/>
        </w:pBdr>
        <w:spacing w:after="70" w:before="170"/>
      </w:pPr>
      <w:r>
        <w:rPr>
          <w:rFonts w:ascii="Calibri" w:cs="Calibri" w:eastAsia="Calibri" w:hAnsi="Calibri"/>
          <w:b/>
          <w:bCs/>
          <w:color w:val="00467D"/>
          <w:spacing w:val="30"/>
          <w:sz w:val="22"/>
          <w:szCs w:val="22"/>
        </w:rPr>
        <w:t xml:space="preserve">CERTIFICAÇÕES</w:t>
      </w:r>
    </w:p>
    <w:p>
      <w:pPr>
        <w:pStyle w:val="ListParagraph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Leading SAFe e Agile for Hardware (Gladwell Academy)</w:t>
      </w:r>
    </w:p>
    <w:p>
      <w:pPr>
        <w:pStyle w:val="ListParagraph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Flight Levels (Flight Levels Academy)</w:t>
      </w:r>
    </w:p>
    <w:p>
      <w:pPr>
        <w:pStyle w:val="ListParagraph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Product Development Project (Design Factory, Aalto)</w:t>
      </w:r>
    </w:p>
    <w:p>
      <w:pPr>
        <w:pStyle w:val="ListParagraph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Mental Health First Aider (Worksafe UK)</w:t>
      </w:r>
    </w:p>
    <w:p>
      <w:pPr>
        <w:keepNext/>
        <w:pBdr>
          <w:bottom w:val="single" w:color="FC9B2C" w:sz="12" w:space="2"/>
        </w:pBdr>
        <w:spacing w:after="70" w:before="170"/>
      </w:pPr>
      <w:r>
        <w:rPr>
          <w:rFonts w:ascii="Calibri" w:cs="Calibri" w:eastAsia="Calibri" w:hAnsi="Calibri"/>
          <w:b/>
          <w:bCs/>
          <w:color w:val="00467D"/>
          <w:spacing w:val="30"/>
          <w:sz w:val="22"/>
          <w:szCs w:val="22"/>
        </w:rPr>
        <w:t xml:space="preserve">PUBLICAÇÕES</w:t>
      </w:r>
    </w:p>
    <w:p>
      <w:pPr>
        <w:pStyle w:val="ListParagraph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Coautor de capítulo em obra técnica de referência (Burleigh Dodds Science Publishing, 2023)</w:t>
      </w:r>
    </w:p>
    <w:p>
      <w:pPr>
        <w:pStyle w:val="ListParagraph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Autor de publicação sobre unidades e métodos de medição (Aalto, 2014)</w:t>
      </w:r>
    </w:p>
    <w:p>
      <w:pPr>
        <w:pStyle w:val="ListParagraph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Membro de sociedade científica internacional, com contributo para a normalização de unidades e métodos de medição</w:t>
      </w:r>
    </w:p>
    <w:p>
      <w:pPr>
        <w:keepNext/>
        <w:pBdr>
          <w:bottom w:val="single" w:color="FC9B2C" w:sz="12" w:space="2"/>
        </w:pBdr>
        <w:spacing w:after="70" w:before="170"/>
      </w:pPr>
      <w:r>
        <w:rPr>
          <w:rFonts w:ascii="Calibri" w:cs="Calibri" w:eastAsia="Calibri" w:hAnsi="Calibri"/>
          <w:b/>
          <w:bCs/>
          <w:color w:val="00467D"/>
          <w:spacing w:val="30"/>
          <w:sz w:val="22"/>
          <w:szCs w:val="22"/>
        </w:rPr>
        <w:t xml:space="preserve">LÍNGUAS</w:t>
      </w:r>
    </w:p>
    <w:p>
      <w:pPr>
        <w:keepLines/>
        <w:spacing w:after="50" w:line="252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Português (Nativo) | Inglês (Profissional pleno) | Espanhol (Avançado) | Francês (Básico) | Finlandês (Iniciado)</w:t>
      </w:r>
    </w:p>
    <w:sectPr>
      <w:footerReference w:type="default" r:id="rId7"/>
      <w:pgSz w:w="11906" w:h="16838" w:orient="portrait"/>
      <w:pgMar w:top="1134" w:right="1134" w:bottom="1134" w:left="1134" w:header="708" w:footer="51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"/>
      <w:tabs>
        <w:tab w:val="right" w:pos="9638"/>
      </w:tabs>
    </w:pPr>
    <w:hyperlink w:history="1" r:id="rIdnormuuxxpvftflrskaa7t">
      <w:r>
        <w:rPr>
          <w:rFonts w:ascii="Calibri" w:cs="Calibri" w:eastAsia="Calibri" w:hAnsi="Calibri"/>
          <w:color w:val="336699"/>
          <w:sz w:val="15"/>
          <w:szCs w:val="15"/>
          <w:u w:val="single"/>
        </w:rPr>
        <w:t xml:space="preserve">+351 962 695 021</w:t>
      </w:r>
    </w:hyperlink>
    <w:r>
      <w:rPr>
        <w:rFonts w:ascii="Calibri" w:cs="Calibri" w:eastAsia="Calibri" w:hAnsi="Calibri"/>
        <w:color w:val="FC9B2C"/>
        <w:sz w:val="15"/>
        <w:szCs w:val="15"/>
      </w:rPr>
      <w:t xml:space="preserve">  ·  </w:t>
    </w:r>
    <w:hyperlink w:history="1" r:id="rId_kwvjpaedzwryj7mw8jox">
      <w:r>
        <w:rPr>
          <w:rFonts w:ascii="Calibri" w:cs="Calibri" w:eastAsia="Calibri" w:hAnsi="Calibri"/>
          <w:color w:val="336699"/>
          <w:sz w:val="15"/>
          <w:szCs w:val="15"/>
          <w:u w:val="single"/>
        </w:rPr>
        <w:t xml:space="preserve">goncalocsmn@gmail.com</w:t>
      </w:r>
    </w:hyperlink>
    <w:r>
      <w:rPr>
        <w:rFonts w:ascii="Calibri" w:cs="Calibri" w:eastAsia="Calibri" w:hAnsi="Calibri"/>
        <w:color w:val="FC9B2C"/>
        <w:sz w:val="15"/>
        <w:szCs w:val="15"/>
      </w:rPr>
      <w:t xml:space="preserve">  ·  </w:t>
    </w:r>
    <w:hyperlink w:history="1" r:id="rId1aioxnjnbuwqslkyvpt2o">
      <w:r>
        <w:rPr>
          <w:rFonts w:ascii="Calibri" w:cs="Calibri" w:eastAsia="Calibri" w:hAnsi="Calibri"/>
          <w:color w:val="336699"/>
          <w:sz w:val="15"/>
          <w:szCs w:val="15"/>
          <w:u w:val="single"/>
        </w:rPr>
        <w:t xml:space="preserve">LinkedIn</w:t>
      </w:r>
    </w:hyperlink>
    <w:r>
      <w:rPr>
        <w:rFonts w:ascii="Calibri" w:cs="Calibri" w:eastAsia="Calibri" w:hAnsi="Calibri"/>
        <w:color w:val="FC9B2C"/>
        <w:sz w:val="15"/>
        <w:szCs w:val="15"/>
      </w:rPr>
      <w:t xml:space="preserve">  ·  </w:t>
    </w:r>
    <w:hyperlink w:history="1" r:id="rIdbt3ovwt3vyxrlarsd74xq">
      <w:r>
        <w:rPr>
          <w:rFonts w:ascii="Calibri" w:cs="Calibri" w:eastAsia="Calibri" w:hAnsi="Calibri"/>
          <w:color w:val="336699"/>
          <w:sz w:val="15"/>
          <w:szCs w:val="15"/>
          <w:u w:val="single"/>
        </w:rPr>
        <w:t xml:space="preserve">CV online</w:t>
      </w:r>
    </w:hyperlink>
    <w:r>
      <w:rPr>
        <w:rFonts w:ascii="Calibri" w:cs="Calibri" w:eastAsia="Calibri" w:hAnsi="Calibri"/>
        <w:color w:val="FC9B2C"/>
        <w:sz w:val="15"/>
        <w:szCs w:val="15"/>
      </w:rPr>
      <w:t xml:space="preserve">  ·  </w:t>
    </w:r>
    <w:hyperlink w:history="1" r:id="rIdrgwf_31cbkt-taa7wamaf">
      <w:r>
        <w:rPr>
          <w:rFonts w:ascii="Calibri" w:cs="Calibri" w:eastAsia="Calibri" w:hAnsi="Calibri"/>
          <w:color w:val="336699"/>
          <w:sz w:val="15"/>
          <w:szCs w:val="15"/>
          <w:u w:val="single"/>
        </w:rPr>
        <w:t xml:space="preserve">Marcar uma chamada</w:t>
      </w:r>
    </w:hyperlink>
    <w:r>
      <w:rPr>
        <w:rFonts w:ascii="Calibri" w:cs="Calibri" w:eastAsia="Calibri" w:hAnsi="Calibri"/>
        <w:color w:val="6E6B67"/>
        <w:sz w:val="15"/>
        <w:szCs w:val="15"/>
      </w:rPr>
      <w:t xml:space="preserve">  ·  Referências disponíveis a pedido.</w:t>
    </w:r>
    <w:r>
      <w:rPr>
        <w:rFonts w:ascii="Calibri" w:cs="Calibri" w:eastAsia="Calibri" w:hAnsi="Calibri"/>
        <w:color w:val="6E6B67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20"/>
      </w:pPr>
      <w:rPr>
        <w:color w:val="FC9B2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A37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Footer">
    <w:name w:val="footer"/>
    <w:basedOn w:val="Normal"/>
    <w:rPr>
      <w:rFonts w:ascii="Calibri" w:cs="Calibri" w:eastAsia="Calibri" w:hAnsi="Calibri"/>
      <w:color w:val="6E6B67"/>
      <w:sz w:val="15"/>
      <w:szCs w:val="1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6excw-1zil3ob2swgurb_" Type="http://schemas.openxmlformats.org/officeDocument/2006/relationships/hyperlink" Target="tel:+351962695021" TargetMode="External"/><Relationship Id="rIdbi1tpzacjrpvoisrszl-n" Type="http://schemas.openxmlformats.org/officeDocument/2006/relationships/hyperlink" Target="mailto:goncalocsmn@gmail.com" TargetMode="External"/><Relationship Id="rId_4nybzmhcibc2qkx7muux" Type="http://schemas.openxmlformats.org/officeDocument/2006/relationships/hyperlink" Target="https://www.linkedin.com/in/moreiraneves" TargetMode="External"/><Relationship Id="rIdnfpr9jigmrxwv40rxft5m" Type="http://schemas.openxmlformats.org/officeDocument/2006/relationships/hyperlink" Target="https://goncalocsmn.github.io/goncalo-moreira-neves_cv_gn/" TargetMode="External"/><Relationship Id="rIdb0jjx51bar_go-smjnprz" Type="http://schemas.openxmlformats.org/officeDocument/2006/relationships/hyperlink" Target="https://calendar.app.google/yEnoiSdSKdpHQAzKA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normuuxxpvftflrskaa7t" Type="http://schemas.openxmlformats.org/officeDocument/2006/relationships/hyperlink" Target="tel:+351962695021" TargetMode="External"/><Relationship Id="rId_kwvjpaedzwryj7mw8jox" Type="http://schemas.openxmlformats.org/officeDocument/2006/relationships/hyperlink" Target="mailto:goncalocsmn@gmail.com" TargetMode="External"/><Relationship Id="rId1aioxnjnbuwqslkyvpt2o" Type="http://schemas.openxmlformats.org/officeDocument/2006/relationships/hyperlink" Target="https://www.linkedin.com/in/moreiraneves" TargetMode="External"/><Relationship Id="rIdbt3ovwt3vyxrlarsd74xq" Type="http://schemas.openxmlformats.org/officeDocument/2006/relationships/hyperlink" Target="https://goncalocsmn.github.io/goncalo-moreira-neves_cv_gn/" TargetMode="External"/><Relationship Id="rIdrgwf_31cbkt-taa7wamaf" Type="http://schemas.openxmlformats.org/officeDocument/2006/relationships/hyperlink" Target="https://calendar.app.google/yEnoiSdSKdpHQAzKA" TargetMode="Externa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Gonçalo Moreira Neves - CV</dc:title>
  <dc:creator>Gonçalo Moreira Neves</dc:creator>
  <cp:lastModifiedBy>Un-named</cp:lastModifiedBy>
  <cp:revision>1</cp:revision>
  <dcterms:created xsi:type="dcterms:W3CDTF">2026-10-09T11:27:22.525Z</dcterms:created>
  <dcterms:modified xsi:type="dcterms:W3CDTF">2026-10-09T11:27:22.526Z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