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D140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D140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D140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D140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D1402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Используются ограничения целостности (CONSTRAINTS), обеспечивающие корректность вводимых данных, например: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05BE9D74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4"/>
      <w:r w:rsidR="00EE1D74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2)</w:t>
      </w:r>
    </w:p>
    <w:p w14:paraId="131CF2CC" w14:textId="1E1DF343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Pr="006569DD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«Пиши-стирай» реализовалась на принципах паттерна </w:t>
      </w:r>
      <w:r w:rsidRPr="00A34506"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9B29BD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4506">
        <w:rPr>
          <w:rFonts w:ascii="Times New Roman" w:hAnsi="Times New Roman" w:cs="Times New Roman"/>
          <w:sz w:val="28"/>
          <w:szCs w:val="28"/>
        </w:rPr>
        <w:t>MVVM (Model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ViewModel) – это архитектурный паттерн, используемый в разработке приложений с разделением логики, представления и данных. Он помогает сделать код более структурированным, удобным для сопровождения и тестирования.</w:t>
      </w:r>
    </w:p>
    <w:p w14:paraId="539D2940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Основные компоненты паттерна MVVM:</w:t>
      </w:r>
    </w:p>
    <w:p w14:paraId="4F44642D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Model (Модель)</w:t>
      </w:r>
    </w:p>
    <w:p w14:paraId="0DC3E9B8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Отвечает за данные и бизнес-логику приложения.</w:t>
      </w:r>
    </w:p>
    <w:p w14:paraId="2FE9E361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веб-API или другими источниками данных.</w:t>
      </w:r>
    </w:p>
    <w:p w14:paraId="3AC4C82C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зависит от пользовательского интерфейса.</w:t>
      </w:r>
    </w:p>
    <w:p w14:paraId="2A4001D9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 (Представление)</w:t>
      </w:r>
    </w:p>
    <w:p w14:paraId="7493AEB5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Отображает информацию пользователю.</w:t>
      </w:r>
    </w:p>
    <w:p w14:paraId="60A23D87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Представляет собой визуальный интерфейс приложения (окна, кнопки, списки и т. д.).</w:t>
      </w:r>
    </w:p>
    <w:p w14:paraId="4B1F53E9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содержит логики обработки данных, а только подписывается на изменения в ViewModel.</w:t>
      </w:r>
    </w:p>
    <w:p w14:paraId="0BE2F2C1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(Модель представления)</w:t>
      </w:r>
    </w:p>
    <w:p w14:paraId="1C87992D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Посредник между Model и View.</w:t>
      </w:r>
    </w:p>
    <w:p w14:paraId="190C1CA1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Содержит свойства и команды, к которым привязан интерфейс.</w:t>
      </w:r>
    </w:p>
    <w:p w14:paraId="00B318B2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Реализует механизм двустороннего связывания данных (Data Binding), позволяя View автоматически обновляться при изменении данных в ViewModel.</w:t>
      </w:r>
    </w:p>
    <w:p w14:paraId="71C70DB9" w14:textId="77777777" w:rsidR="006569DD" w:rsidRPr="00A1250F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1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следующем:</w:t>
      </w:r>
    </w:p>
    <w:p w14:paraId="7C6660B9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получает данные из Model, обрабатывает их и предоставляет в удобном виде для View.</w:t>
      </w:r>
    </w:p>
    <w:p w14:paraId="7E99A1F3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lastRenderedPageBreak/>
        <w:t>View подписывается на изменения в ViewModel и автоматически обновляется при изменении данных.</w:t>
      </w:r>
    </w:p>
    <w:p w14:paraId="66E6D425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Пользователь взаимодействует с View, вызывая команды ViewModel, которые изменяют Model.</w:t>
      </w:r>
    </w:p>
    <w:p w14:paraId="40658CCC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Изменения в Model передаются обратно в ViewModel, а затем обновляют View.</w:t>
      </w:r>
    </w:p>
    <w:p w14:paraId="12D74388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Преимущества MVVM:</w:t>
      </w:r>
    </w:p>
    <w:p w14:paraId="67466E94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Разделение логики и интерфейса – код становится более чистым и структурированным.</w:t>
      </w:r>
    </w:p>
    <w:p w14:paraId="140D0A1F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Упрощенное тестирование – можно тестировать Model и ViewModel отдельно от интерфейса.</w:t>
      </w:r>
    </w:p>
    <w:p w14:paraId="5349FF62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Гибкость и повторное использование – ViewModel можно применять с разными представлениями.</w:t>
      </w:r>
    </w:p>
    <w:p w14:paraId="58D72E50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Удобство поддержки и расширения – проще вносить изменения в код.</w:t>
      </w:r>
    </w:p>
    <w:p w14:paraId="5218997D" w14:textId="77777777" w:rsidR="006569DD" w:rsidRPr="00A34506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Паттерн MVVM особенно полезен при разработке UI-приложений, так как позволяет четко разделить ответственность между логикой обработки данных и отображением интерфейса.</w:t>
      </w:r>
    </w:p>
    <w:p w14:paraId="14C535DE" w14:textId="41AA39C1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Для разработки интерфей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B9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B976A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выводом списка партнёров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для </w:t>
      </w:r>
      <w:r w:rsidR="00A0196F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0196F"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76A3">
        <w:rPr>
          <w:rFonts w:ascii="Times New Roman" w:hAnsi="Times New Roman" w:cs="Times New Roman"/>
          <w:sz w:val="28"/>
          <w:szCs w:val="28"/>
        </w:rPr>
        <w:t xml:space="preserve"> был выбран кроссплатформенный XAM</w:t>
      </w:r>
      <w:r>
        <w:rPr>
          <w:rFonts w:ascii="Times New Roman" w:hAnsi="Times New Roman" w:cs="Times New Roman"/>
          <w:sz w:val="28"/>
          <w:szCs w:val="28"/>
        </w:rPr>
        <w:t>L фреймворк для платформы .NET –</w:t>
      </w:r>
      <w:r w:rsidRPr="00B976A3">
        <w:rPr>
          <w:rFonts w:ascii="Times New Roman" w:hAnsi="Times New Roman" w:cs="Times New Roman"/>
          <w:sz w:val="28"/>
          <w:szCs w:val="28"/>
        </w:rPr>
        <w:t xml:space="preserve"> Avalonia. Avalonia позволяет создавать интерактивные и интуитивно понятные пользовательские интерфейсы, которые работают на различных операционных системах, включая Windows, macOS и Linux. </w:t>
      </w:r>
    </w:p>
    <w:p w14:paraId="6CB036E0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Использование Avalonia обеспечивает высокую производительность приложения и возможность удобного масштабирования интерфейсов для различных устройств и разрешений экранов.</w:t>
      </w:r>
    </w:p>
    <w:p w14:paraId="3F36162D" w14:textId="77777777" w:rsidR="006569DD" w:rsidRDefault="006569DD" w:rsidP="00656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D9E48" w14:textId="77777777" w:rsidR="006569DD" w:rsidRPr="00B62882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разработке интерфейса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 страницы</w:t>
      </w:r>
      <w:r w:rsidRPr="00B62882">
        <w:rPr>
          <w:rFonts w:ascii="Times New Roman" w:hAnsi="Times New Roman" w:cs="Times New Roman"/>
          <w:sz w:val="28"/>
          <w:szCs w:val="28"/>
        </w:rPr>
        <w:t xml:space="preserve"> приложения были </w:t>
      </w:r>
      <w:r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B628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спользованы следующие элементы</w:t>
      </w:r>
      <w:r w:rsidRPr="00B62882">
        <w:rPr>
          <w:rFonts w:ascii="Times New Roman" w:hAnsi="Times New Roman" w:cs="Times New Roman"/>
          <w:sz w:val="28"/>
          <w:szCs w:val="28"/>
        </w:rPr>
        <w:t>:</w:t>
      </w:r>
    </w:p>
    <w:p w14:paraId="59DA48C6" w14:textId="68B46C54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Логотип (Image) — отображает логотип приложения, находится в верхней части страницы.</w:t>
      </w:r>
    </w:p>
    <w:p w14:paraId="2626ADE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Заголовок "Авторизация" (TextBlock) — текстовый блок с заголовком страницы, указывает пользователю на необходимость авторизации.</w:t>
      </w:r>
    </w:p>
    <w:p w14:paraId="34054155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логин" (TextBlock) — пояснительный текст для поля ввода логина.</w:t>
      </w:r>
    </w:p>
    <w:p w14:paraId="76341E44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логина (TextBox) — текстовое поле, куда пользователь вводит логин, может быть заблокировано.</w:t>
      </w:r>
    </w:p>
    <w:p w14:paraId="0C4C90CC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Текст "Введите пароль" (TextBlock) — пояснительный текст для поля ввода пароля.</w:t>
      </w:r>
    </w:p>
    <w:p w14:paraId="043310EB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пароля (TextBox) — текстовое поле для ввода пароля, может быть заблокировано.</w:t>
      </w:r>
    </w:p>
    <w:p w14:paraId="07D4218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Капча (UserControl) — компонент для отображения капчи, помогает защититься от автоматической авторизации.</w:t>
      </w:r>
    </w:p>
    <w:p w14:paraId="35AA54CA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Поле для ввода кода с капчи (TextBox) — появляется при необходимости, используется для ввода кода с капчи.</w:t>
      </w:r>
    </w:p>
    <w:p w14:paraId="6D422896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"Проверить" (Button) — кнопка для проверки введённого кода капчи, становится видимой при необходимости.</w:t>
      </w:r>
    </w:p>
    <w:p w14:paraId="315B9289" w14:textId="77777777" w:rsidR="00BF7569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"Авторизоваться" (Button) — основная кнопка для завершения процесса авторизации.</w:t>
      </w:r>
    </w:p>
    <w:p w14:paraId="763FC085" w14:textId="33997A02" w:rsidR="006569DD" w:rsidRPr="000C3ACC" w:rsidRDefault="00BF7569" w:rsidP="000C3ACC">
      <w:pPr>
        <w:pStyle w:val="a3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3ACC">
        <w:rPr>
          <w:rFonts w:ascii="Times New Roman" w:hAnsi="Times New Roman" w:cs="Times New Roman"/>
          <w:sz w:val="28"/>
          <w:szCs w:val="28"/>
          <w:lang w:eastAsia="ru-RU"/>
        </w:rPr>
        <w:t>Кнопка "Просмотреть список товаров" (Button) — кнопка для перехода на страницу с перечнем товаров, доступна без авторизации.</w:t>
      </w:r>
    </w:p>
    <w:p w14:paraId="3F297DDB" w14:textId="599B04B3" w:rsidR="003B5024" w:rsidRDefault="003B50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результата разработки интерфейса страницы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с авторизацией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66951">
        <w:rPr>
          <w:rFonts w:ascii="Times New Roman" w:hAnsi="Times New Roman" w:cs="Times New Roman"/>
          <w:sz w:val="28"/>
          <w:szCs w:val="28"/>
          <w:lang w:eastAsia="ru-RU"/>
        </w:rPr>
        <w:t>в системе для магазина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«Пиши-стирай» ниже представлен рисунок №2.</w:t>
      </w:r>
    </w:p>
    <w:p w14:paraId="13B70CE2" w14:textId="77777777" w:rsidR="00EE1D74" w:rsidRDefault="00EE1D7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C4339AC" w14:textId="32D9D58B" w:rsidR="00EE1D74" w:rsidRDefault="00EE1D74" w:rsidP="00EE1D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1DF3799" wp14:editId="1C4E77A3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5939790" cy="24434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№2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 страницы с авторизацией</w:t>
      </w:r>
    </w:p>
    <w:p w14:paraId="00E21122" w14:textId="0A1EB4C4" w:rsidR="00661756" w:rsidRPr="00661756" w:rsidRDefault="003A3699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странице реализуется</w:t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 xml:space="preserve"> процесс авторизации пользователей с дополнительной защитой с помощью капчи, а также поддерживает возможность просмотра страницы с продуктами в гостевом режиме.</w:t>
      </w:r>
    </w:p>
    <w:p w14:paraId="5C222B11" w14:textId="08E8E1DC" w:rsidR="00661756" w:rsidRDefault="00352D63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5419D0" wp14:editId="6C2E52FF">
            <wp:simplePos x="0" y="0"/>
            <wp:positionH relativeFrom="margin">
              <wp:align>center</wp:align>
            </wp:positionH>
            <wp:positionV relativeFrom="paragraph">
              <wp:posOffset>1764665</wp:posOffset>
            </wp:positionV>
            <wp:extent cx="5057775" cy="3556000"/>
            <wp:effectExtent l="0" t="0" r="952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756" w:rsidRPr="00661756">
        <w:rPr>
          <w:rFonts w:ascii="Times New Roman" w:hAnsi="Times New Roman" w:cs="Times New Roman"/>
          <w:sz w:val="28"/>
          <w:szCs w:val="28"/>
          <w:lang w:eastAsia="ru-RU"/>
        </w:rPr>
        <w:t>При вводе логина и пароля данные проверяются по списку пользователей. Если они корректны, происходит переход на страницу с продуктами. Если данные неверные, вызывается функция создания капчи — на экране появляется случайный набор символов и линий, усложняющих распознавание кода.</w:t>
      </w:r>
      <w:r w:rsidR="008225C4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Страница с отображением капчи при некорректной авторизации представлен на рисунке №3.</w:t>
      </w:r>
    </w:p>
    <w:p w14:paraId="53F0CECE" w14:textId="4D7E8865" w:rsidR="00352D63" w:rsidRPr="00661756" w:rsidRDefault="00352D63" w:rsidP="00352D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№3</w:t>
      </w:r>
      <w:r w:rsidRPr="00BA06B2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Интерфейс страницы с авторизацией с капчей</w:t>
      </w:r>
    </w:p>
    <w:p w14:paraId="1B170146" w14:textId="552B88FE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Пользователь должен ввести капчу вместе с логином и паролем. Если ввод верный, авторизация завершается успешно. При повторной ошибке включается таймер блокировки ввода на 10 секунд — поля для ввода отключаются, а после истечения времени появляется новая капча для следующей попытки.</w:t>
      </w:r>
    </w:p>
    <w:p w14:paraId="64212819" w14:textId="424C3749" w:rsidR="00661756" w:rsidRP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Помимо авторизации, предусмотрен гостевой режим: пользователь может открыть страницу с товарами без ввода данных, переходя на неё с фиксированным идентификатором (гость). Это позволяет просматривать товары, но с ограниченным функционалом по сравнению с авторизованными пользователями.</w:t>
      </w:r>
    </w:p>
    <w:p w14:paraId="441AAFC0" w14:textId="670C2C3C" w:rsidR="00661756" w:rsidRDefault="00661756" w:rsidP="006617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1756">
        <w:rPr>
          <w:rFonts w:ascii="Times New Roman" w:hAnsi="Times New Roman" w:cs="Times New Roman"/>
          <w:sz w:val="28"/>
          <w:szCs w:val="28"/>
          <w:lang w:eastAsia="ru-RU"/>
        </w:rPr>
        <w:t>Таким образом, программа поддерживает два пути доступа к продуктам — через защищённую авторизацию и свободный гостевой просмотр.</w:t>
      </w:r>
    </w:p>
    <w:p w14:paraId="59174A9E" w14:textId="41E58933" w:rsidR="003B2668" w:rsidRDefault="003B266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5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6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7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8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9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0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1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7803128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</w:p>
          <w:p w14:paraId="28EBAB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7419668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RoleID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D7FF44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RoleName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00CC407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6D1A6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23EBF48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Users</w:t>
            </w:r>
          </w:p>
          <w:p w14:paraId="2E10C76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4BF2EA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56ECF1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UserSurname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0C2F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98162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UserPatronymic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3B7CA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UserLogin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CD0544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UserPassword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3E210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UserRole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D85DF5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UserRole_fk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(UserRole)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  <w:r w:rsidRPr="00B21F1A">
              <w:rPr>
                <w:color w:val="000000"/>
                <w:lang w:val="en-US"/>
              </w:rPr>
              <w:t>(RoleID),</w:t>
            </w:r>
          </w:p>
          <w:p w14:paraId="33D5BF4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unique_user_login </w:t>
            </w:r>
            <w:r w:rsidRPr="00B21F1A">
              <w:rPr>
                <w:b/>
                <w:bCs/>
                <w:color w:val="800000"/>
                <w:lang w:val="en-US"/>
              </w:rPr>
              <w:t>unique</w:t>
            </w:r>
            <w:r w:rsidRPr="00B21F1A">
              <w:rPr>
                <w:color w:val="000000"/>
                <w:lang w:val="en-US"/>
              </w:rPr>
              <w:t xml:space="preserve"> (UserLogin)</w:t>
            </w:r>
          </w:p>
          <w:p w14:paraId="2A1718B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31C519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071F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Status</w:t>
            </w:r>
          </w:p>
          <w:p w14:paraId="2E555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A2F54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StatusID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4C8A41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StatusName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404C382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4711E81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500E4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PickupPoint</w:t>
            </w:r>
          </w:p>
          <w:p w14:paraId="5E55E29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FE280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PickupPointID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58C5E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PickupPointName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1BACF6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5810B5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29BF78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Orders</w:t>
            </w:r>
          </w:p>
          <w:p w14:paraId="447476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2F3C3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C928C2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OrderStatus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D179DF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OrderDate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E13F8D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OrderDeliveryDate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3EA1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OrderPickupPoint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0B94CD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OrderClient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DEFAULT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color w:val="0000FF"/>
                <w:lang w:val="en-US"/>
              </w:rPr>
              <w:t>1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C53E0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OrderCodeToReceive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CE86FC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UserRole_fk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(OrderStatus)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Status(StatusID),</w:t>
            </w:r>
          </w:p>
          <w:p w14:paraId="7C15D1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OrderPickupPoint_fk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(OrderPickupPoint)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PickupPoint(PickupPointID),</w:t>
            </w:r>
          </w:p>
          <w:p w14:paraId="6C08A2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lastRenderedPageBreak/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OrderClient_fk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(OrderClient)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Users(UserID)</w:t>
            </w:r>
          </w:p>
          <w:p w14:paraId="224DADF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91689A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0ABD81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Categories</w:t>
            </w:r>
          </w:p>
          <w:p w14:paraId="2B8D869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6F71AE2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CategoryID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732800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CategoryName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676599F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FD0F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4D99C3F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UnitOfMeasurement</w:t>
            </w:r>
          </w:p>
          <w:p w14:paraId="1EFF8C4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CB49C4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UnitOfMeasurementID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DC9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UnitOfMeasurementName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7433455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6DF8DB5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F04BC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</w:t>
            </w:r>
          </w:p>
          <w:p w14:paraId="73C3575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7FAEC9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0532F0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240E9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ProductUnitOfMeasurement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F4BB7C9" w14:textId="53CE00E4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ProductCost </w:t>
            </w:r>
            <w:r w:rsidR="002B7421">
              <w:rPr>
                <w:b/>
                <w:bCs/>
                <w:color w:val="000080"/>
                <w:lang w:val="en-US"/>
              </w:rPr>
              <w:t>float4</w:t>
            </w:r>
            <w:bookmarkStart w:id="12" w:name="_GoBack"/>
            <w:bookmarkEnd w:id="12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6D6687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ProductMaximumPossibleDiscountAmount </w:t>
            </w:r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A72A43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ProductCategory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B14113B" w14:textId="32B7655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ProductDiscountAmount </w:t>
            </w:r>
            <w:r w:rsidR="007901A1">
              <w:rPr>
                <w:b/>
                <w:bCs/>
                <w:color w:val="000080"/>
                <w:lang w:val="en-US"/>
              </w:rPr>
              <w:t>float4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BE5C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ProductQuantityInStock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80969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ProductDescription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C1177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ProductPhoto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52D517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ProductStatus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69ABD8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ProductUnitOfMeasurement_fk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(ProductUnitOfMeasurement)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UnitOfMeasurement(UnitOfMeasurementID),</w:t>
            </w:r>
          </w:p>
          <w:p w14:paraId="3965136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ProductCategory_fk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(ProductCategory)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Categories(CategoryID)</w:t>
            </w:r>
          </w:p>
          <w:p w14:paraId="75A6DEF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DC5781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B9BC3D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OrderProduct</w:t>
            </w:r>
          </w:p>
          <w:p w14:paraId="61B615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162F6D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OrderProductID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A53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OrderID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8D575A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500E3F6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ProductQuantity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DA27EA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Order_OrderProduct_fk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(OrderID)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Orders(OrderID),</w:t>
            </w:r>
          </w:p>
          <w:p w14:paraId="6DE17D4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Product_OrderProduct_fk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</w:t>
            </w:r>
          </w:p>
          <w:p w14:paraId="7E90A20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0DA4C3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4DCBCB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Manufacturers</w:t>
            </w:r>
          </w:p>
          <w:p w14:paraId="233FB7C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E793E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67663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ManufacturerName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55C847B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F74BA5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C1E24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ProductManufacturer</w:t>
            </w:r>
          </w:p>
          <w:p w14:paraId="6B72D9B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30182B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ProductManufacturerID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A45350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3C1032F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ManufacturerID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48138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Product_ProductManufacturer_fk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Product(ProductArticleNumber),</w:t>
            </w:r>
          </w:p>
          <w:p w14:paraId="7C56EFDE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Manufacturer_ProductManufacturer_fk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(ManufacturerID)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Manufacturers(ManufacturerID)</w:t>
            </w:r>
            <w:r w:rsidRPr="00B21F1A">
              <w:rPr>
                <w:color w:val="000000"/>
                <w:lang w:val="en-US"/>
              </w:rPr>
              <w:tab/>
            </w:r>
          </w:p>
          <w:p w14:paraId="2E3D1FF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9FF49F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1C5C51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Suppliers</w:t>
            </w:r>
          </w:p>
          <w:p w14:paraId="2B2742C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C3A697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SupplierID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7ED06E0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46051">
              <w:rPr>
                <w:color w:val="000000"/>
                <w:lang w:val="en-US"/>
              </w:rPr>
              <w:t xml:space="preserve">SupplierName </w:t>
            </w:r>
            <w:r w:rsidRPr="00B46051">
              <w:rPr>
                <w:b/>
                <w:bCs/>
                <w:color w:val="000080"/>
                <w:lang w:val="en-US"/>
              </w:rPr>
              <w:t>varchar</w:t>
            </w:r>
            <w:r w:rsidRPr="00B46051">
              <w:rPr>
                <w:color w:val="000000"/>
                <w:lang w:val="en-US"/>
              </w:rPr>
              <w:t>(</w:t>
            </w:r>
            <w:r w:rsidRPr="00B46051">
              <w:rPr>
                <w:color w:val="0000FF"/>
                <w:lang w:val="en-US"/>
              </w:rPr>
              <w:t>100</w:t>
            </w:r>
            <w:r w:rsidRPr="00B46051">
              <w:rPr>
                <w:color w:val="000000"/>
                <w:lang w:val="en-US"/>
              </w:rPr>
              <w:t xml:space="preserve">) </w:t>
            </w:r>
            <w:r w:rsidRPr="00B46051">
              <w:rPr>
                <w:b/>
                <w:bCs/>
                <w:color w:val="800000"/>
                <w:lang w:val="en-US"/>
              </w:rPr>
              <w:t>not</w:t>
            </w:r>
            <w:r w:rsidRPr="00B46051">
              <w:rPr>
                <w:color w:val="000000"/>
                <w:lang w:val="en-US"/>
              </w:rPr>
              <w:t xml:space="preserve"> </w:t>
            </w:r>
            <w:r w:rsidRPr="00B46051">
              <w:rPr>
                <w:b/>
                <w:bCs/>
                <w:color w:val="800000"/>
                <w:lang w:val="en-US"/>
              </w:rPr>
              <w:t>null</w:t>
            </w:r>
          </w:p>
          <w:p w14:paraId="2B2D7088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46051">
              <w:rPr>
                <w:color w:val="000000"/>
                <w:lang w:val="en-US"/>
              </w:rPr>
              <w:t>)</w:t>
            </w:r>
            <w:r w:rsidRPr="00B46051">
              <w:rPr>
                <w:color w:val="FF0000"/>
                <w:lang w:val="en-US"/>
              </w:rPr>
              <w:t>;</w:t>
            </w:r>
          </w:p>
          <w:p w14:paraId="0942CAE1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26DD96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ProductSupplier</w:t>
            </w:r>
          </w:p>
          <w:p w14:paraId="2B3B13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46AB43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ProductSupplierID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C9146B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ProductArticleNumber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4C531AB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  <w:t xml:space="preserve">SupplierID </w:t>
            </w:r>
            <w:r w:rsidRPr="00B21F1A">
              <w:rPr>
                <w:b/>
                <w:bCs/>
                <w:color w:val="000080"/>
                <w:lang w:val="en-US"/>
              </w:rPr>
              <w:t>int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B35EEA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Product_ProductSupplier_fk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(ProductArticleNumber)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Product(ProductArticleNumber),</w:t>
            </w:r>
          </w:p>
          <w:p w14:paraId="4F121B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Supplier_ProductSupplier_fk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(SupplierID)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Suppliers(SupplierID)</w:t>
            </w:r>
            <w:r w:rsidRPr="00B21F1A">
              <w:rPr>
                <w:color w:val="000000"/>
                <w:lang w:val="en-US"/>
              </w:rPr>
              <w:tab/>
            </w:r>
          </w:p>
          <w:p w14:paraId="04C116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B21F1A">
              <w:rPr>
                <w:color w:val="000000"/>
              </w:rPr>
              <w:t>)</w:t>
            </w:r>
            <w:r w:rsidRPr="00B21F1A">
              <w:rPr>
                <w:color w:val="FF0000"/>
              </w:rPr>
              <w:t>;</w:t>
            </w:r>
          </w:p>
          <w:p w14:paraId="4314E2CB" w14:textId="77777777" w:rsidR="003F4C86" w:rsidRPr="00B21F1A" w:rsidRDefault="003F4C86" w:rsidP="00B21F1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4B614" w14:textId="77777777" w:rsidR="00D1402C" w:rsidRDefault="00D1402C" w:rsidP="00F93354">
      <w:pPr>
        <w:spacing w:after="0" w:line="240" w:lineRule="auto"/>
      </w:pPr>
      <w:r>
        <w:separator/>
      </w:r>
    </w:p>
  </w:endnote>
  <w:endnote w:type="continuationSeparator" w:id="0">
    <w:p w14:paraId="12C532EC" w14:textId="77777777" w:rsidR="00D1402C" w:rsidRDefault="00D1402C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EndPr/>
    <w:sdtContent>
      <w:p w14:paraId="2ED8A996" w14:textId="1C72C6DB" w:rsidR="00641AB2" w:rsidRPr="00593494" w:rsidRDefault="00641AB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B7421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641AB2" w:rsidRDefault="00641AB2">
    <w:pPr>
      <w:pStyle w:val="a8"/>
      <w:jc w:val="right"/>
    </w:pPr>
  </w:p>
  <w:p w14:paraId="4F5396CF" w14:textId="77777777" w:rsidR="00641AB2" w:rsidRPr="008F3F2A" w:rsidRDefault="00641AB2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FF4B9" w14:textId="77777777" w:rsidR="00D1402C" w:rsidRDefault="00D1402C" w:rsidP="00F93354">
      <w:pPr>
        <w:spacing w:after="0" w:line="240" w:lineRule="auto"/>
      </w:pPr>
      <w:r>
        <w:separator/>
      </w:r>
    </w:p>
  </w:footnote>
  <w:footnote w:type="continuationSeparator" w:id="0">
    <w:p w14:paraId="0836D308" w14:textId="77777777" w:rsidR="00D1402C" w:rsidRDefault="00D1402C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0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640B1"/>
    <w:multiLevelType w:val="hybridMultilevel"/>
    <w:tmpl w:val="F334BE48"/>
    <w:lvl w:ilvl="0" w:tplc="C5C819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3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12"/>
  </w:num>
  <w:num w:numId="4">
    <w:abstractNumId w:val="5"/>
  </w:num>
  <w:num w:numId="5">
    <w:abstractNumId w:val="32"/>
  </w:num>
  <w:num w:numId="6">
    <w:abstractNumId w:val="9"/>
  </w:num>
  <w:num w:numId="7">
    <w:abstractNumId w:val="34"/>
  </w:num>
  <w:num w:numId="8">
    <w:abstractNumId w:val="7"/>
  </w:num>
  <w:num w:numId="9">
    <w:abstractNumId w:val="22"/>
  </w:num>
  <w:num w:numId="10">
    <w:abstractNumId w:val="11"/>
  </w:num>
  <w:num w:numId="11">
    <w:abstractNumId w:val="37"/>
  </w:num>
  <w:num w:numId="12">
    <w:abstractNumId w:val="20"/>
  </w:num>
  <w:num w:numId="13">
    <w:abstractNumId w:val="21"/>
  </w:num>
  <w:num w:numId="14">
    <w:abstractNumId w:val="33"/>
  </w:num>
  <w:num w:numId="15">
    <w:abstractNumId w:val="1"/>
  </w:num>
  <w:num w:numId="16">
    <w:abstractNumId w:val="15"/>
  </w:num>
  <w:num w:numId="17">
    <w:abstractNumId w:val="38"/>
  </w:num>
  <w:num w:numId="18">
    <w:abstractNumId w:val="13"/>
  </w:num>
  <w:num w:numId="19">
    <w:abstractNumId w:val="6"/>
  </w:num>
  <w:num w:numId="20">
    <w:abstractNumId w:val="42"/>
  </w:num>
  <w:num w:numId="21">
    <w:abstractNumId w:val="10"/>
  </w:num>
  <w:num w:numId="22">
    <w:abstractNumId w:val="26"/>
  </w:num>
  <w:num w:numId="23">
    <w:abstractNumId w:val="17"/>
  </w:num>
  <w:num w:numId="24">
    <w:abstractNumId w:val="2"/>
  </w:num>
  <w:num w:numId="25">
    <w:abstractNumId w:val="41"/>
  </w:num>
  <w:num w:numId="26">
    <w:abstractNumId w:val="35"/>
  </w:num>
  <w:num w:numId="27">
    <w:abstractNumId w:val="27"/>
  </w:num>
  <w:num w:numId="28">
    <w:abstractNumId w:val="18"/>
  </w:num>
  <w:num w:numId="29">
    <w:abstractNumId w:val="36"/>
  </w:num>
  <w:num w:numId="30">
    <w:abstractNumId w:val="29"/>
  </w:num>
  <w:num w:numId="31">
    <w:abstractNumId w:val="16"/>
  </w:num>
  <w:num w:numId="32">
    <w:abstractNumId w:val="28"/>
  </w:num>
  <w:num w:numId="33">
    <w:abstractNumId w:val="25"/>
  </w:num>
  <w:num w:numId="34">
    <w:abstractNumId w:val="0"/>
  </w:num>
  <w:num w:numId="35">
    <w:abstractNumId w:val="14"/>
  </w:num>
  <w:num w:numId="36">
    <w:abstractNumId w:val="31"/>
  </w:num>
  <w:num w:numId="37">
    <w:abstractNumId w:val="39"/>
  </w:num>
  <w:num w:numId="38">
    <w:abstractNumId w:val="23"/>
  </w:num>
  <w:num w:numId="39">
    <w:abstractNumId w:val="19"/>
  </w:num>
  <w:num w:numId="40">
    <w:abstractNumId w:val="3"/>
  </w:num>
  <w:num w:numId="41">
    <w:abstractNumId w:val="24"/>
  </w:num>
  <w:num w:numId="42">
    <w:abstractNumId w:val="4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6537"/>
    <w:rsid w:val="0006408C"/>
    <w:rsid w:val="0009351B"/>
    <w:rsid w:val="000A7915"/>
    <w:rsid w:val="000B3FE1"/>
    <w:rsid w:val="000C1B01"/>
    <w:rsid w:val="000C3ACC"/>
    <w:rsid w:val="000C4086"/>
    <w:rsid w:val="000C60E6"/>
    <w:rsid w:val="000E6D86"/>
    <w:rsid w:val="000F1A08"/>
    <w:rsid w:val="00113D49"/>
    <w:rsid w:val="00121BE4"/>
    <w:rsid w:val="001247B0"/>
    <w:rsid w:val="00147BFB"/>
    <w:rsid w:val="00152049"/>
    <w:rsid w:val="00154482"/>
    <w:rsid w:val="00163002"/>
    <w:rsid w:val="00166951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4F72"/>
    <w:rsid w:val="002165FE"/>
    <w:rsid w:val="00220195"/>
    <w:rsid w:val="00222593"/>
    <w:rsid w:val="00225142"/>
    <w:rsid w:val="00230E33"/>
    <w:rsid w:val="002339B3"/>
    <w:rsid w:val="00240AE5"/>
    <w:rsid w:val="002443EA"/>
    <w:rsid w:val="00262B8C"/>
    <w:rsid w:val="0028240C"/>
    <w:rsid w:val="00291DE5"/>
    <w:rsid w:val="00292725"/>
    <w:rsid w:val="00292949"/>
    <w:rsid w:val="00297BC2"/>
    <w:rsid w:val="002B2A5A"/>
    <w:rsid w:val="002B7421"/>
    <w:rsid w:val="002C44E4"/>
    <w:rsid w:val="002C7E08"/>
    <w:rsid w:val="002F4EAD"/>
    <w:rsid w:val="002F6413"/>
    <w:rsid w:val="00304176"/>
    <w:rsid w:val="0030476B"/>
    <w:rsid w:val="00317455"/>
    <w:rsid w:val="00331697"/>
    <w:rsid w:val="00333C56"/>
    <w:rsid w:val="00343E64"/>
    <w:rsid w:val="00352D63"/>
    <w:rsid w:val="00361B77"/>
    <w:rsid w:val="00367FD9"/>
    <w:rsid w:val="00380182"/>
    <w:rsid w:val="003A3699"/>
    <w:rsid w:val="003B2668"/>
    <w:rsid w:val="003B5024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0A95"/>
    <w:rsid w:val="004817A8"/>
    <w:rsid w:val="004A2636"/>
    <w:rsid w:val="004B0C21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6FCB"/>
    <w:rsid w:val="00561799"/>
    <w:rsid w:val="00563791"/>
    <w:rsid w:val="00566E1A"/>
    <w:rsid w:val="00570BB2"/>
    <w:rsid w:val="00573BC0"/>
    <w:rsid w:val="00592303"/>
    <w:rsid w:val="00593494"/>
    <w:rsid w:val="005A62A9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9DD"/>
    <w:rsid w:val="00656FA6"/>
    <w:rsid w:val="00661756"/>
    <w:rsid w:val="006742E1"/>
    <w:rsid w:val="0067458F"/>
    <w:rsid w:val="006817A0"/>
    <w:rsid w:val="00682549"/>
    <w:rsid w:val="00685D93"/>
    <w:rsid w:val="0068657C"/>
    <w:rsid w:val="00693943"/>
    <w:rsid w:val="00693A0D"/>
    <w:rsid w:val="00695DBD"/>
    <w:rsid w:val="006A3273"/>
    <w:rsid w:val="006B02B4"/>
    <w:rsid w:val="006B20BC"/>
    <w:rsid w:val="006D4472"/>
    <w:rsid w:val="006D7917"/>
    <w:rsid w:val="006E3065"/>
    <w:rsid w:val="007003A4"/>
    <w:rsid w:val="007106DA"/>
    <w:rsid w:val="00710C16"/>
    <w:rsid w:val="00713843"/>
    <w:rsid w:val="00733394"/>
    <w:rsid w:val="007558DC"/>
    <w:rsid w:val="007620AF"/>
    <w:rsid w:val="0077162E"/>
    <w:rsid w:val="00773DDD"/>
    <w:rsid w:val="007827E5"/>
    <w:rsid w:val="007901A1"/>
    <w:rsid w:val="007978CB"/>
    <w:rsid w:val="007A2357"/>
    <w:rsid w:val="007A2857"/>
    <w:rsid w:val="007D0259"/>
    <w:rsid w:val="007D0991"/>
    <w:rsid w:val="007E7035"/>
    <w:rsid w:val="007F0922"/>
    <w:rsid w:val="007F793D"/>
    <w:rsid w:val="00821EC6"/>
    <w:rsid w:val="008225C4"/>
    <w:rsid w:val="00823664"/>
    <w:rsid w:val="008301F2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44E76"/>
    <w:rsid w:val="00962038"/>
    <w:rsid w:val="00962F8D"/>
    <w:rsid w:val="00991E99"/>
    <w:rsid w:val="00994F6B"/>
    <w:rsid w:val="009A30C4"/>
    <w:rsid w:val="009B06F3"/>
    <w:rsid w:val="009C6B93"/>
    <w:rsid w:val="009D22A3"/>
    <w:rsid w:val="009F0C52"/>
    <w:rsid w:val="00A0196F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B89"/>
    <w:rsid w:val="00A70623"/>
    <w:rsid w:val="00A82471"/>
    <w:rsid w:val="00A91EAA"/>
    <w:rsid w:val="00AA1EF1"/>
    <w:rsid w:val="00AA59E8"/>
    <w:rsid w:val="00AC48E2"/>
    <w:rsid w:val="00AD0BA0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B603D"/>
    <w:rsid w:val="00BC63FD"/>
    <w:rsid w:val="00BC713D"/>
    <w:rsid w:val="00BC73C3"/>
    <w:rsid w:val="00BD5574"/>
    <w:rsid w:val="00BD5F9C"/>
    <w:rsid w:val="00BE7863"/>
    <w:rsid w:val="00BF7569"/>
    <w:rsid w:val="00C02455"/>
    <w:rsid w:val="00C043E6"/>
    <w:rsid w:val="00C04594"/>
    <w:rsid w:val="00C21890"/>
    <w:rsid w:val="00C425A8"/>
    <w:rsid w:val="00C64DE7"/>
    <w:rsid w:val="00C6769B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1402C"/>
    <w:rsid w:val="00D20599"/>
    <w:rsid w:val="00D205E2"/>
    <w:rsid w:val="00D21FD6"/>
    <w:rsid w:val="00D226C8"/>
    <w:rsid w:val="00D27084"/>
    <w:rsid w:val="00D336E4"/>
    <w:rsid w:val="00D44AA3"/>
    <w:rsid w:val="00D51425"/>
    <w:rsid w:val="00D575C2"/>
    <w:rsid w:val="00D636BD"/>
    <w:rsid w:val="00D81BF6"/>
    <w:rsid w:val="00D97D7C"/>
    <w:rsid w:val="00DA2550"/>
    <w:rsid w:val="00DA49C0"/>
    <w:rsid w:val="00DA5442"/>
    <w:rsid w:val="00DA5CE8"/>
    <w:rsid w:val="00DA72D4"/>
    <w:rsid w:val="00DB6806"/>
    <w:rsid w:val="00DB7630"/>
    <w:rsid w:val="00DC73DF"/>
    <w:rsid w:val="00DD0662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3CB0"/>
    <w:rsid w:val="00E352BA"/>
    <w:rsid w:val="00E371C6"/>
    <w:rsid w:val="00E4004F"/>
    <w:rsid w:val="00E43FDE"/>
    <w:rsid w:val="00E73F12"/>
    <w:rsid w:val="00E74D07"/>
    <w:rsid w:val="00E9257A"/>
    <w:rsid w:val="00E92EE2"/>
    <w:rsid w:val="00EA4993"/>
    <w:rsid w:val="00EB4CD0"/>
    <w:rsid w:val="00ED6254"/>
    <w:rsid w:val="00ED6BCA"/>
    <w:rsid w:val="00EE1D74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6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360E-1F0E-437F-83C1-6933F236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20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110</cp:revision>
  <cp:lastPrinted>2016-04-26T07:30:00Z</cp:lastPrinted>
  <dcterms:created xsi:type="dcterms:W3CDTF">2022-05-28T06:59:00Z</dcterms:created>
  <dcterms:modified xsi:type="dcterms:W3CDTF">2025-03-12T13:30:00Z</dcterms:modified>
</cp:coreProperties>
</file>