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47718" w14:textId="77777777" w:rsidR="00F70A7F" w:rsidRPr="00615F8A" w:rsidRDefault="007E19AA" w:rsidP="003D4E8C">
      <w:pPr>
        <w:spacing w:line="276" w:lineRule="auto"/>
        <w:jc w:val="center"/>
        <w:rPr>
          <w:rStyle w:val="Strong"/>
          <w:rFonts w:ascii="Times New Roman" w:hAnsi="Times New Roman" w:cs="Times New Roman"/>
        </w:rPr>
      </w:pPr>
      <w:bookmarkStart w:id="0" w:name="_GoBack"/>
      <w:bookmarkEnd w:id="0"/>
      <w:r w:rsidRPr="00615F8A">
        <w:rPr>
          <w:rStyle w:val="Strong"/>
          <w:rFonts w:ascii="Times New Roman" w:hAnsi="Times New Roman" w:cs="Times New Roman"/>
        </w:rPr>
        <w:t>Too Much Hair? Subsampling for Cost Efficiency with Spatial Capture-Recapture Models</w:t>
      </w:r>
    </w:p>
    <w:p w14:paraId="5BB9BAD2" w14:textId="12A63330" w:rsidR="007E19AA" w:rsidRDefault="007E19AA" w:rsidP="003D4E8C">
      <w:pPr>
        <w:spacing w:line="276" w:lineRule="auto"/>
        <w:jc w:val="center"/>
        <w:rPr>
          <w:rStyle w:val="SubtleEmphasis"/>
          <w:rFonts w:ascii="Times New Roman" w:hAnsi="Times New Roman" w:cs="Times New Roman"/>
        </w:rPr>
      </w:pPr>
      <w:r w:rsidRPr="00615F8A">
        <w:rPr>
          <w:rStyle w:val="SubtleEmphasis"/>
          <w:rFonts w:ascii="Times New Roman" w:hAnsi="Times New Roman" w:cs="Times New Roman"/>
        </w:rPr>
        <w:t>Nick Gondek</w:t>
      </w:r>
      <w:r w:rsidR="00553406">
        <w:rPr>
          <w:rStyle w:val="SubtleEmphasis"/>
          <w:rFonts w:ascii="Times New Roman" w:hAnsi="Times New Roman" w:cs="Times New Roman"/>
          <w:vertAlign w:val="superscript"/>
        </w:rPr>
        <w:t>1</w:t>
      </w:r>
    </w:p>
    <w:p w14:paraId="0D06676C" w14:textId="0DA4734E" w:rsidR="00553406" w:rsidRPr="00553406" w:rsidRDefault="00553406" w:rsidP="00553406">
      <w:pPr>
        <w:spacing w:line="276" w:lineRule="auto"/>
        <w:rPr>
          <w:rStyle w:val="SubtleEmphasis"/>
          <w:rFonts w:ascii="Times New Roman" w:hAnsi="Times New Roman" w:cs="Times New Roman"/>
        </w:rPr>
      </w:pPr>
      <w:r>
        <w:rPr>
          <w:rStyle w:val="SubtleEmphasis"/>
          <w:rFonts w:ascii="Times New Roman" w:hAnsi="Times New Roman" w:cs="Times New Roman"/>
          <w:vertAlign w:val="superscript"/>
        </w:rPr>
        <w:t>1</w:t>
      </w:r>
      <w:r>
        <w:rPr>
          <w:rStyle w:val="SubtleEmphasis"/>
          <w:rFonts w:ascii="Times New Roman" w:hAnsi="Times New Roman" w:cs="Times New Roman"/>
        </w:rPr>
        <w:t xml:space="preserve">Department of Fisheries, Wildlife and Conservation Biology, </w:t>
      </w:r>
      <w:r w:rsidRPr="00553406">
        <w:rPr>
          <w:rStyle w:val="SubtleEmphasis"/>
          <w:rFonts w:ascii="Times New Roman" w:hAnsi="Times New Roman" w:cs="Times New Roman"/>
        </w:rPr>
        <w:t>University of Minnesota</w:t>
      </w:r>
      <w:r>
        <w:rPr>
          <w:rStyle w:val="SubtleEmphasis"/>
          <w:rFonts w:ascii="Times New Roman" w:hAnsi="Times New Roman" w:cs="Times New Roman"/>
        </w:rPr>
        <w:t>; email:gonde012@umn.edu</w:t>
      </w:r>
    </w:p>
    <w:p w14:paraId="7F40E1BA" w14:textId="77777777" w:rsidR="007E19AA" w:rsidRPr="00615F8A" w:rsidRDefault="007E19AA" w:rsidP="003D4E8C">
      <w:pPr>
        <w:spacing w:line="276" w:lineRule="auto"/>
        <w:jc w:val="center"/>
        <w:rPr>
          <w:rFonts w:ascii="Times New Roman" w:hAnsi="Times New Roman" w:cs="Times New Roman"/>
          <w:sz w:val="24"/>
          <w:szCs w:val="24"/>
        </w:rPr>
      </w:pPr>
    </w:p>
    <w:p w14:paraId="77209BCC" w14:textId="77777777" w:rsidR="007E19AA" w:rsidRPr="00615F8A" w:rsidRDefault="007E19AA" w:rsidP="003D4E8C">
      <w:pPr>
        <w:spacing w:line="276" w:lineRule="auto"/>
        <w:jc w:val="center"/>
        <w:rPr>
          <w:rStyle w:val="Strong"/>
          <w:rFonts w:ascii="Times New Roman" w:hAnsi="Times New Roman" w:cs="Times New Roman"/>
        </w:rPr>
      </w:pPr>
      <w:r w:rsidRPr="00615F8A">
        <w:rPr>
          <w:rStyle w:val="Strong"/>
          <w:rFonts w:ascii="Times New Roman" w:hAnsi="Times New Roman" w:cs="Times New Roman"/>
        </w:rPr>
        <w:t>ABSTRACT</w:t>
      </w:r>
    </w:p>
    <w:p w14:paraId="3905CB6F" w14:textId="77777777" w:rsidR="007E19AA" w:rsidRPr="00615F8A" w:rsidRDefault="007E19AA" w:rsidP="003D4E8C">
      <w:pPr>
        <w:spacing w:line="276" w:lineRule="auto"/>
        <w:rPr>
          <w:rStyle w:val="Strong"/>
          <w:rFonts w:ascii="Times New Roman" w:hAnsi="Times New Roman" w:cs="Times New Roman"/>
          <w:sz w:val="24"/>
          <w:szCs w:val="24"/>
        </w:rPr>
      </w:pPr>
      <w:r w:rsidRPr="00615F8A">
        <w:rPr>
          <w:rStyle w:val="Strong"/>
          <w:rFonts w:ascii="Times New Roman" w:hAnsi="Times New Roman" w:cs="Times New Roman"/>
          <w:sz w:val="24"/>
          <w:szCs w:val="24"/>
        </w:rPr>
        <w:t>INTRODUCTION</w:t>
      </w:r>
      <w:r w:rsidRPr="00615F8A">
        <w:rPr>
          <w:rFonts w:ascii="Times New Roman" w:hAnsi="Times New Roman" w:cs="Times New Roman"/>
          <w:noProof/>
          <w:sz w:val="24"/>
          <w:szCs w:val="24"/>
        </w:rPr>
        <w:t xml:space="preserve"> </w:t>
      </w:r>
    </w:p>
    <w:p w14:paraId="2E5A3193" w14:textId="77777777" w:rsidR="007E19AA" w:rsidRPr="00615F8A" w:rsidRDefault="007E19AA" w:rsidP="003D4E8C">
      <w:pPr>
        <w:spacing w:line="276" w:lineRule="auto"/>
        <w:rPr>
          <w:rStyle w:val="Strong"/>
          <w:rFonts w:ascii="Times New Roman" w:hAnsi="Times New Roman" w:cs="Times New Roman"/>
          <w:sz w:val="24"/>
          <w:szCs w:val="24"/>
        </w:rPr>
      </w:pPr>
      <w:r w:rsidRPr="00615F8A">
        <w:rPr>
          <w:rStyle w:val="Strong"/>
          <w:rFonts w:ascii="Times New Roman" w:hAnsi="Times New Roman" w:cs="Times New Roman"/>
          <w:sz w:val="24"/>
          <w:szCs w:val="24"/>
        </w:rPr>
        <w:t>METHODS</w:t>
      </w:r>
    </w:p>
    <w:p w14:paraId="552C9C7B" w14:textId="77777777" w:rsidR="00B64293" w:rsidRPr="00615F8A" w:rsidRDefault="00B64293" w:rsidP="003D4E8C">
      <w:pPr>
        <w:spacing w:line="276" w:lineRule="auto"/>
        <w:rPr>
          <w:rStyle w:val="Strong"/>
          <w:rFonts w:ascii="Times New Roman" w:hAnsi="Times New Roman" w:cs="Times New Roman"/>
        </w:rPr>
      </w:pPr>
      <w:r w:rsidRPr="00615F8A">
        <w:rPr>
          <w:rStyle w:val="Strong"/>
          <w:rFonts w:ascii="Times New Roman" w:hAnsi="Times New Roman" w:cs="Times New Roman"/>
        </w:rPr>
        <w:t>Model Structure</w:t>
      </w:r>
    </w:p>
    <w:p w14:paraId="2B7C10D9" w14:textId="77777777" w:rsidR="00B64293" w:rsidRPr="00615F8A" w:rsidRDefault="00B64293" w:rsidP="003D4E8C">
      <w:pPr>
        <w:spacing w:line="276" w:lineRule="auto"/>
        <w:rPr>
          <w:rStyle w:val="Strong"/>
          <w:rFonts w:ascii="Times New Roman" w:hAnsi="Times New Roman" w:cs="Times New Roman"/>
        </w:rPr>
      </w:pPr>
      <w:r w:rsidRPr="00615F8A">
        <w:rPr>
          <w:rStyle w:val="Strong"/>
          <w:rFonts w:ascii="Times New Roman" w:hAnsi="Times New Roman" w:cs="Times New Roman"/>
        </w:rPr>
        <w:t>Subsampling</w:t>
      </w:r>
    </w:p>
    <w:p w14:paraId="5E2B3D43" w14:textId="489892D8" w:rsidR="00AD2C62" w:rsidRDefault="00B64293" w:rsidP="003D4E8C">
      <w:pPr>
        <w:spacing w:line="276" w:lineRule="auto"/>
        <w:rPr>
          <w:rStyle w:val="Strong"/>
          <w:rFonts w:ascii="Times New Roman" w:hAnsi="Times New Roman" w:cs="Times New Roman"/>
          <w:b w:val="0"/>
          <w:sz w:val="24"/>
          <w:szCs w:val="24"/>
        </w:rPr>
      </w:pPr>
      <w:r w:rsidRPr="00615F8A">
        <w:rPr>
          <w:rStyle w:val="Strong"/>
          <w:rFonts w:ascii="Times New Roman" w:hAnsi="Times New Roman" w:cs="Times New Roman"/>
        </w:rPr>
        <w:tab/>
      </w:r>
      <w:r w:rsidR="006146C1" w:rsidRPr="00615F8A">
        <w:rPr>
          <w:rStyle w:val="Strong"/>
          <w:rFonts w:ascii="Times New Roman" w:hAnsi="Times New Roman" w:cs="Times New Roman"/>
          <w:b w:val="0"/>
          <w:sz w:val="24"/>
          <w:szCs w:val="24"/>
        </w:rPr>
        <w:t xml:space="preserve">The dataset analyzed in this experiment represents the 1019 successfully genotyped hair clusters of the 1642 clusters collected in Noyce and Garshelis 2013. In the effort to identify individuals using these samples, </w:t>
      </w:r>
      <w:r w:rsidR="00B808BA" w:rsidRPr="00615F8A">
        <w:rPr>
          <w:rStyle w:val="Strong"/>
          <w:rFonts w:ascii="Times New Roman" w:hAnsi="Times New Roman" w:cs="Times New Roman"/>
          <w:b w:val="0"/>
          <w:sz w:val="24"/>
          <w:szCs w:val="24"/>
        </w:rPr>
        <w:t>83.24</w:t>
      </w:r>
      <w:r w:rsidR="006146C1" w:rsidRPr="00615F8A">
        <w:rPr>
          <w:rStyle w:val="Strong"/>
          <w:rFonts w:ascii="Times New Roman" w:hAnsi="Times New Roman" w:cs="Times New Roman"/>
          <w:b w:val="0"/>
          <w:sz w:val="24"/>
          <w:szCs w:val="24"/>
        </w:rPr>
        <w:t>% of samples were submitted for analysis (</w:t>
      </w:r>
      <w:r w:rsidR="00B808BA" w:rsidRPr="00615F8A">
        <w:rPr>
          <w:rStyle w:val="Strong"/>
          <w:rFonts w:ascii="Times New Roman" w:hAnsi="Times New Roman" w:cs="Times New Roman"/>
          <w:b w:val="0"/>
          <w:sz w:val="24"/>
          <w:szCs w:val="24"/>
        </w:rPr>
        <w:t>1234 of 148</w:t>
      </w:r>
      <w:r w:rsidR="006146C1" w:rsidRPr="00615F8A">
        <w:rPr>
          <w:rStyle w:val="Strong"/>
          <w:rFonts w:ascii="Times New Roman" w:hAnsi="Times New Roman" w:cs="Times New Roman"/>
          <w:b w:val="0"/>
          <w:sz w:val="24"/>
          <w:szCs w:val="24"/>
        </w:rPr>
        <w:t xml:space="preserve">2), and </w:t>
      </w:r>
      <w:r w:rsidR="00B808BA" w:rsidRPr="00615F8A">
        <w:rPr>
          <w:rStyle w:val="Strong"/>
          <w:rFonts w:ascii="Times New Roman" w:hAnsi="Times New Roman" w:cs="Times New Roman"/>
          <w:b w:val="0"/>
          <w:sz w:val="24"/>
          <w:szCs w:val="24"/>
        </w:rPr>
        <w:t>82.58</w:t>
      </w:r>
      <w:r w:rsidR="006146C1" w:rsidRPr="00615F8A">
        <w:rPr>
          <w:rStyle w:val="Strong"/>
          <w:rFonts w:ascii="Times New Roman" w:hAnsi="Times New Roman" w:cs="Times New Roman"/>
          <w:b w:val="0"/>
          <w:sz w:val="24"/>
          <w:szCs w:val="24"/>
        </w:rPr>
        <w:t>% of these submitted samples resulted in the successful identification of an individual</w:t>
      </w:r>
      <w:r w:rsidR="00B808BA" w:rsidRPr="00615F8A">
        <w:rPr>
          <w:rStyle w:val="Strong"/>
          <w:rFonts w:ascii="Times New Roman" w:hAnsi="Times New Roman" w:cs="Times New Roman"/>
          <w:b w:val="0"/>
          <w:sz w:val="24"/>
          <w:szCs w:val="24"/>
        </w:rPr>
        <w:t xml:space="preserve"> (1019 of 1234)</w:t>
      </w:r>
      <w:r w:rsidR="006146C1" w:rsidRPr="00615F8A">
        <w:rPr>
          <w:rStyle w:val="Strong"/>
          <w:rFonts w:ascii="Times New Roman" w:hAnsi="Times New Roman" w:cs="Times New Roman"/>
          <w:b w:val="0"/>
          <w:sz w:val="24"/>
          <w:szCs w:val="24"/>
        </w:rPr>
        <w:t xml:space="preserve">. </w:t>
      </w:r>
      <w:r w:rsidR="00B808BA" w:rsidRPr="00615F8A">
        <w:rPr>
          <w:rStyle w:val="Strong"/>
          <w:rFonts w:ascii="Times New Roman" w:hAnsi="Times New Roman" w:cs="Times New Roman"/>
          <w:b w:val="0"/>
          <w:sz w:val="24"/>
          <w:szCs w:val="24"/>
        </w:rPr>
        <w:t xml:space="preserve">Only successful samples were included in subsampling in order to </w:t>
      </w:r>
      <w:r w:rsidR="00615F8A" w:rsidRPr="00615F8A">
        <w:rPr>
          <w:rStyle w:val="Strong"/>
          <w:rFonts w:ascii="Times New Roman" w:hAnsi="Times New Roman" w:cs="Times New Roman"/>
          <w:b w:val="0"/>
          <w:sz w:val="24"/>
          <w:szCs w:val="24"/>
        </w:rPr>
        <w:t xml:space="preserve">avoid confounding subsampling type with number of samples analyzed by the SECR model. </w:t>
      </w:r>
    </w:p>
    <w:p w14:paraId="6B2F4D45" w14:textId="0F4EC91F" w:rsidR="00AD2C62" w:rsidRDefault="00AD2C62" w:rsidP="003D4E8C">
      <w:pPr>
        <w:spacing w:after="0" w:line="276" w:lineRule="auto"/>
        <w:rPr>
          <w:rStyle w:val="Strong"/>
          <w:rFonts w:ascii="Times New Roman" w:hAnsi="Times New Roman" w:cs="Times New Roman"/>
          <w:b w:val="0"/>
          <w:sz w:val="24"/>
          <w:szCs w:val="24"/>
        </w:rPr>
      </w:pPr>
      <w:r>
        <w:rPr>
          <w:noProof/>
        </w:rPr>
        <w:drawing>
          <wp:inline distT="0" distB="0" distL="0" distR="0" wp14:anchorId="5C8671F7" wp14:editId="50B8D75F">
            <wp:extent cx="5943600" cy="1498600"/>
            <wp:effectExtent l="19050" t="19050" r="1905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98600"/>
                    </a:xfrm>
                    <a:prstGeom prst="rect">
                      <a:avLst/>
                    </a:prstGeom>
                    <a:ln>
                      <a:solidFill>
                        <a:schemeClr val="tx1"/>
                      </a:solidFill>
                    </a:ln>
                  </pic:spPr>
                </pic:pic>
              </a:graphicData>
            </a:graphic>
          </wp:inline>
        </w:drawing>
      </w:r>
    </w:p>
    <w:p w14:paraId="20464B74" w14:textId="62F8647C" w:rsidR="00AD2C62" w:rsidRDefault="00AD2C62" w:rsidP="003D4E8C">
      <w:pPr>
        <w:spacing w:after="0" w:line="276"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Pr>
          <w:rStyle w:val="Strong"/>
          <w:rFonts w:ascii="Times New Roman" w:hAnsi="Times New Roman" w:cs="Times New Roman"/>
          <w:b w:val="0"/>
          <w:i/>
          <w:sz w:val="24"/>
          <w:szCs w:val="24"/>
        </w:rPr>
        <w:t xml:space="preserve">Figure 2. </w:t>
      </w:r>
      <w:r w:rsidR="000F73EF">
        <w:rPr>
          <w:rStyle w:val="Strong"/>
          <w:rFonts w:ascii="Times New Roman" w:hAnsi="Times New Roman" w:cs="Times New Roman"/>
          <w:b w:val="0"/>
          <w:sz w:val="24"/>
          <w:szCs w:val="24"/>
        </w:rPr>
        <w:t xml:space="preserve">Visual representation of subsampling types. </w:t>
      </w:r>
    </w:p>
    <w:p w14:paraId="0F83A49B" w14:textId="400C164F" w:rsidR="000F73EF" w:rsidRDefault="000F73EF" w:rsidP="003D4E8C">
      <w:pPr>
        <w:spacing w:before="240" w:line="276"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 xml:space="preserve">Figure 2 illustrates the four subsampling types chosen in this experiment. These were chosen in accordance with existing subsampling strategies used by wildlife managers </w:t>
      </w:r>
      <w:r w:rsidRPr="00A82922">
        <w:rPr>
          <w:rStyle w:val="Strong"/>
          <w:rFonts w:ascii="Times New Roman" w:hAnsi="Times New Roman" w:cs="Times New Roman"/>
          <w:b w:val="0"/>
          <w:sz w:val="24"/>
          <w:szCs w:val="24"/>
          <w:highlight w:val="cyan"/>
        </w:rPr>
        <w:t>(citation needed).</w:t>
      </w:r>
      <w:r>
        <w:rPr>
          <w:rStyle w:val="Strong"/>
          <w:rFonts w:ascii="Times New Roman" w:hAnsi="Times New Roman" w:cs="Times New Roman"/>
          <w:b w:val="0"/>
          <w:sz w:val="24"/>
          <w:szCs w:val="24"/>
        </w:rPr>
        <w:t xml:space="preserve"> The subsampling types are:</w:t>
      </w:r>
    </w:p>
    <w:p w14:paraId="2AC0ABC4" w14:textId="5F17138A" w:rsidR="000F73EF" w:rsidRDefault="000F73EF" w:rsidP="003D4E8C">
      <w:pPr>
        <w:pStyle w:val="ListParagraph"/>
        <w:numPr>
          <w:ilvl w:val="0"/>
          <w:numId w:val="1"/>
        </w:numPr>
        <w:spacing w:before="240" w:line="276" w:lineRule="auto"/>
        <w:rPr>
          <w:rStyle w:val="Strong"/>
          <w:rFonts w:ascii="Times New Roman" w:hAnsi="Times New Roman" w:cs="Times New Roman"/>
          <w:b w:val="0"/>
          <w:sz w:val="24"/>
          <w:szCs w:val="24"/>
        </w:rPr>
      </w:pPr>
      <w:r w:rsidRPr="000F73EF">
        <w:rPr>
          <w:rStyle w:val="Strong"/>
          <w:rFonts w:ascii="Times New Roman" w:hAnsi="Times New Roman" w:cs="Times New Roman"/>
          <w:b w:val="0"/>
          <w:i/>
          <w:sz w:val="24"/>
          <w:szCs w:val="24"/>
        </w:rPr>
        <w:t>SimpleRandom</w:t>
      </w:r>
      <w:r>
        <w:rPr>
          <w:rStyle w:val="Strong"/>
          <w:rFonts w:ascii="Times New Roman" w:hAnsi="Times New Roman" w:cs="Times New Roman"/>
          <w:b w:val="0"/>
          <w:sz w:val="24"/>
          <w:szCs w:val="24"/>
        </w:rPr>
        <w:t xml:space="preserve"> – n samples are chosen at random from the entire data set, without respect to period or site. </w:t>
      </w:r>
      <w:r w:rsidR="008014E3">
        <w:rPr>
          <w:rStyle w:val="Strong"/>
          <w:rFonts w:ascii="Times New Roman" w:hAnsi="Times New Roman" w:cs="Times New Roman"/>
          <w:b w:val="0"/>
          <w:sz w:val="24"/>
          <w:szCs w:val="24"/>
        </w:rPr>
        <w:t>This type of sampling is, on average, most representative of the original data set; for example, site-sessions that have a large number of samples would</w:t>
      </w:r>
      <w:r w:rsidR="00586478">
        <w:rPr>
          <w:rStyle w:val="Strong"/>
          <w:rFonts w:ascii="Times New Roman" w:hAnsi="Times New Roman" w:cs="Times New Roman"/>
          <w:b w:val="0"/>
          <w:sz w:val="24"/>
          <w:szCs w:val="24"/>
        </w:rPr>
        <w:t xml:space="preserve"> have a the largest number of samples in the subsample, and site-sessions with only one sample are unlikely to be chosen.</w:t>
      </w:r>
    </w:p>
    <w:p w14:paraId="72803A73" w14:textId="4E1B7001" w:rsidR="000F73EF" w:rsidRDefault="000F73EF" w:rsidP="003D4E8C">
      <w:pPr>
        <w:pStyle w:val="ListParagraph"/>
        <w:numPr>
          <w:ilvl w:val="0"/>
          <w:numId w:val="1"/>
        </w:numPr>
        <w:spacing w:before="240" w:line="276" w:lineRule="auto"/>
        <w:rPr>
          <w:rStyle w:val="Strong"/>
          <w:rFonts w:ascii="Times New Roman" w:hAnsi="Times New Roman" w:cs="Times New Roman"/>
          <w:b w:val="0"/>
          <w:sz w:val="24"/>
          <w:szCs w:val="24"/>
        </w:rPr>
      </w:pPr>
      <w:r>
        <w:rPr>
          <w:rStyle w:val="Strong"/>
          <w:rFonts w:ascii="Times New Roman" w:hAnsi="Times New Roman" w:cs="Times New Roman"/>
          <w:b w:val="0"/>
          <w:i/>
          <w:sz w:val="24"/>
          <w:szCs w:val="24"/>
        </w:rPr>
        <w:lastRenderedPageBreak/>
        <w:t xml:space="preserve">Stratified </w:t>
      </w:r>
      <w:r>
        <w:rPr>
          <w:rStyle w:val="Strong"/>
          <w:rFonts w:ascii="Times New Roman" w:hAnsi="Times New Roman" w:cs="Times New Roman"/>
          <w:b w:val="0"/>
          <w:sz w:val="24"/>
          <w:szCs w:val="24"/>
        </w:rPr>
        <w:t xml:space="preserve">– n/6 samples are chosen at random from each of 6 </w:t>
      </w:r>
      <w:r w:rsidR="008014E3">
        <w:rPr>
          <w:rStyle w:val="Strong"/>
          <w:rFonts w:ascii="Times New Roman" w:hAnsi="Times New Roman" w:cs="Times New Roman"/>
          <w:b w:val="0"/>
          <w:sz w:val="24"/>
          <w:szCs w:val="24"/>
        </w:rPr>
        <w:t>sessions</w:t>
      </w:r>
      <w:r>
        <w:rPr>
          <w:rStyle w:val="Strong"/>
          <w:rFonts w:ascii="Times New Roman" w:hAnsi="Times New Roman" w:cs="Times New Roman"/>
          <w:b w:val="0"/>
          <w:sz w:val="24"/>
          <w:szCs w:val="24"/>
        </w:rPr>
        <w:t xml:space="preserve">, without respect to site. </w:t>
      </w:r>
      <w:r w:rsidR="008014E3">
        <w:rPr>
          <w:rStyle w:val="Strong"/>
          <w:rFonts w:ascii="Times New Roman" w:hAnsi="Times New Roman" w:cs="Times New Roman"/>
          <w:b w:val="0"/>
          <w:sz w:val="24"/>
          <w:szCs w:val="24"/>
        </w:rPr>
        <w:t xml:space="preserve">It is important to note that this differs from a true stratified random sample, where the number of samples chosen from each session would be weighted by the number of samples in each session relative to the number of samples overall. </w:t>
      </w:r>
    </w:p>
    <w:p w14:paraId="3BF2C678" w14:textId="52FA4E37" w:rsidR="000F73EF" w:rsidRDefault="000F73EF" w:rsidP="003D4E8C">
      <w:pPr>
        <w:pStyle w:val="ListParagraph"/>
        <w:numPr>
          <w:ilvl w:val="0"/>
          <w:numId w:val="1"/>
        </w:numPr>
        <w:spacing w:before="240" w:line="276" w:lineRule="auto"/>
        <w:rPr>
          <w:rStyle w:val="Strong"/>
          <w:rFonts w:ascii="Times New Roman" w:hAnsi="Times New Roman" w:cs="Times New Roman"/>
          <w:b w:val="0"/>
          <w:sz w:val="24"/>
          <w:szCs w:val="24"/>
        </w:rPr>
      </w:pPr>
      <w:r>
        <w:rPr>
          <w:rStyle w:val="Strong"/>
          <w:rFonts w:ascii="Times New Roman" w:hAnsi="Times New Roman" w:cs="Times New Roman"/>
          <w:b w:val="0"/>
          <w:i/>
          <w:sz w:val="24"/>
          <w:szCs w:val="24"/>
        </w:rPr>
        <w:t xml:space="preserve">Spread.one </w:t>
      </w:r>
      <w:r>
        <w:rPr>
          <w:rStyle w:val="Strong"/>
          <w:rFonts w:ascii="Times New Roman" w:hAnsi="Times New Roman" w:cs="Times New Roman"/>
          <w:b w:val="0"/>
          <w:sz w:val="24"/>
          <w:szCs w:val="24"/>
        </w:rPr>
        <w:softHyphen/>
        <w:t>–</w:t>
      </w:r>
      <w:r w:rsidR="00586478">
        <w:rPr>
          <w:rStyle w:val="Strong"/>
          <w:rFonts w:ascii="Times New Roman" w:hAnsi="Times New Roman" w:cs="Times New Roman"/>
          <w:b w:val="0"/>
          <w:sz w:val="24"/>
          <w:szCs w:val="24"/>
        </w:rPr>
        <w:t xml:space="preserve"> one</w:t>
      </w:r>
      <w:r>
        <w:rPr>
          <w:rStyle w:val="Strong"/>
          <w:rFonts w:ascii="Times New Roman" w:hAnsi="Times New Roman" w:cs="Times New Roman"/>
          <w:b w:val="0"/>
          <w:sz w:val="24"/>
          <w:szCs w:val="24"/>
        </w:rPr>
        <w:t xml:space="preserve"> sample is chosen</w:t>
      </w:r>
      <w:r w:rsidR="008014E3">
        <w:rPr>
          <w:rStyle w:val="Strong"/>
          <w:rFonts w:ascii="Times New Roman" w:hAnsi="Times New Roman" w:cs="Times New Roman"/>
          <w:b w:val="0"/>
          <w:sz w:val="24"/>
          <w:szCs w:val="24"/>
        </w:rPr>
        <w:t xml:space="preserve"> from unique site-session. After this, samples are chosen randomly until n samples are aggregated. </w:t>
      </w:r>
    </w:p>
    <w:p w14:paraId="1DE00305" w14:textId="486FB400" w:rsidR="008014E3" w:rsidRDefault="008014E3" w:rsidP="003D4E8C">
      <w:pPr>
        <w:pStyle w:val="ListParagraph"/>
        <w:numPr>
          <w:ilvl w:val="0"/>
          <w:numId w:val="1"/>
        </w:numPr>
        <w:spacing w:before="240" w:line="276" w:lineRule="auto"/>
        <w:rPr>
          <w:rStyle w:val="Strong"/>
          <w:rFonts w:ascii="Times New Roman" w:hAnsi="Times New Roman" w:cs="Times New Roman"/>
          <w:b w:val="0"/>
          <w:sz w:val="24"/>
          <w:szCs w:val="24"/>
        </w:rPr>
      </w:pPr>
      <w:r>
        <w:rPr>
          <w:rStyle w:val="Strong"/>
          <w:rFonts w:ascii="Times New Roman" w:hAnsi="Times New Roman" w:cs="Times New Roman"/>
          <w:b w:val="0"/>
          <w:i/>
          <w:sz w:val="24"/>
          <w:szCs w:val="24"/>
        </w:rPr>
        <w:t xml:space="preserve">Spread.two </w:t>
      </w:r>
      <w:r>
        <w:rPr>
          <w:rStyle w:val="Strong"/>
          <w:rFonts w:ascii="Times New Roman" w:hAnsi="Times New Roman" w:cs="Times New Roman"/>
          <w:b w:val="0"/>
          <w:sz w:val="24"/>
          <w:szCs w:val="24"/>
        </w:rPr>
        <w:softHyphen/>
        <w:t>–</w:t>
      </w:r>
      <w:r w:rsidR="00586478">
        <w:rPr>
          <w:rStyle w:val="Strong"/>
          <w:rFonts w:ascii="Times New Roman" w:hAnsi="Times New Roman" w:cs="Times New Roman"/>
          <w:b w:val="0"/>
          <w:sz w:val="24"/>
          <w:szCs w:val="24"/>
        </w:rPr>
        <w:t xml:space="preserve"> two </w:t>
      </w:r>
      <w:r>
        <w:rPr>
          <w:rStyle w:val="Strong"/>
          <w:rFonts w:ascii="Times New Roman" w:hAnsi="Times New Roman" w:cs="Times New Roman"/>
          <w:b w:val="0"/>
          <w:sz w:val="24"/>
          <w:szCs w:val="24"/>
        </w:rPr>
        <w:t xml:space="preserve">samples are chosen from each unique site-session. After this, samples are chosen randomly until n samples are aggregated. </w:t>
      </w:r>
      <w:r w:rsidR="00586478">
        <w:rPr>
          <w:rStyle w:val="Strong"/>
          <w:rFonts w:ascii="Times New Roman" w:hAnsi="Times New Roman" w:cs="Times New Roman"/>
          <w:b w:val="0"/>
          <w:sz w:val="24"/>
          <w:szCs w:val="24"/>
        </w:rPr>
        <w:t>This method is least representative of the original data, and most uniform with respect to site-session; for example, each unique site-session with only one or two samples have both of those samples chosen, and site-sessions with large amounts of samples are under-represented relative to the original dataset.</w:t>
      </w:r>
    </w:p>
    <w:p w14:paraId="57F5D11C" w14:textId="3AADB798" w:rsidR="00586478" w:rsidRDefault="00586478" w:rsidP="003D4E8C">
      <w:pPr>
        <w:spacing w:before="240" w:line="276" w:lineRule="auto"/>
        <w:rPr>
          <w:rStyle w:val="Strong"/>
          <w:rFonts w:ascii="Times New Roman" w:hAnsi="Times New Roman" w:cs="Times New Roman"/>
          <w:sz w:val="24"/>
          <w:szCs w:val="24"/>
        </w:rPr>
      </w:pPr>
      <w:r w:rsidRPr="00586478">
        <w:rPr>
          <w:rStyle w:val="Strong"/>
          <w:rFonts w:ascii="Times New Roman" w:hAnsi="Times New Roman" w:cs="Times New Roman"/>
          <w:sz w:val="24"/>
          <w:szCs w:val="24"/>
        </w:rPr>
        <w:t>Model Fittin</w:t>
      </w:r>
      <w:r w:rsidR="00170B7B" w:rsidRPr="00586478">
        <w:rPr>
          <w:rStyle w:val="Strong"/>
          <w:rFonts w:ascii="Times New Roman" w:hAnsi="Times New Roman" w:cs="Times New Roman"/>
          <w:sz w:val="24"/>
          <w:szCs w:val="24"/>
        </w:rPr>
        <w:t>g</w:t>
      </w:r>
    </w:p>
    <w:p w14:paraId="3BE9D675" w14:textId="32E0C5D4" w:rsidR="00586478" w:rsidRPr="001C003C" w:rsidRDefault="00586478" w:rsidP="003D4E8C">
      <w:pPr>
        <w:spacing w:before="240" w:line="276" w:lineRule="auto"/>
        <w:rPr>
          <w:rStyle w:val="Strong"/>
          <w:rFonts w:ascii="Times New Roman" w:hAnsi="Times New Roman" w:cs="Times New Roman"/>
          <w:b w:val="0"/>
          <w:sz w:val="24"/>
          <w:szCs w:val="24"/>
        </w:rPr>
      </w:pPr>
      <w:r>
        <w:rPr>
          <w:rStyle w:val="Strong"/>
          <w:rFonts w:ascii="Times New Roman" w:hAnsi="Times New Roman" w:cs="Times New Roman"/>
          <w:sz w:val="24"/>
          <w:szCs w:val="24"/>
        </w:rPr>
        <w:tab/>
      </w:r>
      <w:r w:rsidR="001C003C">
        <w:rPr>
          <w:rStyle w:val="Strong"/>
          <w:rFonts w:ascii="Times New Roman" w:hAnsi="Times New Roman" w:cs="Times New Roman"/>
          <w:b w:val="0"/>
          <w:sz w:val="24"/>
          <w:szCs w:val="24"/>
        </w:rPr>
        <w:t xml:space="preserve">After subsampling, a SECR model was fit with 5 varying </w:t>
      </w:r>
      <w:r w:rsidR="00961032">
        <w:rPr>
          <w:rStyle w:val="Strong"/>
          <w:rFonts w:ascii="Times New Roman" w:hAnsi="Times New Roman" w:cs="Times New Roman"/>
          <w:b w:val="0"/>
          <w:sz w:val="24"/>
          <w:szCs w:val="24"/>
        </w:rPr>
        <w:t>covariate combinations</w:t>
      </w:r>
      <w:r w:rsidR="001C003C">
        <w:rPr>
          <w:rStyle w:val="Strong"/>
          <w:rFonts w:ascii="Times New Roman" w:hAnsi="Times New Roman" w:cs="Times New Roman"/>
          <w:b w:val="0"/>
          <w:sz w:val="24"/>
          <w:szCs w:val="24"/>
        </w:rPr>
        <w:t xml:space="preserve">. </w:t>
      </w:r>
      <w:r w:rsidR="00170B7B">
        <w:rPr>
          <w:rStyle w:val="Strong"/>
          <w:rFonts w:ascii="Times New Roman" w:hAnsi="Times New Roman" w:cs="Times New Roman"/>
          <w:b w:val="0"/>
          <w:sz w:val="24"/>
          <w:szCs w:val="24"/>
        </w:rPr>
        <w:t>These parameters were first</w:t>
      </w:r>
      <w:r w:rsidR="003D4E8C">
        <w:rPr>
          <w:rStyle w:val="Strong"/>
          <w:rFonts w:ascii="Times New Roman" w:hAnsi="Times New Roman" w:cs="Times New Roman"/>
          <w:b w:val="0"/>
          <w:sz w:val="24"/>
          <w:szCs w:val="24"/>
        </w:rPr>
        <w:t xml:space="preserve"> chosen</w:t>
      </w:r>
      <w:r w:rsidR="00170B7B">
        <w:rPr>
          <w:rStyle w:val="Strong"/>
          <w:rFonts w:ascii="Times New Roman" w:hAnsi="Times New Roman" w:cs="Times New Roman"/>
          <w:b w:val="0"/>
          <w:sz w:val="24"/>
          <w:szCs w:val="24"/>
        </w:rPr>
        <w:t xml:space="preserve"> by AIC selection with respect to the original 1019 sample dataset, then by increasing parsimony. Each model fitting assumed δ varied only by sex (</w:t>
      </w:r>
      <w:r w:rsidR="00170B7B" w:rsidRPr="00961032">
        <w:rPr>
          <w:rStyle w:val="Strong"/>
          <w:rFonts w:ascii="Times New Roman" w:hAnsi="Times New Roman" w:cs="Times New Roman"/>
          <w:b w:val="0"/>
          <w:sz w:val="24"/>
          <w:szCs w:val="24"/>
          <w:highlight w:val="cyan"/>
        </w:rPr>
        <w:t>insert explanation</w:t>
      </w:r>
      <w:r w:rsidR="00961032" w:rsidRPr="00961032">
        <w:rPr>
          <w:rStyle w:val="Strong"/>
          <w:rFonts w:ascii="Times New Roman" w:hAnsi="Times New Roman" w:cs="Times New Roman"/>
          <w:b w:val="0"/>
          <w:sz w:val="24"/>
          <w:szCs w:val="24"/>
          <w:highlight w:val="cyan"/>
        </w:rPr>
        <w:t>/source – because bears are known to vary their movement by sex, and sigma depends heavily on the movement patterns/distances</w:t>
      </w:r>
      <w:r w:rsidR="00170B7B">
        <w:rPr>
          <w:rStyle w:val="Strong"/>
          <w:rFonts w:ascii="Times New Roman" w:hAnsi="Times New Roman" w:cs="Times New Roman"/>
          <w:b w:val="0"/>
          <w:sz w:val="24"/>
          <w:szCs w:val="24"/>
        </w:rPr>
        <w:t>). The five models chosen can be found in Table 1.</w:t>
      </w:r>
    </w:p>
    <w:tbl>
      <w:tblPr>
        <w:tblStyle w:val="PlainTable4"/>
        <w:tblW w:w="0" w:type="auto"/>
        <w:tblLook w:val="04A0" w:firstRow="1" w:lastRow="0" w:firstColumn="1" w:lastColumn="0" w:noHBand="0" w:noVBand="1"/>
      </w:tblPr>
      <w:tblGrid>
        <w:gridCol w:w="2785"/>
        <w:gridCol w:w="1260"/>
        <w:gridCol w:w="1170"/>
        <w:gridCol w:w="4135"/>
      </w:tblGrid>
      <w:tr w:rsidR="00586478" w14:paraId="601725AE" w14:textId="77777777" w:rsidTr="00D367E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85" w:type="dxa"/>
          </w:tcPr>
          <w:p w14:paraId="6B05ABA3" w14:textId="3F02DA4E" w:rsidR="00586478" w:rsidRPr="00D367E2" w:rsidRDefault="00961032" w:rsidP="003D4E8C">
            <w:pPr>
              <w:spacing w:before="240" w:line="276" w:lineRule="auto"/>
              <w:rPr>
                <w:rStyle w:val="Strong"/>
                <w:rFonts w:ascii="Times New Roman" w:hAnsi="Times New Roman" w:cs="Times New Roman"/>
                <w:b/>
                <w:sz w:val="24"/>
                <w:szCs w:val="24"/>
              </w:rPr>
            </w:pPr>
            <w:r>
              <w:rPr>
                <w:rStyle w:val="Strong"/>
                <w:rFonts w:ascii="Times New Roman" w:hAnsi="Times New Roman" w:cs="Times New Roman"/>
                <w:b/>
                <w:sz w:val="24"/>
                <w:szCs w:val="24"/>
              </w:rPr>
              <w:t>Covariates</w:t>
            </w:r>
          </w:p>
        </w:tc>
        <w:tc>
          <w:tcPr>
            <w:tcW w:w="1260" w:type="dxa"/>
          </w:tcPr>
          <w:p w14:paraId="53968453" w14:textId="2CC7F208" w:rsidR="00586478" w:rsidRPr="00D367E2" w:rsidRDefault="00942205" w:rsidP="003D4E8C">
            <w:pPr>
              <w:spacing w:before="240" w:line="276" w:lineRule="auto"/>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4"/>
                <w:szCs w:val="24"/>
              </w:rPr>
            </w:pPr>
            <w:r w:rsidRPr="00D367E2">
              <w:rPr>
                <w:rStyle w:val="Strong"/>
                <w:rFonts w:ascii="Times New Roman" w:hAnsi="Times New Roman" w:cs="Times New Roman"/>
                <w:b/>
                <w:sz w:val="24"/>
                <w:szCs w:val="24"/>
              </w:rPr>
              <w:t>AICc</w:t>
            </w:r>
          </w:p>
        </w:tc>
        <w:tc>
          <w:tcPr>
            <w:tcW w:w="1170" w:type="dxa"/>
          </w:tcPr>
          <w:p w14:paraId="505F4496" w14:textId="65437B91" w:rsidR="00586478" w:rsidRPr="00D367E2" w:rsidRDefault="00942205" w:rsidP="003D4E8C">
            <w:pPr>
              <w:spacing w:before="240" w:line="276" w:lineRule="auto"/>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4"/>
                <w:szCs w:val="24"/>
              </w:rPr>
            </w:pPr>
            <w:r w:rsidRPr="00D367E2">
              <w:rPr>
                <w:rStyle w:val="Strong"/>
                <w:rFonts w:ascii="Times New Roman" w:hAnsi="Times New Roman" w:cs="Times New Roman"/>
                <w:b/>
                <w:sz w:val="24"/>
                <w:szCs w:val="24"/>
              </w:rPr>
              <w:t>∆AICc</w:t>
            </w:r>
          </w:p>
        </w:tc>
        <w:tc>
          <w:tcPr>
            <w:tcW w:w="4135" w:type="dxa"/>
          </w:tcPr>
          <w:p w14:paraId="71D6FF90" w14:textId="486C3B5D" w:rsidR="00586478" w:rsidRPr="00D367E2" w:rsidRDefault="00942205" w:rsidP="003D4E8C">
            <w:pPr>
              <w:spacing w:before="240" w:line="276" w:lineRule="auto"/>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4"/>
                <w:szCs w:val="24"/>
              </w:rPr>
            </w:pPr>
            <w:r w:rsidRPr="00D367E2">
              <w:rPr>
                <w:rStyle w:val="Strong"/>
                <w:rFonts w:ascii="Times New Roman" w:hAnsi="Times New Roman" w:cs="Times New Roman"/>
                <w:b/>
                <w:sz w:val="24"/>
                <w:szCs w:val="24"/>
              </w:rPr>
              <w:t>Density Estimate</w:t>
            </w:r>
            <w:r w:rsidR="00BE7362" w:rsidRPr="00D367E2">
              <w:rPr>
                <w:rStyle w:val="Strong"/>
                <w:rFonts w:ascii="Times New Roman" w:hAnsi="Times New Roman" w:cs="Times New Roman"/>
                <w:b/>
                <w:sz w:val="24"/>
                <w:szCs w:val="24"/>
              </w:rPr>
              <w:t xml:space="preserve"> </w:t>
            </w:r>
            <w:r w:rsidR="00BE7362" w:rsidRPr="00D367E2">
              <w:rPr>
                <w:rStyle w:val="Strong"/>
                <w:rFonts w:ascii="Times New Roman" w:hAnsi="Times New Roman" w:cs="Times New Roman"/>
                <w:b/>
                <w:i/>
                <w:sz w:val="24"/>
                <w:szCs w:val="24"/>
              </w:rPr>
              <w:t>(95% CI)</w:t>
            </w:r>
          </w:p>
        </w:tc>
      </w:tr>
      <w:tr w:rsidR="001C003C" w14:paraId="16AFF2AA" w14:textId="77777777" w:rsidTr="00D36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5E14003" w14:textId="726639DE" w:rsidR="001C003C" w:rsidRDefault="004D61E7" w:rsidP="003D4E8C">
            <w:pPr>
              <w:spacing w:before="240" w:line="276" w:lineRule="auto"/>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b+t+Sex</m:t>
                </m:r>
              </m:oMath>
            </m:oMathPara>
          </w:p>
        </w:tc>
        <w:tc>
          <w:tcPr>
            <w:tcW w:w="1260" w:type="dxa"/>
          </w:tcPr>
          <w:p w14:paraId="2D6177A7" w14:textId="5A4F6FDB" w:rsidR="001C003C" w:rsidRPr="00942205" w:rsidRDefault="00942205" w:rsidP="003D4E8C">
            <w:pPr>
              <w:spacing w:before="240" w:line="276"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3492</w:t>
            </w:r>
          </w:p>
        </w:tc>
        <w:tc>
          <w:tcPr>
            <w:tcW w:w="1170" w:type="dxa"/>
          </w:tcPr>
          <w:p w14:paraId="0F37FCDD" w14:textId="38C58FCB" w:rsidR="001C003C" w:rsidRPr="00942205" w:rsidRDefault="00942205" w:rsidP="003D4E8C">
            <w:pPr>
              <w:spacing w:before="240" w:line="276"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0</w:t>
            </w:r>
          </w:p>
        </w:tc>
        <w:tc>
          <w:tcPr>
            <w:tcW w:w="4135" w:type="dxa"/>
          </w:tcPr>
          <w:p w14:paraId="71EC70CA" w14:textId="56B00154" w:rsidR="00BE7362" w:rsidRPr="00BE7362" w:rsidRDefault="00BE7362" w:rsidP="003D4E8C">
            <w:pPr>
              <w:spacing w:before="240" w:line="276"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13.50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(9.86, 18.48)</w:t>
            </w:r>
          </w:p>
        </w:tc>
      </w:tr>
      <w:tr w:rsidR="00942205" w14:paraId="56E5EDD8" w14:textId="77777777" w:rsidTr="00D367E2">
        <w:tc>
          <w:tcPr>
            <w:cnfStyle w:val="001000000000" w:firstRow="0" w:lastRow="0" w:firstColumn="1" w:lastColumn="0" w:oddVBand="0" w:evenVBand="0" w:oddHBand="0" w:evenHBand="0" w:firstRowFirstColumn="0" w:firstRowLastColumn="0" w:lastRowFirstColumn="0" w:lastRowLastColumn="0"/>
            <w:tcW w:w="2785" w:type="dxa"/>
          </w:tcPr>
          <w:p w14:paraId="730D737A" w14:textId="026256FA" w:rsidR="00942205" w:rsidRDefault="004D61E7" w:rsidP="003D4E8C">
            <w:pPr>
              <w:spacing w:before="240" w:line="276" w:lineRule="auto"/>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t+Sex</m:t>
                </m:r>
              </m:oMath>
            </m:oMathPara>
          </w:p>
        </w:tc>
        <w:tc>
          <w:tcPr>
            <w:tcW w:w="1260" w:type="dxa"/>
          </w:tcPr>
          <w:p w14:paraId="66140568" w14:textId="0E2A3FC8" w:rsidR="00942205" w:rsidRPr="00942205" w:rsidRDefault="00942205" w:rsidP="003D4E8C">
            <w:pPr>
              <w:spacing w:before="240" w:line="276" w:lineRule="auto"/>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3496</w:t>
            </w:r>
          </w:p>
        </w:tc>
        <w:tc>
          <w:tcPr>
            <w:tcW w:w="1170" w:type="dxa"/>
          </w:tcPr>
          <w:p w14:paraId="29204AD0" w14:textId="05DD97C1" w:rsidR="00942205" w:rsidRPr="00942205" w:rsidRDefault="00942205" w:rsidP="003D4E8C">
            <w:pPr>
              <w:spacing w:before="240" w:line="276" w:lineRule="auto"/>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4</w:t>
            </w:r>
          </w:p>
        </w:tc>
        <w:tc>
          <w:tcPr>
            <w:tcW w:w="4135" w:type="dxa"/>
          </w:tcPr>
          <w:p w14:paraId="56E2D3D8" w14:textId="392FE46F" w:rsidR="00942205" w:rsidRPr="00BE7362" w:rsidRDefault="00BE7362" w:rsidP="003D4E8C">
            <w:pPr>
              <w:spacing w:before="240" w:line="276" w:lineRule="auto"/>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12.67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(9.30, 17.26)</w:t>
            </w:r>
          </w:p>
        </w:tc>
      </w:tr>
      <w:tr w:rsidR="00942205" w14:paraId="546028BB" w14:textId="77777777" w:rsidTr="00D36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DE25248" w14:textId="7650813F" w:rsidR="00942205" w:rsidRDefault="004D61E7" w:rsidP="003D4E8C">
            <w:pPr>
              <w:spacing w:before="240" w:line="276" w:lineRule="auto"/>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b+t</m:t>
                </m:r>
              </m:oMath>
            </m:oMathPara>
          </w:p>
        </w:tc>
        <w:tc>
          <w:tcPr>
            <w:tcW w:w="1260" w:type="dxa"/>
          </w:tcPr>
          <w:p w14:paraId="7E7B73B0" w14:textId="2E4D96E5" w:rsidR="00942205" w:rsidRPr="00942205" w:rsidRDefault="00942205" w:rsidP="003D4E8C">
            <w:pPr>
              <w:spacing w:before="240" w:line="276"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3502</w:t>
            </w:r>
          </w:p>
        </w:tc>
        <w:tc>
          <w:tcPr>
            <w:tcW w:w="1170" w:type="dxa"/>
          </w:tcPr>
          <w:p w14:paraId="6112177A" w14:textId="0377307B" w:rsidR="00942205" w:rsidRPr="00942205" w:rsidRDefault="00942205" w:rsidP="003D4E8C">
            <w:pPr>
              <w:spacing w:before="240" w:line="276"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10</w:t>
            </w:r>
          </w:p>
        </w:tc>
        <w:tc>
          <w:tcPr>
            <w:tcW w:w="4135" w:type="dxa"/>
          </w:tcPr>
          <w:p w14:paraId="0E1B9CEF" w14:textId="7D5B45E5" w:rsidR="00942205" w:rsidRPr="00BE7362" w:rsidRDefault="00BE7362" w:rsidP="003D4E8C">
            <w:pPr>
              <w:spacing w:before="240" w:line="276"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13.60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(9.93, 19.64)</w:t>
            </w:r>
          </w:p>
        </w:tc>
      </w:tr>
      <w:tr w:rsidR="00942205" w:rsidRPr="00961032" w14:paraId="6EDED2BD" w14:textId="77777777" w:rsidTr="00D367E2">
        <w:tc>
          <w:tcPr>
            <w:cnfStyle w:val="001000000000" w:firstRow="0" w:lastRow="0" w:firstColumn="1" w:lastColumn="0" w:oddVBand="0" w:evenVBand="0" w:oddHBand="0" w:evenHBand="0" w:firstRowFirstColumn="0" w:firstRowLastColumn="0" w:lastRowFirstColumn="0" w:lastRowLastColumn="0"/>
            <w:tcW w:w="2785" w:type="dxa"/>
          </w:tcPr>
          <w:p w14:paraId="080778B6" w14:textId="72045222" w:rsidR="00942205" w:rsidRDefault="004D61E7" w:rsidP="003D4E8C">
            <w:pPr>
              <w:spacing w:before="240" w:line="276" w:lineRule="auto"/>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t</m:t>
                </m:r>
              </m:oMath>
            </m:oMathPara>
          </w:p>
        </w:tc>
        <w:tc>
          <w:tcPr>
            <w:tcW w:w="1260" w:type="dxa"/>
          </w:tcPr>
          <w:p w14:paraId="21AE8B60" w14:textId="0E8B959C" w:rsidR="00942205" w:rsidRPr="00942205" w:rsidRDefault="00942205" w:rsidP="003D4E8C">
            <w:pPr>
              <w:spacing w:before="240" w:line="276" w:lineRule="auto"/>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3507</w:t>
            </w:r>
          </w:p>
        </w:tc>
        <w:tc>
          <w:tcPr>
            <w:tcW w:w="1170" w:type="dxa"/>
          </w:tcPr>
          <w:p w14:paraId="4025B0A0" w14:textId="1BF73A9F" w:rsidR="00942205" w:rsidRPr="00942205" w:rsidRDefault="00942205" w:rsidP="003D4E8C">
            <w:pPr>
              <w:spacing w:before="240" w:line="276" w:lineRule="auto"/>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15</w:t>
            </w:r>
          </w:p>
        </w:tc>
        <w:tc>
          <w:tcPr>
            <w:tcW w:w="4135" w:type="dxa"/>
          </w:tcPr>
          <w:p w14:paraId="00F5C04C" w14:textId="31955EA6" w:rsidR="00942205" w:rsidRPr="00BE7362" w:rsidRDefault="00BE7362" w:rsidP="003D4E8C">
            <w:pPr>
              <w:spacing w:before="240" w:line="276" w:lineRule="auto"/>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12.55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(9.22, 17.08)</w:t>
            </w:r>
          </w:p>
        </w:tc>
      </w:tr>
      <w:tr w:rsidR="00942205" w14:paraId="7194BCEA" w14:textId="77777777" w:rsidTr="00D36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547802A" w14:textId="6F6A28E6" w:rsidR="00942205" w:rsidRDefault="004D61E7" w:rsidP="003D4E8C">
            <w:pPr>
              <w:spacing w:before="240" w:line="276" w:lineRule="auto"/>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b</m:t>
                </m:r>
              </m:oMath>
            </m:oMathPara>
          </w:p>
        </w:tc>
        <w:tc>
          <w:tcPr>
            <w:tcW w:w="1260" w:type="dxa"/>
          </w:tcPr>
          <w:p w14:paraId="530CB907" w14:textId="76909B08" w:rsidR="00942205" w:rsidRPr="00942205" w:rsidRDefault="00942205" w:rsidP="003D4E8C">
            <w:pPr>
              <w:spacing w:before="240" w:line="276"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3515</w:t>
            </w:r>
          </w:p>
        </w:tc>
        <w:tc>
          <w:tcPr>
            <w:tcW w:w="1170" w:type="dxa"/>
          </w:tcPr>
          <w:p w14:paraId="2A231F6E" w14:textId="249887BB" w:rsidR="00942205" w:rsidRPr="00942205" w:rsidRDefault="00942205" w:rsidP="003D4E8C">
            <w:pPr>
              <w:spacing w:before="240" w:line="276"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23</w:t>
            </w:r>
          </w:p>
        </w:tc>
        <w:tc>
          <w:tcPr>
            <w:tcW w:w="4135" w:type="dxa"/>
          </w:tcPr>
          <w:p w14:paraId="2079894B" w14:textId="4A5CD4E7" w:rsidR="00942205" w:rsidRPr="00BE7362" w:rsidRDefault="00BE7362" w:rsidP="003D4E8C">
            <w:pPr>
              <w:spacing w:before="240" w:line="276"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14.23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(10.41, 19.46)</w:t>
            </w:r>
          </w:p>
        </w:tc>
      </w:tr>
    </w:tbl>
    <w:p w14:paraId="73D8C84D" w14:textId="239CD1C5" w:rsidR="00586478" w:rsidRDefault="00170B7B" w:rsidP="003D4E8C">
      <w:pPr>
        <w:spacing w:before="240" w:line="276" w:lineRule="auto"/>
        <w:rPr>
          <w:rStyle w:val="Strong"/>
          <w:rFonts w:ascii="Times New Roman" w:hAnsi="Times New Roman" w:cs="Times New Roman"/>
          <w:b w:val="0"/>
          <w:sz w:val="24"/>
          <w:szCs w:val="24"/>
        </w:rPr>
      </w:pPr>
      <w:r>
        <w:rPr>
          <w:rStyle w:val="Strong"/>
          <w:rFonts w:ascii="Times New Roman" w:hAnsi="Times New Roman" w:cs="Times New Roman"/>
          <w:sz w:val="24"/>
          <w:szCs w:val="24"/>
        </w:rPr>
        <w:tab/>
      </w:r>
      <w:r w:rsidRPr="00170B7B">
        <w:rPr>
          <w:rStyle w:val="Strong"/>
          <w:rFonts w:ascii="Times New Roman" w:hAnsi="Times New Roman" w:cs="Times New Roman"/>
          <w:b w:val="0"/>
          <w:i/>
          <w:sz w:val="24"/>
          <w:szCs w:val="24"/>
        </w:rPr>
        <w:t xml:space="preserve">Table 1. </w:t>
      </w:r>
      <w:r>
        <w:rPr>
          <w:rStyle w:val="Strong"/>
          <w:rFonts w:ascii="Times New Roman" w:hAnsi="Times New Roman" w:cs="Times New Roman"/>
          <w:b w:val="0"/>
          <w:sz w:val="24"/>
          <w:szCs w:val="24"/>
        </w:rPr>
        <w:t xml:space="preserve">Models chosen with accompanying AICc scores, ∆AICc, </w:t>
      </w:r>
    </w:p>
    <w:p w14:paraId="66609083" w14:textId="5414D8E2" w:rsidR="00BE7362" w:rsidRPr="00170B7B" w:rsidRDefault="00BE7362" w:rsidP="003D4E8C">
      <w:pPr>
        <w:spacing w:before="240" w:line="276"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Models were fit using the R programming language (R Core Team, 2014), package ‘</w:t>
      </w:r>
      <w:r w:rsidRPr="00BE7362">
        <w:rPr>
          <w:rStyle w:val="Strong"/>
          <w:rFonts w:ascii="Times New Roman" w:hAnsi="Times New Roman" w:cs="Times New Roman"/>
          <w:b w:val="0"/>
          <w:sz w:val="24"/>
          <w:szCs w:val="24"/>
        </w:rPr>
        <w:t>secr</w:t>
      </w:r>
      <w:r>
        <w:rPr>
          <w:rStyle w:val="Strong"/>
          <w:rFonts w:ascii="Times New Roman" w:hAnsi="Times New Roman" w:cs="Times New Roman"/>
          <w:b w:val="0"/>
          <w:sz w:val="24"/>
          <w:szCs w:val="24"/>
        </w:rPr>
        <w:t xml:space="preserve">’ </w:t>
      </w:r>
      <w:r w:rsidR="00A82922">
        <w:rPr>
          <w:rStyle w:val="Strong"/>
          <w:rFonts w:ascii="Times New Roman" w:hAnsi="Times New Roman" w:cs="Times New Roman"/>
          <w:b w:val="0"/>
          <w:sz w:val="24"/>
          <w:szCs w:val="24"/>
        </w:rPr>
        <w:t>for the fitting of the SECR models</w:t>
      </w:r>
      <w:r>
        <w:rPr>
          <w:rStyle w:val="Strong"/>
          <w:rFonts w:ascii="Times New Roman" w:hAnsi="Times New Roman" w:cs="Times New Roman"/>
          <w:b w:val="0"/>
          <w:sz w:val="24"/>
          <w:szCs w:val="24"/>
        </w:rPr>
        <w:t>, and packages</w:t>
      </w:r>
      <w:r w:rsidR="003D4E8C">
        <w:rPr>
          <w:rStyle w:val="Strong"/>
          <w:rFonts w:ascii="Times New Roman" w:hAnsi="Times New Roman" w:cs="Times New Roman"/>
          <w:b w:val="0"/>
          <w:sz w:val="24"/>
          <w:szCs w:val="24"/>
        </w:rPr>
        <w:t xml:space="preserve"> ‘foreach’ and ‘doParallel’ </w:t>
      </w:r>
      <w:r w:rsidR="00A82922">
        <w:rPr>
          <w:rStyle w:val="Strong"/>
          <w:rFonts w:ascii="Times New Roman" w:hAnsi="Times New Roman" w:cs="Times New Roman"/>
          <w:b w:val="0"/>
          <w:sz w:val="24"/>
          <w:szCs w:val="24"/>
        </w:rPr>
        <w:t xml:space="preserve"> for optimization of model fitting using parallel processing</w:t>
      </w:r>
      <w:r>
        <w:rPr>
          <w:rStyle w:val="Strong"/>
          <w:rFonts w:ascii="Times New Roman" w:hAnsi="Times New Roman" w:cs="Times New Roman"/>
          <w:b w:val="0"/>
          <w:sz w:val="24"/>
          <w:szCs w:val="24"/>
        </w:rPr>
        <w:t>.</w:t>
      </w:r>
      <w:r w:rsidR="003D4E8C">
        <w:rPr>
          <w:rStyle w:val="Strong"/>
          <w:rFonts w:ascii="Times New Roman" w:hAnsi="Times New Roman" w:cs="Times New Roman"/>
          <w:b w:val="0"/>
          <w:sz w:val="24"/>
          <w:szCs w:val="24"/>
        </w:rPr>
        <w:t xml:space="preserve"> </w:t>
      </w:r>
      <w:r>
        <w:rPr>
          <w:rStyle w:val="Strong"/>
          <w:rFonts w:ascii="Times New Roman" w:hAnsi="Times New Roman" w:cs="Times New Roman"/>
          <w:b w:val="0"/>
          <w:sz w:val="24"/>
          <w:szCs w:val="24"/>
        </w:rPr>
        <w:t xml:space="preserve"> </w:t>
      </w:r>
    </w:p>
    <w:p w14:paraId="182AAB10" w14:textId="369204C5" w:rsidR="00D367E2" w:rsidRPr="00A82922" w:rsidRDefault="00586478" w:rsidP="003D4E8C">
      <w:pPr>
        <w:spacing w:before="240" w:line="276" w:lineRule="auto"/>
        <w:rPr>
          <w:rStyle w:val="Strong"/>
          <w:rFonts w:ascii="Times New Roman" w:hAnsi="Times New Roman" w:cs="Times New Roman"/>
          <w:sz w:val="24"/>
          <w:szCs w:val="24"/>
        </w:rPr>
      </w:pPr>
      <w:r w:rsidRPr="00A82922">
        <w:rPr>
          <w:rStyle w:val="Strong"/>
          <w:rFonts w:ascii="Times New Roman" w:hAnsi="Times New Roman" w:cs="Times New Roman"/>
          <w:sz w:val="24"/>
          <w:szCs w:val="24"/>
        </w:rPr>
        <w:t>Simulatio</w:t>
      </w:r>
      <w:r w:rsidR="00170B7B" w:rsidRPr="00A82922">
        <w:rPr>
          <w:rStyle w:val="Strong"/>
          <w:rFonts w:ascii="Times New Roman" w:hAnsi="Times New Roman" w:cs="Times New Roman"/>
          <w:sz w:val="24"/>
          <w:szCs w:val="24"/>
        </w:rPr>
        <w:t>n</w:t>
      </w:r>
    </w:p>
    <w:p w14:paraId="3A387F93" w14:textId="5BC2318C" w:rsidR="00F6074D" w:rsidRDefault="00A82922" w:rsidP="00A82922">
      <w:pPr>
        <w:spacing w:before="240" w:line="276"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lastRenderedPageBreak/>
        <w:tab/>
        <w:t>In this study, a single ‘simulation’ can be broadly defined as the taking of a subsample according to a single subsampling strategy</w:t>
      </w:r>
      <w:r w:rsidR="00002595">
        <w:rPr>
          <w:rStyle w:val="Strong"/>
          <w:rFonts w:ascii="Times New Roman" w:hAnsi="Times New Roman" w:cs="Times New Roman"/>
          <w:b w:val="0"/>
          <w:sz w:val="24"/>
          <w:szCs w:val="24"/>
        </w:rPr>
        <w:t xml:space="preserve"> (Fig. 2),</w:t>
      </w:r>
      <w:r>
        <w:rPr>
          <w:rStyle w:val="Strong"/>
          <w:rFonts w:ascii="Times New Roman" w:hAnsi="Times New Roman" w:cs="Times New Roman"/>
          <w:b w:val="0"/>
          <w:sz w:val="24"/>
          <w:szCs w:val="24"/>
        </w:rPr>
        <w:t xml:space="preserve"> the fitting of five SECR models with varying </w:t>
      </w:r>
      <w:r w:rsidR="00961032">
        <w:rPr>
          <w:rStyle w:val="Strong"/>
          <w:rFonts w:ascii="Times New Roman" w:hAnsi="Times New Roman" w:cs="Times New Roman"/>
          <w:b w:val="0"/>
          <w:sz w:val="24"/>
          <w:szCs w:val="24"/>
        </w:rPr>
        <w:t>covariates</w:t>
      </w:r>
      <w:r>
        <w:rPr>
          <w:rStyle w:val="Strong"/>
          <w:rFonts w:ascii="Times New Roman" w:hAnsi="Times New Roman" w:cs="Times New Roman"/>
          <w:b w:val="0"/>
          <w:sz w:val="24"/>
          <w:szCs w:val="24"/>
        </w:rPr>
        <w:t xml:space="preserve"> (Table 1)</w:t>
      </w:r>
      <w:r w:rsidR="00002595">
        <w:rPr>
          <w:rStyle w:val="Strong"/>
          <w:rFonts w:ascii="Times New Roman" w:hAnsi="Times New Roman" w:cs="Times New Roman"/>
          <w:b w:val="0"/>
          <w:sz w:val="24"/>
          <w:szCs w:val="24"/>
        </w:rPr>
        <w:t>, and the saving of model output for later comparison</w:t>
      </w:r>
      <w:r>
        <w:rPr>
          <w:rStyle w:val="Strong"/>
          <w:rFonts w:ascii="Times New Roman" w:hAnsi="Times New Roman" w:cs="Times New Roman"/>
          <w:b w:val="0"/>
          <w:sz w:val="24"/>
          <w:szCs w:val="24"/>
        </w:rPr>
        <w:t>. In the initial stage of this experiment, subsampling strategy was manipulated while holding sample size constant</w:t>
      </w:r>
      <w:r w:rsidR="00180B9E">
        <w:rPr>
          <w:rStyle w:val="Strong"/>
          <w:rFonts w:ascii="Times New Roman" w:hAnsi="Times New Roman" w:cs="Times New Roman"/>
          <w:b w:val="0"/>
          <w:sz w:val="24"/>
          <w:szCs w:val="24"/>
        </w:rPr>
        <w:t xml:space="preserve"> at 450</w:t>
      </w:r>
      <w:r>
        <w:rPr>
          <w:rStyle w:val="Strong"/>
          <w:rFonts w:ascii="Times New Roman" w:hAnsi="Times New Roman" w:cs="Times New Roman"/>
          <w:b w:val="0"/>
          <w:sz w:val="24"/>
          <w:szCs w:val="24"/>
        </w:rPr>
        <w:t>, in order to infer the influence of subsampling strategy on the derived density estimate of each SECR model</w:t>
      </w:r>
      <w:r w:rsidR="00180B9E">
        <w:rPr>
          <w:rStyle w:val="Strong"/>
          <w:rFonts w:ascii="Times New Roman" w:hAnsi="Times New Roman" w:cs="Times New Roman"/>
          <w:b w:val="0"/>
          <w:sz w:val="24"/>
          <w:szCs w:val="24"/>
        </w:rPr>
        <w:t xml:space="preserve"> (Fig. 3); these simulations are referred to as ‘subsampling trials’ in this document as well as in the accompanying code documentation</w:t>
      </w:r>
      <w:r w:rsidR="00F6074D">
        <w:rPr>
          <w:rStyle w:val="Strong"/>
          <w:rFonts w:ascii="Times New Roman" w:hAnsi="Times New Roman" w:cs="Times New Roman"/>
          <w:b w:val="0"/>
          <w:sz w:val="24"/>
          <w:szCs w:val="24"/>
        </w:rPr>
        <w:t xml:space="preserve">. In these trials, a simulation occurred stepwise using each subsampling strategy perpetually for six weeks, using a </w:t>
      </w:r>
      <w:r w:rsidR="00F6074D" w:rsidRPr="00F6074D">
        <w:rPr>
          <w:rStyle w:val="Strong"/>
          <w:rFonts w:ascii="Times New Roman" w:hAnsi="Times New Roman" w:cs="Times New Roman"/>
          <w:b w:val="0"/>
          <w:sz w:val="24"/>
          <w:szCs w:val="24"/>
          <w:highlight w:val="cyan"/>
        </w:rPr>
        <w:t>(SONY VAIO SPECS</w:t>
      </w:r>
      <w:r w:rsidR="00F6074D">
        <w:rPr>
          <w:rStyle w:val="Strong"/>
          <w:rFonts w:ascii="Times New Roman" w:hAnsi="Times New Roman" w:cs="Times New Roman"/>
          <w:b w:val="0"/>
          <w:sz w:val="24"/>
          <w:szCs w:val="24"/>
        </w:rPr>
        <w:t>).</w:t>
      </w:r>
    </w:p>
    <w:p w14:paraId="00423B18" w14:textId="3E62EBAF" w:rsidR="00A82922" w:rsidRPr="00F6074D" w:rsidRDefault="00180B9E" w:rsidP="00F6074D">
      <w:pPr>
        <w:spacing w:before="240" w:line="276" w:lineRule="auto"/>
        <w:ind w:firstLine="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Using the resultant density estimates from the subsampling trials, two subsampling types (SimpleRandom and Spread.one)</w:t>
      </w:r>
      <w:r w:rsidR="00F6074D">
        <w:rPr>
          <w:rStyle w:val="Strong"/>
          <w:rFonts w:ascii="Times New Roman" w:hAnsi="Times New Roman" w:cs="Times New Roman"/>
          <w:b w:val="0"/>
          <w:sz w:val="24"/>
          <w:szCs w:val="24"/>
        </w:rPr>
        <w:t xml:space="preserve"> were chosen for ‘size trials’, where each simulation varied by both subsampling strategy </w:t>
      </w:r>
      <w:r w:rsidR="00F6074D">
        <w:rPr>
          <w:rStyle w:val="Strong"/>
          <w:rFonts w:ascii="Times New Roman" w:hAnsi="Times New Roman" w:cs="Times New Roman"/>
          <w:b w:val="0"/>
          <w:i/>
          <w:sz w:val="24"/>
          <w:szCs w:val="24"/>
        </w:rPr>
        <w:t>and</w:t>
      </w:r>
      <w:r w:rsidR="00F6074D">
        <w:rPr>
          <w:rStyle w:val="Strong"/>
          <w:rFonts w:ascii="Times New Roman" w:hAnsi="Times New Roman" w:cs="Times New Roman"/>
          <w:b w:val="0"/>
          <w:sz w:val="24"/>
          <w:szCs w:val="24"/>
        </w:rPr>
        <w:t xml:space="preserve"> sample size (Fig. 3). Due to computational constraints, all four subsampling strategies could not be analyzed in these size trials. In these trials, a simulation occurred stepwise using each subsampling strategy and each sample size (250-950, by 100) perpetually for three weeks. </w:t>
      </w:r>
    </w:p>
    <w:p w14:paraId="1ACDDCA0" w14:textId="1D60E8A5" w:rsidR="008014E3" w:rsidRDefault="00180B9E" w:rsidP="00D367E2">
      <w:pPr>
        <w:tabs>
          <w:tab w:val="left" w:pos="5505"/>
        </w:tabs>
        <w:rPr>
          <w:rFonts w:ascii="Times New Roman" w:hAnsi="Times New Roman" w:cs="Times New Roman"/>
          <w:b/>
          <w:sz w:val="24"/>
          <w:szCs w:val="24"/>
        </w:rPr>
      </w:pPr>
      <w:r>
        <w:rPr>
          <w:noProof/>
        </w:rPr>
        <w:lastRenderedPageBreak/>
        <w:drawing>
          <wp:inline distT="0" distB="0" distL="0" distR="0" wp14:anchorId="29C9C202" wp14:editId="3C2485D1">
            <wp:extent cx="5028881" cy="2314575"/>
            <wp:effectExtent l="19050" t="19050" r="1968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5482" cy="2322216"/>
                    </a:xfrm>
                    <a:prstGeom prst="rect">
                      <a:avLst/>
                    </a:prstGeom>
                    <a:ln>
                      <a:solidFill>
                        <a:schemeClr val="tx1"/>
                      </a:solidFill>
                    </a:ln>
                  </pic:spPr>
                </pic:pic>
              </a:graphicData>
            </a:graphic>
          </wp:inline>
        </w:drawing>
      </w:r>
      <w:r>
        <w:rPr>
          <w:noProof/>
        </w:rPr>
        <w:drawing>
          <wp:inline distT="0" distB="0" distL="0" distR="0" wp14:anchorId="613E35DA" wp14:editId="2AA4CB35">
            <wp:extent cx="5028565" cy="2297238"/>
            <wp:effectExtent l="19050" t="19050" r="1968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410" cy="2302649"/>
                    </a:xfrm>
                    <a:prstGeom prst="rect">
                      <a:avLst/>
                    </a:prstGeom>
                    <a:ln>
                      <a:solidFill>
                        <a:schemeClr val="tx1"/>
                      </a:solidFill>
                    </a:ln>
                  </pic:spPr>
                </pic:pic>
              </a:graphicData>
            </a:graphic>
          </wp:inline>
        </w:drawing>
      </w:r>
    </w:p>
    <w:p w14:paraId="47EDD836" w14:textId="0F87F929" w:rsidR="00180B9E" w:rsidRDefault="00180B9E" w:rsidP="00180B9E">
      <w:pPr>
        <w:spacing w:before="240" w:line="276" w:lineRule="auto"/>
        <w:rPr>
          <w:rStyle w:val="Strong"/>
          <w:rFonts w:ascii="Times New Roman" w:hAnsi="Times New Roman" w:cs="Times New Roman"/>
          <w:b w:val="0"/>
          <w:sz w:val="24"/>
          <w:szCs w:val="24"/>
        </w:rPr>
      </w:pPr>
      <w:r>
        <w:rPr>
          <w:rStyle w:val="Strong"/>
          <w:rFonts w:ascii="Times New Roman" w:hAnsi="Times New Roman" w:cs="Times New Roman"/>
          <w:sz w:val="24"/>
          <w:szCs w:val="24"/>
        </w:rPr>
        <w:tab/>
      </w:r>
      <w:r>
        <w:rPr>
          <w:rStyle w:val="Strong"/>
          <w:rFonts w:ascii="Times New Roman" w:hAnsi="Times New Roman" w:cs="Times New Roman"/>
          <w:b w:val="0"/>
          <w:i/>
          <w:sz w:val="24"/>
          <w:szCs w:val="24"/>
        </w:rPr>
        <w:t xml:space="preserve">Figure 3. </w:t>
      </w:r>
      <w:r w:rsidRPr="00170B7B">
        <w:rPr>
          <w:rStyle w:val="Strong"/>
          <w:rFonts w:ascii="Times New Roman" w:hAnsi="Times New Roman" w:cs="Times New Roman"/>
          <w:b w:val="0"/>
          <w:i/>
          <w:sz w:val="24"/>
          <w:szCs w:val="24"/>
        </w:rPr>
        <w:t xml:space="preserve"> </w:t>
      </w:r>
      <w:r>
        <w:rPr>
          <w:rStyle w:val="Strong"/>
          <w:rFonts w:ascii="Times New Roman" w:hAnsi="Times New Roman" w:cs="Times New Roman"/>
          <w:b w:val="0"/>
          <w:sz w:val="24"/>
          <w:szCs w:val="24"/>
        </w:rPr>
        <w:t xml:space="preserve">Methodology flowchart for ‘subsampling trials’ (above) and ‘size trials’ (below). Comparisons of density estimates from subsampling trials led to the subsampling strategy selection in the size trials. </w:t>
      </w:r>
    </w:p>
    <w:p w14:paraId="2D26DB94" w14:textId="77777777" w:rsidR="00B64293" w:rsidRDefault="00B64293" w:rsidP="003D4E8C">
      <w:pPr>
        <w:spacing w:line="276" w:lineRule="auto"/>
        <w:rPr>
          <w:rStyle w:val="Strong"/>
        </w:rPr>
      </w:pPr>
    </w:p>
    <w:p w14:paraId="46C287B2" w14:textId="77777777" w:rsidR="007E19AA" w:rsidRPr="00B64293" w:rsidRDefault="007E19AA" w:rsidP="003D4E8C">
      <w:pPr>
        <w:spacing w:line="276" w:lineRule="auto"/>
        <w:rPr>
          <w:rStyle w:val="Strong"/>
          <w:sz w:val="24"/>
          <w:szCs w:val="24"/>
        </w:rPr>
      </w:pPr>
      <w:r w:rsidRPr="00B64293">
        <w:rPr>
          <w:rStyle w:val="Strong"/>
          <w:sz w:val="24"/>
          <w:szCs w:val="24"/>
        </w:rPr>
        <w:t>RESULTS</w:t>
      </w:r>
    </w:p>
    <w:p w14:paraId="2FDC83B8" w14:textId="77777777" w:rsidR="007E19AA" w:rsidRPr="00B64293" w:rsidRDefault="007E19AA" w:rsidP="003D4E8C">
      <w:pPr>
        <w:spacing w:line="276" w:lineRule="auto"/>
        <w:rPr>
          <w:rStyle w:val="Strong"/>
          <w:sz w:val="24"/>
          <w:szCs w:val="24"/>
        </w:rPr>
      </w:pPr>
      <w:r w:rsidRPr="00B64293">
        <w:rPr>
          <w:rStyle w:val="Strong"/>
          <w:sz w:val="24"/>
          <w:szCs w:val="24"/>
        </w:rPr>
        <w:t>DISCUSSION</w:t>
      </w:r>
    </w:p>
    <w:p w14:paraId="39B5EB55" w14:textId="77777777" w:rsidR="007E19AA" w:rsidRPr="00B64293" w:rsidRDefault="007E19AA" w:rsidP="003D4E8C">
      <w:pPr>
        <w:spacing w:line="276" w:lineRule="auto"/>
        <w:rPr>
          <w:rStyle w:val="Strong"/>
          <w:sz w:val="24"/>
          <w:szCs w:val="24"/>
        </w:rPr>
      </w:pPr>
      <w:r w:rsidRPr="00B64293">
        <w:rPr>
          <w:rStyle w:val="Strong"/>
          <w:sz w:val="24"/>
          <w:szCs w:val="24"/>
        </w:rPr>
        <w:t>ACKNOWLEDGEMENTS</w:t>
      </w:r>
    </w:p>
    <w:p w14:paraId="1311EC48" w14:textId="77777777" w:rsidR="005A709F" w:rsidRPr="00B64293" w:rsidRDefault="005A709F" w:rsidP="003D4E8C">
      <w:pPr>
        <w:spacing w:line="276" w:lineRule="auto"/>
        <w:rPr>
          <w:rStyle w:val="Strong"/>
          <w:sz w:val="24"/>
          <w:szCs w:val="24"/>
        </w:rPr>
      </w:pPr>
      <w:r w:rsidRPr="00B64293">
        <w:rPr>
          <w:rStyle w:val="Strong"/>
          <w:sz w:val="24"/>
          <w:szCs w:val="24"/>
        </w:rPr>
        <w:t>REFERENCES</w:t>
      </w:r>
    </w:p>
    <w:p w14:paraId="31A235D0" w14:textId="77777777" w:rsidR="007E19AA" w:rsidRDefault="007E19AA" w:rsidP="003D4E8C">
      <w:pPr>
        <w:spacing w:line="276" w:lineRule="auto"/>
        <w:jc w:val="center"/>
        <w:rPr>
          <w:rFonts w:asciiTheme="majorHAnsi" w:hAnsiTheme="majorHAnsi"/>
          <w:sz w:val="24"/>
          <w:szCs w:val="24"/>
        </w:rPr>
      </w:pPr>
    </w:p>
    <w:p w14:paraId="36F7341F" w14:textId="77777777" w:rsidR="007E19AA" w:rsidRPr="007E19AA" w:rsidRDefault="007E19AA" w:rsidP="003D4E8C">
      <w:pPr>
        <w:spacing w:line="276" w:lineRule="auto"/>
        <w:jc w:val="center"/>
        <w:rPr>
          <w:rFonts w:asciiTheme="majorHAnsi" w:hAnsiTheme="majorHAnsi"/>
          <w:sz w:val="24"/>
          <w:szCs w:val="24"/>
        </w:rPr>
      </w:pPr>
    </w:p>
    <w:p w14:paraId="44974EA5" w14:textId="77777777" w:rsidR="007E19AA" w:rsidRPr="007E19AA" w:rsidRDefault="007E19AA" w:rsidP="003D4E8C">
      <w:pPr>
        <w:spacing w:line="276" w:lineRule="auto"/>
        <w:jc w:val="center"/>
        <w:rPr>
          <w:rFonts w:asciiTheme="majorHAnsi" w:hAnsiTheme="majorHAnsi"/>
          <w:b/>
          <w:sz w:val="24"/>
          <w:szCs w:val="24"/>
        </w:rPr>
      </w:pPr>
    </w:p>
    <w:sectPr w:rsidR="007E19AA" w:rsidRPr="007E19A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D3AB9" w14:textId="77777777" w:rsidR="00074418" w:rsidRDefault="00074418" w:rsidP="00F70A7F">
      <w:pPr>
        <w:spacing w:after="0" w:line="240" w:lineRule="auto"/>
      </w:pPr>
      <w:r>
        <w:separator/>
      </w:r>
    </w:p>
  </w:endnote>
  <w:endnote w:type="continuationSeparator" w:id="0">
    <w:p w14:paraId="747A273B" w14:textId="77777777" w:rsidR="00074418" w:rsidRDefault="00074418" w:rsidP="00F7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95AD6" w14:textId="77777777" w:rsidR="00074418" w:rsidRDefault="00074418" w:rsidP="00F70A7F">
      <w:pPr>
        <w:spacing w:after="0" w:line="240" w:lineRule="auto"/>
      </w:pPr>
      <w:r>
        <w:separator/>
      </w:r>
    </w:p>
  </w:footnote>
  <w:footnote w:type="continuationSeparator" w:id="0">
    <w:p w14:paraId="4F78012A" w14:textId="77777777" w:rsidR="00074418" w:rsidRDefault="00074418" w:rsidP="00F70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6CAA1" w14:textId="77777777" w:rsidR="00F70A7F" w:rsidRDefault="00F70A7F" w:rsidP="00F70A7F">
    <w:pPr>
      <w:jc w:val="right"/>
    </w:pPr>
    <w:r>
      <w:t>Nick Gondek</w:t>
    </w:r>
  </w:p>
  <w:p w14:paraId="6C485DD3" w14:textId="77777777" w:rsidR="00F70A7F" w:rsidRDefault="00F70A7F" w:rsidP="00F70A7F">
    <w:pPr>
      <w:jc w:val="right"/>
    </w:pPr>
    <w:r>
      <w:t xml:space="preserve">2016 Honors Thesis Draft – Page </w:t>
    </w:r>
    <w:r>
      <w:fldChar w:fldCharType="begin"/>
    </w:r>
    <w:r>
      <w:instrText xml:space="preserve"> PAGE   \* MERGEFORMAT </w:instrText>
    </w:r>
    <w:r>
      <w:fldChar w:fldCharType="separate"/>
    </w:r>
    <w:r w:rsidR="00F31869">
      <w:rPr>
        <w:noProof/>
      </w:rPr>
      <w:t>5</w:t>
    </w:r>
    <w:r>
      <w:rPr>
        <w:noProof/>
      </w:rPr>
      <w:fldChar w:fldCharType="end"/>
    </w:r>
  </w:p>
  <w:p w14:paraId="2F44519A" w14:textId="77777777" w:rsidR="00F70A7F" w:rsidRDefault="00F70A7F" w:rsidP="00F70A7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922C1"/>
    <w:multiLevelType w:val="hybridMultilevel"/>
    <w:tmpl w:val="1C0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A7F"/>
    <w:rsid w:val="00002595"/>
    <w:rsid w:val="00074418"/>
    <w:rsid w:val="000F73EF"/>
    <w:rsid w:val="00170B7B"/>
    <w:rsid w:val="00180B9E"/>
    <w:rsid w:val="001C003C"/>
    <w:rsid w:val="003C1016"/>
    <w:rsid w:val="003D4E8C"/>
    <w:rsid w:val="004D61E7"/>
    <w:rsid w:val="00512BA8"/>
    <w:rsid w:val="00553406"/>
    <w:rsid w:val="00586478"/>
    <w:rsid w:val="005A709F"/>
    <w:rsid w:val="006146C1"/>
    <w:rsid w:val="00615F8A"/>
    <w:rsid w:val="007E19AA"/>
    <w:rsid w:val="008014E3"/>
    <w:rsid w:val="0084695B"/>
    <w:rsid w:val="00942205"/>
    <w:rsid w:val="00961032"/>
    <w:rsid w:val="00A82922"/>
    <w:rsid w:val="00AD2C62"/>
    <w:rsid w:val="00B64293"/>
    <w:rsid w:val="00B808BA"/>
    <w:rsid w:val="00BE7362"/>
    <w:rsid w:val="00D367E2"/>
    <w:rsid w:val="00F31869"/>
    <w:rsid w:val="00F6074D"/>
    <w:rsid w:val="00F70A7F"/>
    <w:rsid w:val="00FC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F130"/>
  <w15:chartTrackingRefBased/>
  <w15:docId w15:val="{B0C023A4-AB59-4033-845E-A2940242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A7F"/>
  </w:style>
  <w:style w:type="paragraph" w:styleId="Footer">
    <w:name w:val="footer"/>
    <w:basedOn w:val="Normal"/>
    <w:link w:val="FooterChar"/>
    <w:uiPriority w:val="99"/>
    <w:unhideWhenUsed/>
    <w:rsid w:val="00F70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A7F"/>
  </w:style>
  <w:style w:type="character" w:styleId="Strong">
    <w:name w:val="Strong"/>
    <w:basedOn w:val="DefaultParagraphFont"/>
    <w:uiPriority w:val="22"/>
    <w:qFormat/>
    <w:rsid w:val="007E19AA"/>
    <w:rPr>
      <w:b/>
      <w:bCs/>
    </w:rPr>
  </w:style>
  <w:style w:type="character" w:styleId="SubtleEmphasis">
    <w:name w:val="Subtle Emphasis"/>
    <w:basedOn w:val="DefaultParagraphFont"/>
    <w:uiPriority w:val="19"/>
    <w:qFormat/>
    <w:rsid w:val="007E19AA"/>
    <w:rPr>
      <w:i/>
      <w:iCs/>
      <w:color w:val="404040" w:themeColor="text1" w:themeTint="BF"/>
    </w:rPr>
  </w:style>
  <w:style w:type="paragraph" w:styleId="NormalWeb">
    <w:name w:val="Normal (Web)"/>
    <w:basedOn w:val="Normal"/>
    <w:uiPriority w:val="99"/>
    <w:semiHidden/>
    <w:unhideWhenUsed/>
    <w:rsid w:val="007E19AA"/>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146C1"/>
    <w:rPr>
      <w:sz w:val="16"/>
      <w:szCs w:val="16"/>
    </w:rPr>
  </w:style>
  <w:style w:type="paragraph" w:styleId="CommentText">
    <w:name w:val="annotation text"/>
    <w:basedOn w:val="Normal"/>
    <w:link w:val="CommentTextChar"/>
    <w:uiPriority w:val="99"/>
    <w:semiHidden/>
    <w:unhideWhenUsed/>
    <w:rsid w:val="006146C1"/>
    <w:pPr>
      <w:spacing w:line="240" w:lineRule="auto"/>
    </w:pPr>
    <w:rPr>
      <w:sz w:val="20"/>
      <w:szCs w:val="20"/>
    </w:rPr>
  </w:style>
  <w:style w:type="character" w:customStyle="1" w:styleId="CommentTextChar">
    <w:name w:val="Comment Text Char"/>
    <w:basedOn w:val="DefaultParagraphFont"/>
    <w:link w:val="CommentText"/>
    <w:uiPriority w:val="99"/>
    <w:semiHidden/>
    <w:rsid w:val="006146C1"/>
    <w:rPr>
      <w:sz w:val="20"/>
      <w:szCs w:val="20"/>
    </w:rPr>
  </w:style>
  <w:style w:type="paragraph" w:styleId="CommentSubject">
    <w:name w:val="annotation subject"/>
    <w:basedOn w:val="CommentText"/>
    <w:next w:val="CommentText"/>
    <w:link w:val="CommentSubjectChar"/>
    <w:uiPriority w:val="99"/>
    <w:semiHidden/>
    <w:unhideWhenUsed/>
    <w:rsid w:val="006146C1"/>
    <w:rPr>
      <w:b/>
      <w:bCs/>
    </w:rPr>
  </w:style>
  <w:style w:type="character" w:customStyle="1" w:styleId="CommentSubjectChar">
    <w:name w:val="Comment Subject Char"/>
    <w:basedOn w:val="CommentTextChar"/>
    <w:link w:val="CommentSubject"/>
    <w:uiPriority w:val="99"/>
    <w:semiHidden/>
    <w:rsid w:val="006146C1"/>
    <w:rPr>
      <w:b/>
      <w:bCs/>
      <w:sz w:val="20"/>
      <w:szCs w:val="20"/>
    </w:rPr>
  </w:style>
  <w:style w:type="paragraph" w:styleId="BalloonText">
    <w:name w:val="Balloon Text"/>
    <w:basedOn w:val="Normal"/>
    <w:link w:val="BalloonTextChar"/>
    <w:uiPriority w:val="99"/>
    <w:semiHidden/>
    <w:unhideWhenUsed/>
    <w:rsid w:val="00614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6C1"/>
    <w:rPr>
      <w:rFonts w:ascii="Segoe UI" w:hAnsi="Segoe UI" w:cs="Segoe UI"/>
      <w:sz w:val="18"/>
      <w:szCs w:val="18"/>
    </w:rPr>
  </w:style>
  <w:style w:type="paragraph" w:styleId="ListParagraph">
    <w:name w:val="List Paragraph"/>
    <w:basedOn w:val="Normal"/>
    <w:uiPriority w:val="34"/>
    <w:qFormat/>
    <w:rsid w:val="000F73EF"/>
    <w:pPr>
      <w:ind w:left="720"/>
      <w:contextualSpacing/>
    </w:pPr>
  </w:style>
  <w:style w:type="table" w:styleId="TableGrid">
    <w:name w:val="Table Grid"/>
    <w:basedOn w:val="TableNormal"/>
    <w:uiPriority w:val="39"/>
    <w:rsid w:val="00586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70B7B"/>
    <w:rPr>
      <w:color w:val="808080"/>
    </w:rPr>
  </w:style>
  <w:style w:type="table" w:styleId="PlainTable4">
    <w:name w:val="Plain Table 4"/>
    <w:basedOn w:val="TableNormal"/>
    <w:uiPriority w:val="44"/>
    <w:rsid w:val="00D367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BC92A-7332-40A9-AB3E-39A8695A8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Gondek</dc:creator>
  <cp:keywords/>
  <dc:description/>
  <cp:lastModifiedBy>Nick Gondek</cp:lastModifiedBy>
  <cp:revision>1</cp:revision>
  <dcterms:created xsi:type="dcterms:W3CDTF">2016-04-13T18:58:00Z</dcterms:created>
  <dcterms:modified xsi:type="dcterms:W3CDTF">2016-04-16T18:48:00Z</dcterms:modified>
</cp:coreProperties>
</file>