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8C67F" w14:textId="77777777" w:rsidR="00C7082B" w:rsidRDefault="00C7082B" w:rsidP="00A8637C">
      <w:pPr>
        <w:rPr>
          <w:szCs w:val="24"/>
        </w:rPr>
      </w:pPr>
      <w:r>
        <w:rPr>
          <w:szCs w:val="24"/>
        </w:rPr>
        <w:t>October 5, 2016</w:t>
      </w:r>
    </w:p>
    <w:p w14:paraId="0993E4A9" w14:textId="77777777" w:rsidR="00C7082B" w:rsidRDefault="00C7082B" w:rsidP="00A8637C">
      <w:pPr>
        <w:rPr>
          <w:szCs w:val="24"/>
        </w:rPr>
      </w:pPr>
    </w:p>
    <w:p w14:paraId="09B7D7E0" w14:textId="77777777" w:rsidR="00A8637C" w:rsidRPr="00623AE1" w:rsidRDefault="00A8637C" w:rsidP="00A8637C">
      <w:pPr>
        <w:rPr>
          <w:szCs w:val="24"/>
        </w:rPr>
      </w:pPr>
      <w:r w:rsidRPr="00623AE1">
        <w:rPr>
          <w:szCs w:val="24"/>
        </w:rPr>
        <w:t xml:space="preserve">David </w:t>
      </w:r>
      <w:proofErr w:type="spellStart"/>
      <w:r w:rsidRPr="00623AE1">
        <w:rPr>
          <w:szCs w:val="24"/>
        </w:rPr>
        <w:t>Garshelis</w:t>
      </w:r>
      <w:proofErr w:type="spellEnd"/>
      <w:r w:rsidRPr="00623AE1">
        <w:rPr>
          <w:szCs w:val="24"/>
        </w:rPr>
        <w:tab/>
      </w:r>
      <w:r w:rsidRPr="00623AE1">
        <w:rPr>
          <w:szCs w:val="24"/>
        </w:rPr>
        <w:tab/>
      </w:r>
      <w:r w:rsidRPr="00623AE1">
        <w:rPr>
          <w:szCs w:val="24"/>
        </w:rPr>
        <w:tab/>
      </w:r>
      <w:r w:rsidRPr="00623AE1">
        <w:rPr>
          <w:szCs w:val="24"/>
        </w:rPr>
        <w:tab/>
      </w:r>
      <w:r w:rsidRPr="00623AE1">
        <w:rPr>
          <w:szCs w:val="24"/>
        </w:rPr>
        <w:tab/>
      </w:r>
      <w:r w:rsidRPr="00623AE1">
        <w:rPr>
          <w:szCs w:val="24"/>
        </w:rPr>
        <w:tab/>
      </w:r>
      <w:r w:rsidRPr="00623AE1">
        <w:rPr>
          <w:szCs w:val="24"/>
        </w:rPr>
        <w:tab/>
      </w:r>
      <w:r w:rsidRPr="00623AE1">
        <w:rPr>
          <w:szCs w:val="24"/>
        </w:rPr>
        <w:tab/>
        <w:t xml:space="preserve">          </w:t>
      </w:r>
    </w:p>
    <w:p w14:paraId="6CE173DB" w14:textId="77777777" w:rsidR="00A8637C" w:rsidRPr="00623AE1" w:rsidRDefault="00A8637C" w:rsidP="00A8637C">
      <w:pPr>
        <w:rPr>
          <w:szCs w:val="24"/>
        </w:rPr>
      </w:pPr>
      <w:r w:rsidRPr="00623AE1">
        <w:rPr>
          <w:szCs w:val="24"/>
        </w:rPr>
        <w:t>Forest Wildlife Populations and Research Group</w:t>
      </w:r>
    </w:p>
    <w:p w14:paraId="20267D57" w14:textId="77777777" w:rsidR="00A8637C" w:rsidRPr="00623AE1" w:rsidRDefault="00A8637C" w:rsidP="00A8637C">
      <w:pPr>
        <w:rPr>
          <w:szCs w:val="24"/>
        </w:rPr>
      </w:pPr>
      <w:r w:rsidRPr="00623AE1">
        <w:rPr>
          <w:szCs w:val="24"/>
        </w:rPr>
        <w:t>Minnesota Department of Natural Resources</w:t>
      </w:r>
    </w:p>
    <w:p w14:paraId="7FA331EB" w14:textId="77777777" w:rsidR="00A8637C" w:rsidRPr="00623AE1" w:rsidRDefault="00A8637C" w:rsidP="00A8637C">
      <w:pPr>
        <w:rPr>
          <w:szCs w:val="24"/>
        </w:rPr>
      </w:pPr>
      <w:r w:rsidRPr="00623AE1">
        <w:rPr>
          <w:szCs w:val="24"/>
        </w:rPr>
        <w:t>1201 E Hwy 2</w:t>
      </w:r>
    </w:p>
    <w:p w14:paraId="32BEF0DE" w14:textId="77777777" w:rsidR="00A8637C" w:rsidRPr="00623AE1" w:rsidRDefault="00A8637C" w:rsidP="00A8637C">
      <w:pPr>
        <w:rPr>
          <w:szCs w:val="24"/>
        </w:rPr>
      </w:pPr>
      <w:r w:rsidRPr="00623AE1">
        <w:rPr>
          <w:szCs w:val="24"/>
        </w:rPr>
        <w:t>Grand Rapids, MN 55744</w:t>
      </w:r>
    </w:p>
    <w:p w14:paraId="622B4F16" w14:textId="77777777" w:rsidR="00A8637C" w:rsidRPr="00623AE1" w:rsidRDefault="00A8637C">
      <w:pPr>
        <w:rPr>
          <w:szCs w:val="24"/>
        </w:rPr>
      </w:pPr>
    </w:p>
    <w:p w14:paraId="3285E20C" w14:textId="77777777" w:rsidR="00A8637C" w:rsidRPr="00623AE1" w:rsidRDefault="00A8637C">
      <w:pPr>
        <w:rPr>
          <w:szCs w:val="24"/>
        </w:rPr>
      </w:pPr>
      <w:r w:rsidRPr="00623AE1">
        <w:rPr>
          <w:szCs w:val="24"/>
        </w:rPr>
        <w:t>RE: Report on Genetic-based estimates of bear populations: maximizing bang for the buck</w:t>
      </w:r>
    </w:p>
    <w:p w14:paraId="553DC525" w14:textId="77777777" w:rsidR="00A8637C" w:rsidRPr="00623AE1" w:rsidRDefault="00A8637C" w:rsidP="00A8637C">
      <w:pPr>
        <w:rPr>
          <w:szCs w:val="24"/>
        </w:rPr>
      </w:pPr>
    </w:p>
    <w:p w14:paraId="3DC0EDAA" w14:textId="77777777" w:rsidR="00A8637C" w:rsidRPr="00623AE1" w:rsidRDefault="00A8637C" w:rsidP="00A8637C">
      <w:pPr>
        <w:rPr>
          <w:szCs w:val="24"/>
        </w:rPr>
      </w:pPr>
      <w:r w:rsidRPr="00623AE1">
        <w:rPr>
          <w:b/>
          <w:szCs w:val="24"/>
        </w:rPr>
        <w:t xml:space="preserve">Problem statement:  </w:t>
      </w:r>
      <w:r w:rsidRPr="00623AE1">
        <w:rPr>
          <w:szCs w:val="24"/>
        </w:rPr>
        <w:t xml:space="preserve">Genetic-based mark–recapture population estimates from hair-snaring are now routinely used for bears.  The number of samples obtained typically far exceeds the budget allotted for genetic analysis, and moreover, many samples are likely to be redundant (same visit by same bear).  No guidance presently exists for selecting which and how many samples to genotype.  Sample selection </w:t>
      </w:r>
      <w:r w:rsidR="00623AE1" w:rsidRPr="00623AE1">
        <w:rPr>
          <w:szCs w:val="24"/>
        </w:rPr>
        <w:t xml:space="preserve">is expected </w:t>
      </w:r>
      <w:r w:rsidRPr="00623AE1">
        <w:rPr>
          <w:szCs w:val="24"/>
        </w:rPr>
        <w:t xml:space="preserve">to significantly affect spatially-explicit capture-recapture </w:t>
      </w:r>
      <w:r w:rsidR="00623AE1" w:rsidRPr="00623AE1">
        <w:rPr>
          <w:szCs w:val="24"/>
        </w:rPr>
        <w:t xml:space="preserve">(SECR) </w:t>
      </w:r>
      <w:r w:rsidRPr="00623AE1">
        <w:rPr>
          <w:szCs w:val="24"/>
        </w:rPr>
        <w:t>models, which rely on the spatial distribution of capture samples.</w:t>
      </w:r>
    </w:p>
    <w:p w14:paraId="2D6A68B4" w14:textId="77777777" w:rsidR="00F360F6" w:rsidRPr="00623AE1" w:rsidRDefault="00A8637C">
      <w:pPr>
        <w:rPr>
          <w:b/>
          <w:szCs w:val="24"/>
        </w:rPr>
      </w:pPr>
      <w:r w:rsidRPr="00623AE1">
        <w:rPr>
          <w:b/>
          <w:szCs w:val="24"/>
        </w:rPr>
        <w:t xml:space="preserve"> </w:t>
      </w:r>
    </w:p>
    <w:p w14:paraId="663F81FA" w14:textId="77777777" w:rsidR="00A8637C" w:rsidRPr="00623AE1" w:rsidRDefault="00A8637C" w:rsidP="00A8637C">
      <w:pPr>
        <w:rPr>
          <w:b/>
          <w:szCs w:val="24"/>
        </w:rPr>
      </w:pPr>
      <w:r w:rsidRPr="00623AE1">
        <w:rPr>
          <w:b/>
          <w:szCs w:val="24"/>
        </w:rPr>
        <w:t>Objectives of this project:</w:t>
      </w:r>
    </w:p>
    <w:p w14:paraId="2D6A43B1" w14:textId="77777777" w:rsidR="00A8637C" w:rsidRPr="00623AE1" w:rsidRDefault="00A8637C" w:rsidP="00A8637C">
      <w:pPr>
        <w:pStyle w:val="ListParagraph"/>
        <w:numPr>
          <w:ilvl w:val="0"/>
          <w:numId w:val="1"/>
        </w:numPr>
        <w:rPr>
          <w:rFonts w:ascii="Times New Roman" w:hAnsi="Times New Roman"/>
          <w:sz w:val="24"/>
          <w:szCs w:val="24"/>
        </w:rPr>
      </w:pPr>
      <w:r w:rsidRPr="00623AE1">
        <w:rPr>
          <w:rFonts w:ascii="Times New Roman" w:hAnsi="Times New Roman"/>
          <w:sz w:val="24"/>
          <w:szCs w:val="24"/>
        </w:rPr>
        <w:t>Compare abundance and density estimates and precision obtained from the 2012 genetic CMR using different subsamples of data — derive the best estimates from the existing data.</w:t>
      </w:r>
    </w:p>
    <w:p w14:paraId="60B3980B" w14:textId="77777777" w:rsidR="00A8637C" w:rsidRPr="00623AE1" w:rsidRDefault="00A8637C" w:rsidP="00A8637C">
      <w:pPr>
        <w:pStyle w:val="ListParagraph"/>
        <w:numPr>
          <w:ilvl w:val="0"/>
          <w:numId w:val="1"/>
        </w:numPr>
        <w:rPr>
          <w:rFonts w:ascii="Times New Roman" w:hAnsi="Times New Roman"/>
          <w:sz w:val="24"/>
          <w:szCs w:val="24"/>
        </w:rPr>
      </w:pPr>
      <w:r w:rsidRPr="00623AE1">
        <w:rPr>
          <w:rFonts w:ascii="Times New Roman" w:hAnsi="Times New Roman"/>
          <w:sz w:val="24"/>
          <w:szCs w:val="24"/>
        </w:rPr>
        <w:t>Assess effects of subsampling and behavioral characteristics of the bears on the bias and precision of genetic CMR estimates based on capture histories similar to that observed in 2012.</w:t>
      </w:r>
    </w:p>
    <w:p w14:paraId="64DCC76B" w14:textId="77777777" w:rsidR="00A8637C" w:rsidRPr="00623AE1" w:rsidRDefault="00A8637C" w:rsidP="00A8637C">
      <w:pPr>
        <w:pStyle w:val="ListParagraph"/>
        <w:numPr>
          <w:ilvl w:val="0"/>
          <w:numId w:val="1"/>
        </w:numPr>
        <w:rPr>
          <w:rFonts w:ascii="Times New Roman" w:hAnsi="Times New Roman"/>
          <w:sz w:val="24"/>
          <w:szCs w:val="24"/>
        </w:rPr>
      </w:pPr>
      <w:r w:rsidRPr="00623AE1">
        <w:rPr>
          <w:rFonts w:ascii="Times New Roman" w:hAnsi="Times New Roman"/>
          <w:sz w:val="24"/>
          <w:szCs w:val="24"/>
        </w:rPr>
        <w:t>Provide guidance for study design of future genetic CMR estimates of bears in Minnesota.</w:t>
      </w:r>
    </w:p>
    <w:p w14:paraId="04DB4385" w14:textId="77777777" w:rsidR="00A8637C" w:rsidRDefault="00CB3332">
      <w:pPr>
        <w:rPr>
          <w:b/>
          <w:szCs w:val="24"/>
        </w:rPr>
      </w:pPr>
      <w:proofErr w:type="spellStart"/>
      <w:r>
        <w:rPr>
          <w:b/>
          <w:szCs w:val="24"/>
        </w:rPr>
        <w:t>Obejctive</w:t>
      </w:r>
      <w:proofErr w:type="spellEnd"/>
      <w:r>
        <w:rPr>
          <w:b/>
          <w:szCs w:val="24"/>
        </w:rPr>
        <w:t xml:space="preserve"> 1</w:t>
      </w:r>
      <w:r w:rsidR="008C5FBA">
        <w:rPr>
          <w:b/>
          <w:szCs w:val="24"/>
        </w:rPr>
        <w:t>:</w:t>
      </w:r>
      <w:r>
        <w:rPr>
          <w:b/>
          <w:szCs w:val="24"/>
        </w:rPr>
        <w:t xml:space="preserve"> Subsampling 2012 genetic CMR data</w:t>
      </w:r>
    </w:p>
    <w:p w14:paraId="6AB9EB27" w14:textId="77777777" w:rsidR="008C5FBA" w:rsidRPr="000D491A" w:rsidRDefault="008C5FBA">
      <w:pPr>
        <w:rPr>
          <w:szCs w:val="24"/>
        </w:rPr>
      </w:pPr>
      <w:r>
        <w:rPr>
          <w:szCs w:val="24"/>
        </w:rPr>
        <w:t>During the summer of 2015, I fit several different SECR models using all available data (roughly 70% of hair clusters were analyzed).  Density estimates ranged from a low of 13 bears/100mi</w:t>
      </w:r>
      <w:r>
        <w:rPr>
          <w:szCs w:val="24"/>
          <w:vertAlign w:val="superscript"/>
        </w:rPr>
        <w:t>2</w:t>
      </w:r>
      <w:r>
        <w:rPr>
          <w:szCs w:val="24"/>
        </w:rPr>
        <w:t xml:space="preserve"> to a high of 15 bears/100mi</w:t>
      </w:r>
      <w:r>
        <w:rPr>
          <w:szCs w:val="24"/>
          <w:vertAlign w:val="superscript"/>
        </w:rPr>
        <w:t>2</w:t>
      </w:r>
      <w:r w:rsidR="000D491A">
        <w:rPr>
          <w:szCs w:val="24"/>
        </w:rPr>
        <w:t xml:space="preserve"> (Table 1).  The best-fit model, based on </w:t>
      </w:r>
      <w:proofErr w:type="spellStart"/>
      <w:r w:rsidR="000D491A">
        <w:rPr>
          <w:szCs w:val="24"/>
        </w:rPr>
        <w:t>AIC</w:t>
      </w:r>
      <w:r w:rsidR="000D491A">
        <w:rPr>
          <w:szCs w:val="24"/>
          <w:vertAlign w:val="subscript"/>
        </w:rPr>
        <w:t>c</w:t>
      </w:r>
      <w:proofErr w:type="spellEnd"/>
      <w:r w:rsidR="000D491A">
        <w:rPr>
          <w:szCs w:val="24"/>
        </w:rPr>
        <w:t>, produced an estimate of 14</w:t>
      </w:r>
      <w:r w:rsidR="000D491A" w:rsidRPr="000D491A">
        <w:rPr>
          <w:szCs w:val="24"/>
        </w:rPr>
        <w:t xml:space="preserve"> </w:t>
      </w:r>
      <w:r w:rsidR="000D491A">
        <w:rPr>
          <w:szCs w:val="24"/>
        </w:rPr>
        <w:t>bears/100mi</w:t>
      </w:r>
      <w:r w:rsidR="000D491A">
        <w:rPr>
          <w:szCs w:val="24"/>
          <w:vertAlign w:val="superscript"/>
        </w:rPr>
        <w:t>2</w:t>
      </w:r>
      <w:r w:rsidR="000D491A">
        <w:rPr>
          <w:szCs w:val="24"/>
        </w:rPr>
        <w:t xml:space="preserve"> (95% CI = 10,18).</w:t>
      </w:r>
    </w:p>
    <w:p w14:paraId="797F2CF4" w14:textId="77777777" w:rsidR="008C5FBA" w:rsidRPr="008C5FBA" w:rsidRDefault="008C5FBA">
      <w:pPr>
        <w:rPr>
          <w:szCs w:val="24"/>
        </w:rPr>
      </w:pPr>
    </w:p>
    <w:p w14:paraId="1EEC7B2A" w14:textId="77777777" w:rsidR="008C5FBA" w:rsidRPr="00591207" w:rsidRDefault="008C5FBA" w:rsidP="008C5FBA">
      <w:pPr>
        <w:rPr>
          <w:rFonts w:eastAsia="Times New Roman" w:cs="Times New Roman"/>
          <w:vertAlign w:val="superscript"/>
        </w:rPr>
      </w:pPr>
      <w:r>
        <w:rPr>
          <w:rFonts w:eastAsia="Times New Roman" w:cs="Times New Roman"/>
        </w:rPr>
        <w:t>Table 1 Spatial Mark-Recapture Estimates of Population Density</w:t>
      </w:r>
    </w:p>
    <w:tbl>
      <w:tblPr>
        <w:tblW w:w="0" w:type="auto"/>
        <w:tblInd w:w="93" w:type="dxa"/>
        <w:tblLook w:val="04A0" w:firstRow="1" w:lastRow="0" w:firstColumn="1" w:lastColumn="0" w:noHBand="0" w:noVBand="1"/>
      </w:tblPr>
      <w:tblGrid>
        <w:gridCol w:w="2223"/>
        <w:gridCol w:w="1043"/>
        <w:gridCol w:w="1863"/>
        <w:gridCol w:w="1170"/>
        <w:gridCol w:w="1136"/>
        <w:gridCol w:w="736"/>
        <w:gridCol w:w="1096"/>
      </w:tblGrid>
      <w:tr w:rsidR="008C5FBA" w:rsidRPr="00DC0EF3" w14:paraId="772FC42A" w14:textId="77777777" w:rsidTr="00234AC2">
        <w:trPr>
          <w:trHeight w:val="315"/>
        </w:trPr>
        <w:tc>
          <w:tcPr>
            <w:tcW w:w="0" w:type="auto"/>
            <w:tcBorders>
              <w:top w:val="single" w:sz="8" w:space="0" w:color="auto"/>
              <w:left w:val="nil"/>
              <w:bottom w:val="nil"/>
              <w:right w:val="nil"/>
            </w:tcBorders>
            <w:shd w:val="clear" w:color="auto" w:fill="auto"/>
            <w:noWrap/>
            <w:vAlign w:val="bottom"/>
          </w:tcPr>
          <w:p w14:paraId="713DAABC" w14:textId="77777777" w:rsidR="008C5FBA" w:rsidRPr="000D491A" w:rsidRDefault="008C5FBA" w:rsidP="00234AC2">
            <w:pPr>
              <w:jc w:val="center"/>
              <w:rPr>
                <w:rFonts w:eastAsia="Times New Roman" w:cs="Times New Roman"/>
                <w:color w:val="000000"/>
              </w:rPr>
            </w:pPr>
            <w:r w:rsidRPr="000D491A">
              <w:rPr>
                <w:rFonts w:eastAsia="Times New Roman" w:cs="Times New Roman"/>
                <w:color w:val="000000"/>
              </w:rPr>
              <w:t>Model</w:t>
            </w:r>
          </w:p>
        </w:tc>
        <w:tc>
          <w:tcPr>
            <w:tcW w:w="0" w:type="auto"/>
            <w:tcBorders>
              <w:top w:val="single" w:sz="8" w:space="0" w:color="auto"/>
              <w:left w:val="nil"/>
              <w:bottom w:val="nil"/>
              <w:right w:val="nil"/>
            </w:tcBorders>
            <w:shd w:val="clear" w:color="auto" w:fill="auto"/>
            <w:noWrap/>
            <w:vAlign w:val="bottom"/>
          </w:tcPr>
          <w:p w14:paraId="65CBDC24" w14:textId="77777777" w:rsidR="008C5FBA" w:rsidRPr="000D491A" w:rsidRDefault="008C5FBA" w:rsidP="00234AC2">
            <w:pPr>
              <w:jc w:val="center"/>
              <w:rPr>
                <w:rFonts w:eastAsia="Times New Roman" w:cs="Times New Roman"/>
                <w:color w:val="000000"/>
              </w:rPr>
            </w:pPr>
            <w:r w:rsidRPr="000D491A">
              <w:rPr>
                <w:rFonts w:eastAsia="Times New Roman" w:cs="Times New Roman"/>
                <w:color w:val="000000"/>
              </w:rPr>
              <w:t>Program</w:t>
            </w:r>
          </w:p>
        </w:tc>
        <w:tc>
          <w:tcPr>
            <w:tcW w:w="0" w:type="auto"/>
            <w:tcBorders>
              <w:top w:val="single" w:sz="8" w:space="0" w:color="auto"/>
              <w:left w:val="nil"/>
              <w:bottom w:val="nil"/>
              <w:right w:val="nil"/>
            </w:tcBorders>
            <w:shd w:val="clear" w:color="auto" w:fill="auto"/>
            <w:noWrap/>
            <w:vAlign w:val="bottom"/>
          </w:tcPr>
          <w:p w14:paraId="58C93601" w14:textId="77777777" w:rsidR="008C5FBA" w:rsidRPr="000D491A" w:rsidRDefault="008C5FBA" w:rsidP="00234AC2">
            <w:pPr>
              <w:jc w:val="center"/>
              <w:rPr>
                <w:rFonts w:eastAsia="Times New Roman" w:cs="Times New Roman"/>
                <w:color w:val="000000"/>
              </w:rPr>
            </w:pPr>
            <w:r w:rsidRPr="000D491A">
              <w:rPr>
                <w:rFonts w:eastAsia="Times New Roman" w:cs="Times New Roman"/>
                <w:color w:val="000000"/>
              </w:rPr>
              <w:t>Density Estimate</w:t>
            </w:r>
          </w:p>
          <w:p w14:paraId="3A29B7E7" w14:textId="77777777" w:rsidR="008C5FBA" w:rsidRPr="000D491A" w:rsidRDefault="008C5FBA" w:rsidP="00234AC2">
            <w:pPr>
              <w:jc w:val="center"/>
              <w:rPr>
                <w:rFonts w:eastAsia="Times New Roman" w:cs="Times New Roman"/>
                <w:color w:val="000000"/>
              </w:rPr>
            </w:pPr>
            <w:r w:rsidRPr="000D491A">
              <w:rPr>
                <w:rFonts w:eastAsia="Times New Roman" w:cs="Times New Roman"/>
                <w:color w:val="000000"/>
              </w:rPr>
              <w:t>(bears/100mi</w:t>
            </w:r>
            <w:r w:rsidRPr="000D491A">
              <w:rPr>
                <w:rFonts w:eastAsia="Times New Roman" w:cs="Times New Roman"/>
                <w:color w:val="000000"/>
                <w:vertAlign w:val="superscript"/>
              </w:rPr>
              <w:t>2</w:t>
            </w:r>
            <w:r w:rsidRPr="000D491A">
              <w:rPr>
                <w:rFonts w:eastAsia="Times New Roman" w:cs="Times New Roman"/>
                <w:color w:val="000000"/>
              </w:rPr>
              <w:t>)</w:t>
            </w:r>
          </w:p>
        </w:tc>
        <w:tc>
          <w:tcPr>
            <w:tcW w:w="0" w:type="auto"/>
            <w:tcBorders>
              <w:top w:val="single" w:sz="8" w:space="0" w:color="auto"/>
              <w:left w:val="nil"/>
              <w:bottom w:val="nil"/>
              <w:right w:val="nil"/>
            </w:tcBorders>
            <w:shd w:val="clear" w:color="auto" w:fill="auto"/>
            <w:noWrap/>
            <w:vAlign w:val="bottom"/>
          </w:tcPr>
          <w:p w14:paraId="6D80F634" w14:textId="77777777" w:rsidR="008C5FBA" w:rsidRPr="000D491A" w:rsidRDefault="008C5FBA" w:rsidP="00234AC2">
            <w:pPr>
              <w:jc w:val="center"/>
              <w:rPr>
                <w:rFonts w:eastAsia="Times New Roman" w:cs="Times New Roman"/>
                <w:color w:val="000000"/>
              </w:rPr>
            </w:pPr>
            <w:r w:rsidRPr="000D491A">
              <w:rPr>
                <w:rFonts w:eastAsia="Times New Roman" w:cs="Times New Roman"/>
                <w:color w:val="000000"/>
              </w:rPr>
              <w:t>95% LCL</w:t>
            </w:r>
          </w:p>
        </w:tc>
        <w:tc>
          <w:tcPr>
            <w:tcW w:w="0" w:type="auto"/>
            <w:tcBorders>
              <w:top w:val="single" w:sz="8" w:space="0" w:color="auto"/>
              <w:left w:val="nil"/>
              <w:bottom w:val="nil"/>
              <w:right w:val="nil"/>
            </w:tcBorders>
            <w:shd w:val="clear" w:color="auto" w:fill="auto"/>
            <w:noWrap/>
            <w:vAlign w:val="bottom"/>
          </w:tcPr>
          <w:p w14:paraId="07720834" w14:textId="77777777" w:rsidR="008C5FBA" w:rsidRPr="000D491A" w:rsidRDefault="008C5FBA" w:rsidP="00234AC2">
            <w:pPr>
              <w:jc w:val="center"/>
              <w:rPr>
                <w:rFonts w:eastAsia="Times New Roman" w:cs="Times New Roman"/>
                <w:color w:val="000000"/>
              </w:rPr>
            </w:pPr>
            <w:r w:rsidRPr="000D491A">
              <w:rPr>
                <w:rFonts w:eastAsia="Times New Roman" w:cs="Times New Roman"/>
                <w:color w:val="000000"/>
              </w:rPr>
              <w:t>95%UCL</w:t>
            </w:r>
          </w:p>
        </w:tc>
        <w:tc>
          <w:tcPr>
            <w:tcW w:w="0" w:type="auto"/>
            <w:tcBorders>
              <w:top w:val="single" w:sz="8" w:space="0" w:color="auto"/>
              <w:left w:val="nil"/>
              <w:bottom w:val="nil"/>
              <w:right w:val="nil"/>
            </w:tcBorders>
            <w:shd w:val="clear" w:color="auto" w:fill="auto"/>
            <w:noWrap/>
            <w:vAlign w:val="bottom"/>
          </w:tcPr>
          <w:p w14:paraId="3CB1682A" w14:textId="77777777" w:rsidR="008C5FBA" w:rsidRPr="000D491A" w:rsidRDefault="008C5FBA" w:rsidP="00234AC2">
            <w:pPr>
              <w:jc w:val="center"/>
              <w:rPr>
                <w:rFonts w:eastAsia="Times New Roman" w:cs="Times New Roman"/>
                <w:color w:val="000000"/>
              </w:rPr>
            </w:pPr>
            <w:proofErr w:type="spellStart"/>
            <w:r w:rsidRPr="000D491A">
              <w:rPr>
                <w:rFonts w:eastAsia="Times New Roman" w:cs="Times New Roman"/>
                <w:color w:val="000000"/>
              </w:rPr>
              <w:t>AICc</w:t>
            </w:r>
            <w:proofErr w:type="spellEnd"/>
          </w:p>
        </w:tc>
        <w:tc>
          <w:tcPr>
            <w:tcW w:w="0" w:type="auto"/>
            <w:tcBorders>
              <w:top w:val="single" w:sz="8" w:space="0" w:color="auto"/>
              <w:left w:val="nil"/>
              <w:bottom w:val="nil"/>
              <w:right w:val="nil"/>
            </w:tcBorders>
            <w:shd w:val="clear" w:color="auto" w:fill="auto"/>
          </w:tcPr>
          <w:p w14:paraId="7CF5F2B7" w14:textId="77777777" w:rsidR="008C5FBA" w:rsidRPr="000D491A" w:rsidRDefault="008C5FBA" w:rsidP="00234AC2">
            <w:pPr>
              <w:jc w:val="center"/>
              <w:rPr>
                <w:rFonts w:eastAsia="Times New Roman" w:cs="Times New Roman"/>
                <w:color w:val="000000"/>
              </w:rPr>
            </w:pPr>
          </w:p>
          <w:p w14:paraId="026D400F" w14:textId="77777777" w:rsidR="008C5FBA" w:rsidRPr="000D491A" w:rsidRDefault="008C5FBA" w:rsidP="00234AC2">
            <w:pPr>
              <w:jc w:val="center"/>
              <w:rPr>
                <w:rFonts w:eastAsia="Times New Roman" w:cs="Times New Roman"/>
                <w:color w:val="000000"/>
              </w:rPr>
            </w:pPr>
          </w:p>
          <w:p w14:paraId="343F3061" w14:textId="77777777" w:rsidR="008C5FBA" w:rsidRPr="000D491A" w:rsidRDefault="008C5FBA" w:rsidP="00234AC2">
            <w:pPr>
              <w:jc w:val="center"/>
              <w:rPr>
                <w:rFonts w:eastAsia="Times New Roman" w:cs="Times New Roman"/>
                <w:color w:val="000000"/>
              </w:rPr>
            </w:pPr>
            <w:proofErr w:type="spellStart"/>
            <w:r w:rsidRPr="000D491A">
              <w:rPr>
                <w:rFonts w:eastAsia="Times New Roman" w:cs="Times New Roman"/>
                <w:color w:val="000000"/>
              </w:rPr>
              <w:t>deltaAIC</w:t>
            </w:r>
            <w:proofErr w:type="spellEnd"/>
          </w:p>
        </w:tc>
      </w:tr>
      <w:tr w:rsidR="008C5FBA" w:rsidRPr="00DC0EF3" w14:paraId="5D50E4EB" w14:textId="77777777" w:rsidTr="00234AC2">
        <w:trPr>
          <w:trHeight w:val="315"/>
        </w:trPr>
        <w:tc>
          <w:tcPr>
            <w:tcW w:w="0" w:type="auto"/>
            <w:tcBorders>
              <w:top w:val="single" w:sz="8" w:space="0" w:color="auto"/>
              <w:left w:val="nil"/>
              <w:bottom w:val="nil"/>
              <w:right w:val="nil"/>
            </w:tcBorders>
            <w:shd w:val="clear" w:color="auto" w:fill="auto"/>
            <w:noWrap/>
            <w:vAlign w:val="center"/>
            <w:hideMark/>
          </w:tcPr>
          <w:p w14:paraId="7E8588AC"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t>go~b+t+Sex</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single" w:sz="8" w:space="0" w:color="auto"/>
              <w:left w:val="nil"/>
              <w:bottom w:val="nil"/>
              <w:right w:val="nil"/>
            </w:tcBorders>
            <w:shd w:val="clear" w:color="auto" w:fill="auto"/>
            <w:noWrap/>
            <w:vAlign w:val="center"/>
            <w:hideMark/>
          </w:tcPr>
          <w:p w14:paraId="63D933C8"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secrAll2</w:t>
            </w:r>
          </w:p>
        </w:tc>
        <w:tc>
          <w:tcPr>
            <w:tcW w:w="0" w:type="auto"/>
            <w:tcBorders>
              <w:top w:val="single" w:sz="8" w:space="0" w:color="auto"/>
              <w:left w:val="nil"/>
              <w:bottom w:val="nil"/>
              <w:right w:val="nil"/>
            </w:tcBorders>
            <w:shd w:val="clear" w:color="auto" w:fill="auto"/>
            <w:noWrap/>
            <w:vAlign w:val="center"/>
            <w:hideMark/>
          </w:tcPr>
          <w:p w14:paraId="1EA45EE4"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14</w:t>
            </w:r>
          </w:p>
        </w:tc>
        <w:tc>
          <w:tcPr>
            <w:tcW w:w="0" w:type="auto"/>
            <w:tcBorders>
              <w:top w:val="single" w:sz="8" w:space="0" w:color="auto"/>
              <w:left w:val="nil"/>
              <w:bottom w:val="nil"/>
              <w:right w:val="nil"/>
            </w:tcBorders>
            <w:shd w:val="clear" w:color="auto" w:fill="auto"/>
            <w:noWrap/>
            <w:vAlign w:val="center"/>
            <w:hideMark/>
          </w:tcPr>
          <w:p w14:paraId="22D92580"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10</w:t>
            </w:r>
          </w:p>
        </w:tc>
        <w:tc>
          <w:tcPr>
            <w:tcW w:w="0" w:type="auto"/>
            <w:tcBorders>
              <w:top w:val="single" w:sz="8" w:space="0" w:color="auto"/>
              <w:left w:val="nil"/>
              <w:bottom w:val="nil"/>
              <w:right w:val="nil"/>
            </w:tcBorders>
            <w:shd w:val="clear" w:color="auto" w:fill="auto"/>
            <w:noWrap/>
            <w:vAlign w:val="center"/>
            <w:hideMark/>
          </w:tcPr>
          <w:p w14:paraId="7F805CB6"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18</w:t>
            </w:r>
          </w:p>
        </w:tc>
        <w:tc>
          <w:tcPr>
            <w:tcW w:w="0" w:type="auto"/>
            <w:tcBorders>
              <w:top w:val="single" w:sz="8" w:space="0" w:color="auto"/>
              <w:left w:val="nil"/>
              <w:bottom w:val="nil"/>
              <w:right w:val="nil"/>
            </w:tcBorders>
            <w:shd w:val="clear" w:color="auto" w:fill="auto"/>
            <w:noWrap/>
            <w:vAlign w:val="center"/>
            <w:hideMark/>
          </w:tcPr>
          <w:p w14:paraId="7A71C1AD"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3492</w:t>
            </w:r>
          </w:p>
        </w:tc>
        <w:tc>
          <w:tcPr>
            <w:tcW w:w="0" w:type="auto"/>
            <w:tcBorders>
              <w:top w:val="single" w:sz="8" w:space="0" w:color="auto"/>
              <w:left w:val="nil"/>
              <w:bottom w:val="nil"/>
              <w:right w:val="nil"/>
            </w:tcBorders>
            <w:shd w:val="clear" w:color="auto" w:fill="auto"/>
            <w:vAlign w:val="center"/>
            <w:hideMark/>
          </w:tcPr>
          <w:p w14:paraId="79200AF2"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0</w:t>
            </w:r>
          </w:p>
        </w:tc>
      </w:tr>
      <w:tr w:rsidR="008C5FBA" w:rsidRPr="00DC0EF3" w14:paraId="47C41D73" w14:textId="77777777" w:rsidTr="00234AC2">
        <w:trPr>
          <w:trHeight w:val="315"/>
        </w:trPr>
        <w:tc>
          <w:tcPr>
            <w:tcW w:w="0" w:type="auto"/>
            <w:tcBorders>
              <w:top w:val="nil"/>
              <w:left w:val="nil"/>
              <w:bottom w:val="nil"/>
              <w:right w:val="nil"/>
            </w:tcBorders>
            <w:shd w:val="clear" w:color="auto" w:fill="auto"/>
            <w:noWrap/>
            <w:vAlign w:val="center"/>
            <w:hideMark/>
          </w:tcPr>
          <w:p w14:paraId="036AE0B8"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t>go~t+Sex</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nil"/>
              <w:left w:val="nil"/>
              <w:bottom w:val="nil"/>
              <w:right w:val="nil"/>
            </w:tcBorders>
            <w:shd w:val="clear" w:color="auto" w:fill="auto"/>
            <w:noWrap/>
            <w:vAlign w:val="center"/>
            <w:hideMark/>
          </w:tcPr>
          <w:p w14:paraId="363BA20D"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secrAll2</w:t>
            </w:r>
          </w:p>
        </w:tc>
        <w:tc>
          <w:tcPr>
            <w:tcW w:w="0" w:type="auto"/>
            <w:tcBorders>
              <w:top w:val="nil"/>
              <w:left w:val="nil"/>
              <w:bottom w:val="nil"/>
              <w:right w:val="nil"/>
            </w:tcBorders>
            <w:shd w:val="clear" w:color="auto" w:fill="auto"/>
            <w:noWrap/>
            <w:vAlign w:val="center"/>
            <w:hideMark/>
          </w:tcPr>
          <w:p w14:paraId="28C490D6"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13</w:t>
            </w:r>
          </w:p>
        </w:tc>
        <w:tc>
          <w:tcPr>
            <w:tcW w:w="0" w:type="auto"/>
            <w:tcBorders>
              <w:top w:val="nil"/>
              <w:left w:val="nil"/>
              <w:bottom w:val="nil"/>
              <w:right w:val="nil"/>
            </w:tcBorders>
            <w:shd w:val="clear" w:color="auto" w:fill="auto"/>
            <w:noWrap/>
            <w:vAlign w:val="center"/>
            <w:hideMark/>
          </w:tcPr>
          <w:p w14:paraId="17F5197E"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9</w:t>
            </w:r>
          </w:p>
        </w:tc>
        <w:tc>
          <w:tcPr>
            <w:tcW w:w="0" w:type="auto"/>
            <w:tcBorders>
              <w:top w:val="nil"/>
              <w:left w:val="nil"/>
              <w:bottom w:val="nil"/>
              <w:right w:val="nil"/>
            </w:tcBorders>
            <w:shd w:val="clear" w:color="auto" w:fill="auto"/>
            <w:noWrap/>
            <w:vAlign w:val="center"/>
            <w:hideMark/>
          </w:tcPr>
          <w:p w14:paraId="30DFAFA5"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17</w:t>
            </w:r>
          </w:p>
        </w:tc>
        <w:tc>
          <w:tcPr>
            <w:tcW w:w="0" w:type="auto"/>
            <w:tcBorders>
              <w:top w:val="nil"/>
              <w:left w:val="nil"/>
              <w:bottom w:val="nil"/>
              <w:right w:val="nil"/>
            </w:tcBorders>
            <w:shd w:val="clear" w:color="auto" w:fill="auto"/>
            <w:noWrap/>
            <w:vAlign w:val="center"/>
            <w:hideMark/>
          </w:tcPr>
          <w:p w14:paraId="1062219D"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3496</w:t>
            </w:r>
          </w:p>
        </w:tc>
        <w:tc>
          <w:tcPr>
            <w:tcW w:w="0" w:type="auto"/>
            <w:tcBorders>
              <w:top w:val="nil"/>
              <w:left w:val="nil"/>
              <w:bottom w:val="nil"/>
              <w:right w:val="nil"/>
            </w:tcBorders>
            <w:shd w:val="clear" w:color="auto" w:fill="auto"/>
            <w:vAlign w:val="center"/>
            <w:hideMark/>
          </w:tcPr>
          <w:p w14:paraId="1FB04141"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4</w:t>
            </w:r>
          </w:p>
        </w:tc>
      </w:tr>
      <w:tr w:rsidR="008C5FBA" w:rsidRPr="00DC0EF3" w14:paraId="2D9E0D72" w14:textId="77777777" w:rsidTr="00234AC2">
        <w:trPr>
          <w:trHeight w:val="315"/>
        </w:trPr>
        <w:tc>
          <w:tcPr>
            <w:tcW w:w="0" w:type="auto"/>
            <w:tcBorders>
              <w:top w:val="nil"/>
              <w:left w:val="nil"/>
              <w:bottom w:val="nil"/>
              <w:right w:val="nil"/>
            </w:tcBorders>
            <w:shd w:val="clear" w:color="auto" w:fill="auto"/>
            <w:noWrap/>
            <w:vAlign w:val="center"/>
            <w:hideMark/>
          </w:tcPr>
          <w:p w14:paraId="49AA9F84"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t>go~b+t</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nil"/>
              <w:left w:val="nil"/>
              <w:bottom w:val="nil"/>
              <w:right w:val="nil"/>
            </w:tcBorders>
            <w:shd w:val="clear" w:color="auto" w:fill="auto"/>
            <w:noWrap/>
            <w:vAlign w:val="center"/>
            <w:hideMark/>
          </w:tcPr>
          <w:p w14:paraId="31B66385"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secrAll1</w:t>
            </w:r>
          </w:p>
        </w:tc>
        <w:tc>
          <w:tcPr>
            <w:tcW w:w="0" w:type="auto"/>
            <w:tcBorders>
              <w:top w:val="nil"/>
              <w:left w:val="nil"/>
              <w:bottom w:val="nil"/>
              <w:right w:val="nil"/>
            </w:tcBorders>
            <w:shd w:val="clear" w:color="auto" w:fill="auto"/>
            <w:noWrap/>
            <w:vAlign w:val="center"/>
            <w:hideMark/>
          </w:tcPr>
          <w:p w14:paraId="3D14B39E"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14</w:t>
            </w:r>
          </w:p>
        </w:tc>
        <w:tc>
          <w:tcPr>
            <w:tcW w:w="0" w:type="auto"/>
            <w:tcBorders>
              <w:top w:val="nil"/>
              <w:left w:val="nil"/>
              <w:bottom w:val="nil"/>
              <w:right w:val="nil"/>
            </w:tcBorders>
            <w:shd w:val="clear" w:color="auto" w:fill="auto"/>
            <w:noWrap/>
            <w:vAlign w:val="center"/>
            <w:hideMark/>
          </w:tcPr>
          <w:p w14:paraId="5E3B871E"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10</w:t>
            </w:r>
          </w:p>
        </w:tc>
        <w:tc>
          <w:tcPr>
            <w:tcW w:w="0" w:type="auto"/>
            <w:tcBorders>
              <w:top w:val="nil"/>
              <w:left w:val="nil"/>
              <w:bottom w:val="nil"/>
              <w:right w:val="nil"/>
            </w:tcBorders>
            <w:shd w:val="clear" w:color="auto" w:fill="auto"/>
            <w:noWrap/>
            <w:vAlign w:val="center"/>
            <w:hideMark/>
          </w:tcPr>
          <w:p w14:paraId="2CBB781F"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19</w:t>
            </w:r>
          </w:p>
        </w:tc>
        <w:tc>
          <w:tcPr>
            <w:tcW w:w="0" w:type="auto"/>
            <w:tcBorders>
              <w:top w:val="nil"/>
              <w:left w:val="nil"/>
              <w:bottom w:val="nil"/>
              <w:right w:val="nil"/>
            </w:tcBorders>
            <w:shd w:val="clear" w:color="auto" w:fill="auto"/>
            <w:noWrap/>
            <w:vAlign w:val="center"/>
            <w:hideMark/>
          </w:tcPr>
          <w:p w14:paraId="2EFBF828"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3502</w:t>
            </w:r>
          </w:p>
        </w:tc>
        <w:tc>
          <w:tcPr>
            <w:tcW w:w="0" w:type="auto"/>
            <w:tcBorders>
              <w:top w:val="nil"/>
              <w:left w:val="nil"/>
              <w:bottom w:val="nil"/>
              <w:right w:val="nil"/>
            </w:tcBorders>
            <w:shd w:val="clear" w:color="auto" w:fill="auto"/>
            <w:vAlign w:val="center"/>
            <w:hideMark/>
          </w:tcPr>
          <w:p w14:paraId="136BE788"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10</w:t>
            </w:r>
          </w:p>
        </w:tc>
      </w:tr>
      <w:tr w:rsidR="008C5FBA" w:rsidRPr="00DC0EF3" w14:paraId="7B8FDAF6" w14:textId="77777777" w:rsidTr="00234AC2">
        <w:trPr>
          <w:trHeight w:val="315"/>
        </w:trPr>
        <w:tc>
          <w:tcPr>
            <w:tcW w:w="0" w:type="auto"/>
            <w:tcBorders>
              <w:top w:val="nil"/>
              <w:left w:val="nil"/>
              <w:bottom w:val="nil"/>
              <w:right w:val="nil"/>
            </w:tcBorders>
            <w:shd w:val="clear" w:color="auto" w:fill="auto"/>
            <w:noWrap/>
            <w:vAlign w:val="center"/>
            <w:hideMark/>
          </w:tcPr>
          <w:p w14:paraId="23769B5E"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t>go~t</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nil"/>
              <w:left w:val="nil"/>
              <w:bottom w:val="nil"/>
              <w:right w:val="nil"/>
            </w:tcBorders>
            <w:shd w:val="clear" w:color="auto" w:fill="auto"/>
            <w:noWrap/>
            <w:vAlign w:val="center"/>
            <w:hideMark/>
          </w:tcPr>
          <w:p w14:paraId="18332D88"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secrAll1</w:t>
            </w:r>
          </w:p>
        </w:tc>
        <w:tc>
          <w:tcPr>
            <w:tcW w:w="0" w:type="auto"/>
            <w:tcBorders>
              <w:top w:val="nil"/>
              <w:left w:val="nil"/>
              <w:bottom w:val="nil"/>
              <w:right w:val="nil"/>
            </w:tcBorders>
            <w:shd w:val="clear" w:color="auto" w:fill="auto"/>
            <w:noWrap/>
            <w:vAlign w:val="center"/>
            <w:hideMark/>
          </w:tcPr>
          <w:p w14:paraId="7E667FB6"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13</w:t>
            </w:r>
          </w:p>
        </w:tc>
        <w:tc>
          <w:tcPr>
            <w:tcW w:w="0" w:type="auto"/>
            <w:tcBorders>
              <w:top w:val="nil"/>
              <w:left w:val="nil"/>
              <w:bottom w:val="nil"/>
              <w:right w:val="nil"/>
            </w:tcBorders>
            <w:shd w:val="clear" w:color="auto" w:fill="auto"/>
            <w:noWrap/>
            <w:vAlign w:val="center"/>
            <w:hideMark/>
          </w:tcPr>
          <w:p w14:paraId="3D3E69FF"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9</w:t>
            </w:r>
          </w:p>
        </w:tc>
        <w:tc>
          <w:tcPr>
            <w:tcW w:w="0" w:type="auto"/>
            <w:tcBorders>
              <w:top w:val="nil"/>
              <w:left w:val="nil"/>
              <w:bottom w:val="nil"/>
              <w:right w:val="nil"/>
            </w:tcBorders>
            <w:shd w:val="clear" w:color="auto" w:fill="auto"/>
            <w:noWrap/>
            <w:vAlign w:val="center"/>
            <w:hideMark/>
          </w:tcPr>
          <w:p w14:paraId="1E751F4D"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17</w:t>
            </w:r>
          </w:p>
        </w:tc>
        <w:tc>
          <w:tcPr>
            <w:tcW w:w="0" w:type="auto"/>
            <w:tcBorders>
              <w:top w:val="nil"/>
              <w:left w:val="nil"/>
              <w:bottom w:val="nil"/>
              <w:right w:val="nil"/>
            </w:tcBorders>
            <w:shd w:val="clear" w:color="auto" w:fill="auto"/>
            <w:noWrap/>
            <w:vAlign w:val="center"/>
            <w:hideMark/>
          </w:tcPr>
          <w:p w14:paraId="0E3E8147"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3507</w:t>
            </w:r>
          </w:p>
        </w:tc>
        <w:tc>
          <w:tcPr>
            <w:tcW w:w="0" w:type="auto"/>
            <w:tcBorders>
              <w:top w:val="nil"/>
              <w:left w:val="nil"/>
              <w:bottom w:val="nil"/>
              <w:right w:val="nil"/>
            </w:tcBorders>
            <w:shd w:val="clear" w:color="auto" w:fill="auto"/>
            <w:vAlign w:val="center"/>
            <w:hideMark/>
          </w:tcPr>
          <w:p w14:paraId="0EF22C08"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15</w:t>
            </w:r>
          </w:p>
        </w:tc>
      </w:tr>
      <w:tr w:rsidR="008C5FBA" w:rsidRPr="00DC0EF3" w14:paraId="2BC4B63A" w14:textId="77777777" w:rsidTr="00234AC2">
        <w:trPr>
          <w:trHeight w:val="315"/>
        </w:trPr>
        <w:tc>
          <w:tcPr>
            <w:tcW w:w="0" w:type="auto"/>
            <w:tcBorders>
              <w:top w:val="nil"/>
              <w:left w:val="nil"/>
              <w:bottom w:val="nil"/>
              <w:right w:val="nil"/>
            </w:tcBorders>
            <w:shd w:val="clear" w:color="auto" w:fill="auto"/>
            <w:noWrap/>
            <w:vAlign w:val="center"/>
            <w:hideMark/>
          </w:tcPr>
          <w:p w14:paraId="58D00813"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t>go~b+Sex</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nil"/>
              <w:left w:val="nil"/>
              <w:bottom w:val="nil"/>
              <w:right w:val="nil"/>
            </w:tcBorders>
            <w:shd w:val="clear" w:color="auto" w:fill="auto"/>
            <w:noWrap/>
            <w:vAlign w:val="center"/>
            <w:hideMark/>
          </w:tcPr>
          <w:p w14:paraId="3FD2B2B8"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secrAll2</w:t>
            </w:r>
          </w:p>
        </w:tc>
        <w:tc>
          <w:tcPr>
            <w:tcW w:w="0" w:type="auto"/>
            <w:tcBorders>
              <w:top w:val="nil"/>
              <w:left w:val="nil"/>
              <w:bottom w:val="nil"/>
              <w:right w:val="nil"/>
            </w:tcBorders>
            <w:shd w:val="clear" w:color="auto" w:fill="auto"/>
            <w:noWrap/>
            <w:vAlign w:val="center"/>
            <w:hideMark/>
          </w:tcPr>
          <w:p w14:paraId="111F1350"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14</w:t>
            </w:r>
          </w:p>
        </w:tc>
        <w:tc>
          <w:tcPr>
            <w:tcW w:w="0" w:type="auto"/>
            <w:tcBorders>
              <w:top w:val="nil"/>
              <w:left w:val="nil"/>
              <w:bottom w:val="nil"/>
              <w:right w:val="nil"/>
            </w:tcBorders>
            <w:shd w:val="clear" w:color="auto" w:fill="auto"/>
            <w:noWrap/>
            <w:vAlign w:val="center"/>
            <w:hideMark/>
          </w:tcPr>
          <w:p w14:paraId="7034AF10"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10</w:t>
            </w:r>
          </w:p>
        </w:tc>
        <w:tc>
          <w:tcPr>
            <w:tcW w:w="0" w:type="auto"/>
            <w:tcBorders>
              <w:top w:val="nil"/>
              <w:left w:val="nil"/>
              <w:bottom w:val="nil"/>
              <w:right w:val="nil"/>
            </w:tcBorders>
            <w:shd w:val="clear" w:color="auto" w:fill="auto"/>
            <w:noWrap/>
            <w:vAlign w:val="center"/>
            <w:hideMark/>
          </w:tcPr>
          <w:p w14:paraId="302CF233"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19</w:t>
            </w:r>
          </w:p>
        </w:tc>
        <w:tc>
          <w:tcPr>
            <w:tcW w:w="0" w:type="auto"/>
            <w:tcBorders>
              <w:top w:val="nil"/>
              <w:left w:val="nil"/>
              <w:bottom w:val="nil"/>
              <w:right w:val="nil"/>
            </w:tcBorders>
            <w:shd w:val="clear" w:color="auto" w:fill="auto"/>
            <w:noWrap/>
            <w:vAlign w:val="center"/>
            <w:hideMark/>
          </w:tcPr>
          <w:p w14:paraId="47544BE5"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3507</w:t>
            </w:r>
          </w:p>
        </w:tc>
        <w:tc>
          <w:tcPr>
            <w:tcW w:w="0" w:type="auto"/>
            <w:tcBorders>
              <w:top w:val="nil"/>
              <w:left w:val="nil"/>
              <w:bottom w:val="nil"/>
              <w:right w:val="nil"/>
            </w:tcBorders>
            <w:shd w:val="clear" w:color="auto" w:fill="auto"/>
            <w:vAlign w:val="center"/>
            <w:hideMark/>
          </w:tcPr>
          <w:p w14:paraId="07F060F8"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15</w:t>
            </w:r>
          </w:p>
        </w:tc>
      </w:tr>
      <w:tr w:rsidR="008C5FBA" w:rsidRPr="00DC0EF3" w14:paraId="36EB3510" w14:textId="77777777" w:rsidTr="00234AC2">
        <w:trPr>
          <w:trHeight w:val="315"/>
        </w:trPr>
        <w:tc>
          <w:tcPr>
            <w:tcW w:w="0" w:type="auto"/>
            <w:tcBorders>
              <w:top w:val="nil"/>
              <w:left w:val="nil"/>
              <w:bottom w:val="nil"/>
              <w:right w:val="nil"/>
            </w:tcBorders>
            <w:shd w:val="clear" w:color="auto" w:fill="auto"/>
            <w:noWrap/>
            <w:vAlign w:val="center"/>
            <w:hideMark/>
          </w:tcPr>
          <w:p w14:paraId="348FA863"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t>go~b+T+Sex</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nil"/>
              <w:left w:val="nil"/>
              <w:bottom w:val="nil"/>
              <w:right w:val="nil"/>
            </w:tcBorders>
            <w:shd w:val="clear" w:color="auto" w:fill="auto"/>
            <w:noWrap/>
            <w:vAlign w:val="center"/>
            <w:hideMark/>
          </w:tcPr>
          <w:p w14:paraId="063BA53A"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secrAll2</w:t>
            </w:r>
          </w:p>
        </w:tc>
        <w:tc>
          <w:tcPr>
            <w:tcW w:w="0" w:type="auto"/>
            <w:tcBorders>
              <w:top w:val="nil"/>
              <w:left w:val="nil"/>
              <w:bottom w:val="nil"/>
              <w:right w:val="nil"/>
            </w:tcBorders>
            <w:shd w:val="clear" w:color="auto" w:fill="auto"/>
            <w:noWrap/>
            <w:vAlign w:val="center"/>
            <w:hideMark/>
          </w:tcPr>
          <w:p w14:paraId="393E4B95"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14</w:t>
            </w:r>
          </w:p>
        </w:tc>
        <w:tc>
          <w:tcPr>
            <w:tcW w:w="0" w:type="auto"/>
            <w:tcBorders>
              <w:top w:val="nil"/>
              <w:left w:val="nil"/>
              <w:bottom w:val="nil"/>
              <w:right w:val="nil"/>
            </w:tcBorders>
            <w:shd w:val="clear" w:color="auto" w:fill="auto"/>
            <w:noWrap/>
            <w:vAlign w:val="center"/>
            <w:hideMark/>
          </w:tcPr>
          <w:p w14:paraId="25E65EBC"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11</w:t>
            </w:r>
          </w:p>
        </w:tc>
        <w:tc>
          <w:tcPr>
            <w:tcW w:w="0" w:type="auto"/>
            <w:tcBorders>
              <w:top w:val="nil"/>
              <w:left w:val="nil"/>
              <w:bottom w:val="nil"/>
              <w:right w:val="nil"/>
            </w:tcBorders>
            <w:shd w:val="clear" w:color="auto" w:fill="auto"/>
            <w:noWrap/>
            <w:vAlign w:val="center"/>
            <w:hideMark/>
          </w:tcPr>
          <w:p w14:paraId="11CD1057"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20</w:t>
            </w:r>
          </w:p>
        </w:tc>
        <w:tc>
          <w:tcPr>
            <w:tcW w:w="0" w:type="auto"/>
            <w:tcBorders>
              <w:top w:val="nil"/>
              <w:left w:val="nil"/>
              <w:bottom w:val="nil"/>
              <w:right w:val="nil"/>
            </w:tcBorders>
            <w:shd w:val="clear" w:color="auto" w:fill="auto"/>
            <w:noWrap/>
            <w:vAlign w:val="center"/>
            <w:hideMark/>
          </w:tcPr>
          <w:p w14:paraId="02F89C5F"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3507</w:t>
            </w:r>
          </w:p>
        </w:tc>
        <w:tc>
          <w:tcPr>
            <w:tcW w:w="0" w:type="auto"/>
            <w:tcBorders>
              <w:top w:val="nil"/>
              <w:left w:val="nil"/>
              <w:bottom w:val="nil"/>
              <w:right w:val="nil"/>
            </w:tcBorders>
            <w:shd w:val="clear" w:color="auto" w:fill="auto"/>
            <w:vAlign w:val="center"/>
            <w:hideMark/>
          </w:tcPr>
          <w:p w14:paraId="169395EC"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15</w:t>
            </w:r>
          </w:p>
        </w:tc>
      </w:tr>
      <w:tr w:rsidR="008C5FBA" w:rsidRPr="00DC0EF3" w14:paraId="7EA9950E" w14:textId="77777777" w:rsidTr="00234AC2">
        <w:trPr>
          <w:trHeight w:val="315"/>
        </w:trPr>
        <w:tc>
          <w:tcPr>
            <w:tcW w:w="0" w:type="auto"/>
            <w:tcBorders>
              <w:top w:val="nil"/>
              <w:left w:val="nil"/>
              <w:bottom w:val="nil"/>
              <w:right w:val="nil"/>
            </w:tcBorders>
            <w:shd w:val="clear" w:color="auto" w:fill="auto"/>
            <w:noWrap/>
            <w:vAlign w:val="center"/>
            <w:hideMark/>
          </w:tcPr>
          <w:p w14:paraId="785F6560"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t>go~b</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nil"/>
              <w:left w:val="nil"/>
              <w:bottom w:val="nil"/>
              <w:right w:val="nil"/>
            </w:tcBorders>
            <w:shd w:val="clear" w:color="auto" w:fill="auto"/>
            <w:noWrap/>
            <w:vAlign w:val="center"/>
            <w:hideMark/>
          </w:tcPr>
          <w:p w14:paraId="7EC10769"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secrAll1</w:t>
            </w:r>
          </w:p>
        </w:tc>
        <w:tc>
          <w:tcPr>
            <w:tcW w:w="0" w:type="auto"/>
            <w:tcBorders>
              <w:top w:val="nil"/>
              <w:left w:val="nil"/>
              <w:bottom w:val="nil"/>
              <w:right w:val="nil"/>
            </w:tcBorders>
            <w:shd w:val="clear" w:color="auto" w:fill="auto"/>
            <w:noWrap/>
            <w:vAlign w:val="center"/>
            <w:hideMark/>
          </w:tcPr>
          <w:p w14:paraId="4E464AF1"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14</w:t>
            </w:r>
          </w:p>
        </w:tc>
        <w:tc>
          <w:tcPr>
            <w:tcW w:w="0" w:type="auto"/>
            <w:tcBorders>
              <w:top w:val="nil"/>
              <w:left w:val="nil"/>
              <w:bottom w:val="nil"/>
              <w:right w:val="nil"/>
            </w:tcBorders>
            <w:shd w:val="clear" w:color="auto" w:fill="auto"/>
            <w:noWrap/>
            <w:vAlign w:val="center"/>
            <w:hideMark/>
          </w:tcPr>
          <w:p w14:paraId="79B5ECDE"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10</w:t>
            </w:r>
          </w:p>
        </w:tc>
        <w:tc>
          <w:tcPr>
            <w:tcW w:w="0" w:type="auto"/>
            <w:tcBorders>
              <w:top w:val="nil"/>
              <w:left w:val="nil"/>
              <w:bottom w:val="nil"/>
              <w:right w:val="nil"/>
            </w:tcBorders>
            <w:shd w:val="clear" w:color="auto" w:fill="auto"/>
            <w:noWrap/>
            <w:vAlign w:val="center"/>
            <w:hideMark/>
          </w:tcPr>
          <w:p w14:paraId="534D0160"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19</w:t>
            </w:r>
          </w:p>
        </w:tc>
        <w:tc>
          <w:tcPr>
            <w:tcW w:w="0" w:type="auto"/>
            <w:tcBorders>
              <w:top w:val="nil"/>
              <w:left w:val="nil"/>
              <w:bottom w:val="nil"/>
              <w:right w:val="nil"/>
            </w:tcBorders>
            <w:shd w:val="clear" w:color="auto" w:fill="auto"/>
            <w:noWrap/>
            <w:vAlign w:val="center"/>
            <w:hideMark/>
          </w:tcPr>
          <w:p w14:paraId="4C3A9C1C"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3515</w:t>
            </w:r>
          </w:p>
        </w:tc>
        <w:tc>
          <w:tcPr>
            <w:tcW w:w="0" w:type="auto"/>
            <w:tcBorders>
              <w:top w:val="nil"/>
              <w:left w:val="nil"/>
              <w:bottom w:val="nil"/>
              <w:right w:val="nil"/>
            </w:tcBorders>
            <w:shd w:val="clear" w:color="auto" w:fill="auto"/>
            <w:vAlign w:val="center"/>
            <w:hideMark/>
          </w:tcPr>
          <w:p w14:paraId="7F83CF03"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23</w:t>
            </w:r>
          </w:p>
        </w:tc>
      </w:tr>
      <w:tr w:rsidR="008C5FBA" w:rsidRPr="00DC0EF3" w14:paraId="02CC992C" w14:textId="77777777" w:rsidTr="00234AC2">
        <w:trPr>
          <w:trHeight w:val="315"/>
        </w:trPr>
        <w:tc>
          <w:tcPr>
            <w:tcW w:w="0" w:type="auto"/>
            <w:tcBorders>
              <w:top w:val="nil"/>
              <w:left w:val="nil"/>
              <w:bottom w:val="nil"/>
              <w:right w:val="nil"/>
            </w:tcBorders>
            <w:shd w:val="clear" w:color="auto" w:fill="auto"/>
            <w:noWrap/>
            <w:vAlign w:val="center"/>
            <w:hideMark/>
          </w:tcPr>
          <w:p w14:paraId="4AC83ABD"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lastRenderedPageBreak/>
              <w:t>go~b+T</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nil"/>
              <w:left w:val="nil"/>
              <w:bottom w:val="nil"/>
              <w:right w:val="nil"/>
            </w:tcBorders>
            <w:shd w:val="clear" w:color="auto" w:fill="auto"/>
            <w:noWrap/>
            <w:vAlign w:val="center"/>
            <w:hideMark/>
          </w:tcPr>
          <w:p w14:paraId="7E8239DA"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secrAll1</w:t>
            </w:r>
          </w:p>
        </w:tc>
        <w:tc>
          <w:tcPr>
            <w:tcW w:w="0" w:type="auto"/>
            <w:tcBorders>
              <w:top w:val="nil"/>
              <w:left w:val="nil"/>
              <w:bottom w:val="nil"/>
              <w:right w:val="nil"/>
            </w:tcBorders>
            <w:shd w:val="clear" w:color="auto" w:fill="auto"/>
            <w:noWrap/>
            <w:vAlign w:val="center"/>
            <w:hideMark/>
          </w:tcPr>
          <w:p w14:paraId="64F24E30"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15</w:t>
            </w:r>
          </w:p>
        </w:tc>
        <w:tc>
          <w:tcPr>
            <w:tcW w:w="0" w:type="auto"/>
            <w:tcBorders>
              <w:top w:val="nil"/>
              <w:left w:val="nil"/>
              <w:bottom w:val="nil"/>
              <w:right w:val="nil"/>
            </w:tcBorders>
            <w:shd w:val="clear" w:color="auto" w:fill="auto"/>
            <w:noWrap/>
            <w:vAlign w:val="center"/>
            <w:hideMark/>
          </w:tcPr>
          <w:p w14:paraId="3EAE7A27"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11</w:t>
            </w:r>
          </w:p>
        </w:tc>
        <w:tc>
          <w:tcPr>
            <w:tcW w:w="0" w:type="auto"/>
            <w:tcBorders>
              <w:top w:val="nil"/>
              <w:left w:val="nil"/>
              <w:bottom w:val="nil"/>
              <w:right w:val="nil"/>
            </w:tcBorders>
            <w:shd w:val="clear" w:color="auto" w:fill="auto"/>
            <w:noWrap/>
            <w:vAlign w:val="center"/>
            <w:hideMark/>
          </w:tcPr>
          <w:p w14:paraId="46910787"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20</w:t>
            </w:r>
          </w:p>
        </w:tc>
        <w:tc>
          <w:tcPr>
            <w:tcW w:w="0" w:type="auto"/>
            <w:tcBorders>
              <w:top w:val="nil"/>
              <w:left w:val="nil"/>
              <w:bottom w:val="nil"/>
              <w:right w:val="nil"/>
            </w:tcBorders>
            <w:shd w:val="clear" w:color="auto" w:fill="auto"/>
            <w:noWrap/>
            <w:vAlign w:val="center"/>
            <w:hideMark/>
          </w:tcPr>
          <w:p w14:paraId="44DAAC52"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3516</w:t>
            </w:r>
          </w:p>
        </w:tc>
        <w:tc>
          <w:tcPr>
            <w:tcW w:w="0" w:type="auto"/>
            <w:tcBorders>
              <w:top w:val="nil"/>
              <w:left w:val="nil"/>
              <w:bottom w:val="nil"/>
              <w:right w:val="nil"/>
            </w:tcBorders>
            <w:shd w:val="clear" w:color="auto" w:fill="auto"/>
            <w:vAlign w:val="center"/>
            <w:hideMark/>
          </w:tcPr>
          <w:p w14:paraId="14119D4F"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24</w:t>
            </w:r>
          </w:p>
        </w:tc>
      </w:tr>
      <w:tr w:rsidR="008C5FBA" w:rsidRPr="00DC0EF3" w14:paraId="5DA2741D" w14:textId="77777777" w:rsidTr="00234AC2">
        <w:trPr>
          <w:trHeight w:val="315"/>
        </w:trPr>
        <w:tc>
          <w:tcPr>
            <w:tcW w:w="0" w:type="auto"/>
            <w:tcBorders>
              <w:top w:val="nil"/>
              <w:left w:val="nil"/>
              <w:bottom w:val="nil"/>
              <w:right w:val="nil"/>
            </w:tcBorders>
            <w:shd w:val="clear" w:color="auto" w:fill="auto"/>
            <w:noWrap/>
            <w:vAlign w:val="center"/>
            <w:hideMark/>
          </w:tcPr>
          <w:p w14:paraId="7E1CECAC"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t>go~T+Sex</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nil"/>
              <w:left w:val="nil"/>
              <w:bottom w:val="nil"/>
              <w:right w:val="nil"/>
            </w:tcBorders>
            <w:shd w:val="clear" w:color="auto" w:fill="auto"/>
            <w:noWrap/>
            <w:vAlign w:val="center"/>
            <w:hideMark/>
          </w:tcPr>
          <w:p w14:paraId="36B06B76"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secrAll2</w:t>
            </w:r>
          </w:p>
        </w:tc>
        <w:tc>
          <w:tcPr>
            <w:tcW w:w="0" w:type="auto"/>
            <w:tcBorders>
              <w:top w:val="nil"/>
              <w:left w:val="nil"/>
              <w:bottom w:val="nil"/>
              <w:right w:val="nil"/>
            </w:tcBorders>
            <w:shd w:val="clear" w:color="auto" w:fill="auto"/>
            <w:noWrap/>
            <w:vAlign w:val="center"/>
            <w:hideMark/>
          </w:tcPr>
          <w:p w14:paraId="29176AB4"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13</w:t>
            </w:r>
          </w:p>
        </w:tc>
        <w:tc>
          <w:tcPr>
            <w:tcW w:w="0" w:type="auto"/>
            <w:tcBorders>
              <w:top w:val="nil"/>
              <w:left w:val="nil"/>
              <w:bottom w:val="nil"/>
              <w:right w:val="nil"/>
            </w:tcBorders>
            <w:shd w:val="clear" w:color="auto" w:fill="auto"/>
            <w:noWrap/>
            <w:vAlign w:val="center"/>
            <w:hideMark/>
          </w:tcPr>
          <w:p w14:paraId="02655742"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9</w:t>
            </w:r>
          </w:p>
        </w:tc>
        <w:tc>
          <w:tcPr>
            <w:tcW w:w="0" w:type="auto"/>
            <w:tcBorders>
              <w:top w:val="nil"/>
              <w:left w:val="nil"/>
              <w:bottom w:val="nil"/>
              <w:right w:val="nil"/>
            </w:tcBorders>
            <w:shd w:val="clear" w:color="auto" w:fill="auto"/>
            <w:noWrap/>
            <w:vAlign w:val="center"/>
            <w:hideMark/>
          </w:tcPr>
          <w:p w14:paraId="04D1269E"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17</w:t>
            </w:r>
          </w:p>
        </w:tc>
        <w:tc>
          <w:tcPr>
            <w:tcW w:w="0" w:type="auto"/>
            <w:tcBorders>
              <w:top w:val="nil"/>
              <w:left w:val="nil"/>
              <w:bottom w:val="nil"/>
              <w:right w:val="nil"/>
            </w:tcBorders>
            <w:shd w:val="clear" w:color="auto" w:fill="auto"/>
            <w:noWrap/>
            <w:vAlign w:val="center"/>
            <w:hideMark/>
          </w:tcPr>
          <w:p w14:paraId="66C3323F"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3543</w:t>
            </w:r>
          </w:p>
        </w:tc>
        <w:tc>
          <w:tcPr>
            <w:tcW w:w="0" w:type="auto"/>
            <w:tcBorders>
              <w:top w:val="nil"/>
              <w:left w:val="nil"/>
              <w:bottom w:val="nil"/>
              <w:right w:val="nil"/>
            </w:tcBorders>
            <w:shd w:val="clear" w:color="auto" w:fill="auto"/>
            <w:vAlign w:val="center"/>
            <w:hideMark/>
          </w:tcPr>
          <w:p w14:paraId="696B8A38"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51</w:t>
            </w:r>
          </w:p>
        </w:tc>
      </w:tr>
      <w:tr w:rsidR="008C5FBA" w:rsidRPr="00DC0EF3" w14:paraId="54BCAF38" w14:textId="77777777" w:rsidTr="00234AC2">
        <w:trPr>
          <w:trHeight w:val="330"/>
        </w:trPr>
        <w:tc>
          <w:tcPr>
            <w:tcW w:w="0" w:type="auto"/>
            <w:tcBorders>
              <w:top w:val="nil"/>
              <w:left w:val="nil"/>
              <w:bottom w:val="single" w:sz="8" w:space="0" w:color="auto"/>
              <w:right w:val="nil"/>
            </w:tcBorders>
            <w:shd w:val="clear" w:color="auto" w:fill="auto"/>
            <w:noWrap/>
            <w:vAlign w:val="center"/>
            <w:hideMark/>
          </w:tcPr>
          <w:p w14:paraId="3C4D5A59" w14:textId="77777777" w:rsidR="008C5FBA" w:rsidRPr="000D491A" w:rsidRDefault="008C5FBA" w:rsidP="00234AC2">
            <w:pPr>
              <w:jc w:val="center"/>
              <w:rPr>
                <w:rFonts w:eastAsia="Times New Roman" w:cs="Times New Roman"/>
                <w:color w:val="000000"/>
                <w:szCs w:val="24"/>
              </w:rPr>
            </w:pPr>
            <w:proofErr w:type="spellStart"/>
            <w:r w:rsidRPr="000D491A">
              <w:rPr>
                <w:rFonts w:eastAsia="Times New Roman" w:cs="Times New Roman"/>
                <w:color w:val="000000"/>
                <w:szCs w:val="24"/>
              </w:rPr>
              <w:t>go~T</w:t>
            </w:r>
            <w:proofErr w:type="spellEnd"/>
            <w:r w:rsidRPr="000D491A">
              <w:rPr>
                <w:rFonts w:eastAsia="Times New Roman" w:cs="Times New Roman"/>
                <w:color w:val="000000"/>
                <w:szCs w:val="24"/>
              </w:rPr>
              <w:t xml:space="preserve">, </w:t>
            </w:r>
            <w:proofErr w:type="spellStart"/>
            <w:r w:rsidRPr="000D491A">
              <w:rPr>
                <w:rFonts w:eastAsia="Times New Roman" w:cs="Times New Roman"/>
                <w:color w:val="000000"/>
                <w:szCs w:val="24"/>
              </w:rPr>
              <w:t>σ~Sex</w:t>
            </w:r>
            <w:proofErr w:type="spellEnd"/>
          </w:p>
        </w:tc>
        <w:tc>
          <w:tcPr>
            <w:tcW w:w="0" w:type="auto"/>
            <w:tcBorders>
              <w:top w:val="nil"/>
              <w:left w:val="nil"/>
              <w:bottom w:val="single" w:sz="8" w:space="0" w:color="auto"/>
              <w:right w:val="nil"/>
            </w:tcBorders>
            <w:shd w:val="clear" w:color="auto" w:fill="auto"/>
            <w:noWrap/>
            <w:vAlign w:val="center"/>
            <w:hideMark/>
          </w:tcPr>
          <w:p w14:paraId="7E8FCBB0"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secrAll1</w:t>
            </w:r>
          </w:p>
        </w:tc>
        <w:tc>
          <w:tcPr>
            <w:tcW w:w="0" w:type="auto"/>
            <w:tcBorders>
              <w:top w:val="nil"/>
              <w:left w:val="nil"/>
              <w:bottom w:val="single" w:sz="8" w:space="0" w:color="auto"/>
              <w:right w:val="nil"/>
            </w:tcBorders>
            <w:shd w:val="clear" w:color="auto" w:fill="auto"/>
            <w:noWrap/>
            <w:vAlign w:val="center"/>
            <w:hideMark/>
          </w:tcPr>
          <w:p w14:paraId="6D862A74"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13</w:t>
            </w:r>
          </w:p>
        </w:tc>
        <w:tc>
          <w:tcPr>
            <w:tcW w:w="0" w:type="auto"/>
            <w:tcBorders>
              <w:top w:val="nil"/>
              <w:left w:val="nil"/>
              <w:bottom w:val="single" w:sz="8" w:space="0" w:color="auto"/>
              <w:right w:val="nil"/>
            </w:tcBorders>
            <w:shd w:val="clear" w:color="auto" w:fill="auto"/>
            <w:noWrap/>
            <w:vAlign w:val="center"/>
            <w:hideMark/>
          </w:tcPr>
          <w:p w14:paraId="4F17865F"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9</w:t>
            </w:r>
          </w:p>
        </w:tc>
        <w:tc>
          <w:tcPr>
            <w:tcW w:w="0" w:type="auto"/>
            <w:tcBorders>
              <w:top w:val="nil"/>
              <w:left w:val="nil"/>
              <w:bottom w:val="single" w:sz="8" w:space="0" w:color="auto"/>
              <w:right w:val="nil"/>
            </w:tcBorders>
            <w:shd w:val="clear" w:color="auto" w:fill="auto"/>
            <w:noWrap/>
            <w:vAlign w:val="center"/>
            <w:hideMark/>
          </w:tcPr>
          <w:p w14:paraId="548AC972"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17</w:t>
            </w:r>
          </w:p>
        </w:tc>
        <w:tc>
          <w:tcPr>
            <w:tcW w:w="0" w:type="auto"/>
            <w:tcBorders>
              <w:top w:val="nil"/>
              <w:left w:val="nil"/>
              <w:bottom w:val="single" w:sz="8" w:space="0" w:color="auto"/>
              <w:right w:val="nil"/>
            </w:tcBorders>
            <w:shd w:val="clear" w:color="auto" w:fill="auto"/>
            <w:noWrap/>
            <w:vAlign w:val="center"/>
            <w:hideMark/>
          </w:tcPr>
          <w:p w14:paraId="6B5EF992"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3554</w:t>
            </w:r>
          </w:p>
        </w:tc>
        <w:tc>
          <w:tcPr>
            <w:tcW w:w="0" w:type="auto"/>
            <w:tcBorders>
              <w:top w:val="nil"/>
              <w:left w:val="nil"/>
              <w:bottom w:val="single" w:sz="8" w:space="0" w:color="auto"/>
              <w:right w:val="nil"/>
            </w:tcBorders>
            <w:shd w:val="clear" w:color="auto" w:fill="auto"/>
            <w:vAlign w:val="center"/>
            <w:hideMark/>
          </w:tcPr>
          <w:p w14:paraId="35994A1B" w14:textId="77777777" w:rsidR="008C5FBA" w:rsidRPr="000D491A" w:rsidRDefault="008C5FBA" w:rsidP="00234AC2">
            <w:pPr>
              <w:jc w:val="center"/>
              <w:rPr>
                <w:rFonts w:eastAsia="Times New Roman" w:cs="Times New Roman"/>
                <w:color w:val="000000"/>
                <w:szCs w:val="24"/>
              </w:rPr>
            </w:pPr>
            <w:r w:rsidRPr="000D491A">
              <w:rPr>
                <w:rFonts w:eastAsia="Times New Roman" w:cs="Times New Roman"/>
                <w:color w:val="000000"/>
                <w:szCs w:val="24"/>
              </w:rPr>
              <w:t>62</w:t>
            </w:r>
          </w:p>
        </w:tc>
      </w:tr>
    </w:tbl>
    <w:p w14:paraId="659AE723" w14:textId="77777777" w:rsidR="008C5FBA" w:rsidRDefault="008C5FBA">
      <w:pPr>
        <w:rPr>
          <w:b/>
          <w:szCs w:val="24"/>
        </w:rPr>
      </w:pPr>
    </w:p>
    <w:p w14:paraId="02A203DC" w14:textId="77777777" w:rsidR="00A8637C" w:rsidRPr="00623AE1" w:rsidRDefault="00623AE1" w:rsidP="00623AE1">
      <w:pPr>
        <w:rPr>
          <w:szCs w:val="24"/>
        </w:rPr>
      </w:pPr>
      <w:r w:rsidRPr="00623AE1">
        <w:rPr>
          <w:szCs w:val="24"/>
        </w:rPr>
        <w:t xml:space="preserve">During the 2015-2016 Academic year, I worked with an honor’s student to explore the effect of subsampling on SECR estimates of population abundance.  We began by comparing SECR-based estimates of population size when using all available data to estimates obtained by subsampling </w:t>
      </w:r>
      <w:r w:rsidR="00747FBE">
        <w:rPr>
          <w:i/>
          <w:szCs w:val="24"/>
        </w:rPr>
        <w:t xml:space="preserve">n </w:t>
      </w:r>
      <w:r w:rsidR="00747FBE">
        <w:rPr>
          <w:szCs w:val="24"/>
        </w:rPr>
        <w:t>clusters of hair.  We compared different subsampling strategies, but focus</w:t>
      </w:r>
      <w:r w:rsidR="008B2B52">
        <w:rPr>
          <w:szCs w:val="24"/>
        </w:rPr>
        <w:t>ed primarily on 2 subsampling</w:t>
      </w:r>
      <w:r w:rsidRPr="00623AE1">
        <w:rPr>
          <w:szCs w:val="24"/>
        </w:rPr>
        <w:t xml:space="preserve"> strategies: </w:t>
      </w:r>
    </w:p>
    <w:p w14:paraId="1C7AAFBE" w14:textId="77777777" w:rsidR="00623AE1" w:rsidRPr="00F31B80" w:rsidRDefault="00623AE1" w:rsidP="00F31B80">
      <w:pPr>
        <w:pStyle w:val="ListParagraph"/>
        <w:numPr>
          <w:ilvl w:val="0"/>
          <w:numId w:val="5"/>
        </w:numPr>
        <w:rPr>
          <w:rFonts w:ascii="Times New Roman" w:hAnsi="Times New Roman"/>
          <w:sz w:val="24"/>
          <w:szCs w:val="24"/>
        </w:rPr>
      </w:pPr>
      <w:r w:rsidRPr="00F31B80">
        <w:rPr>
          <w:rFonts w:ascii="Times New Roman" w:hAnsi="Times New Roman"/>
          <w:i/>
          <w:sz w:val="24"/>
          <w:szCs w:val="24"/>
        </w:rPr>
        <w:t>Simple Random Sampling</w:t>
      </w:r>
      <w:r w:rsidRPr="00F31B80">
        <w:rPr>
          <w:rFonts w:ascii="Times New Roman" w:hAnsi="Times New Roman"/>
          <w:sz w:val="24"/>
          <w:szCs w:val="24"/>
        </w:rPr>
        <w:t xml:space="preserve">: </w:t>
      </w:r>
      <w:r w:rsidRPr="000D491A">
        <w:rPr>
          <w:rFonts w:ascii="Times New Roman" w:hAnsi="Times New Roman"/>
          <w:i/>
          <w:sz w:val="24"/>
          <w:szCs w:val="24"/>
        </w:rPr>
        <w:t>n</w:t>
      </w:r>
      <w:r w:rsidRPr="00F31B80">
        <w:rPr>
          <w:rFonts w:ascii="Times New Roman" w:hAnsi="Times New Roman"/>
          <w:sz w:val="24"/>
          <w:szCs w:val="24"/>
        </w:rPr>
        <w:t xml:space="preserve"> samples were chosen at random from the entire </w:t>
      </w:r>
      <w:r w:rsidR="008B2B52" w:rsidRPr="00F31B80">
        <w:rPr>
          <w:rFonts w:ascii="Times New Roman" w:hAnsi="Times New Roman"/>
          <w:sz w:val="24"/>
          <w:szCs w:val="24"/>
        </w:rPr>
        <w:t>set of hair clusters</w:t>
      </w:r>
      <w:r w:rsidRPr="00F31B80">
        <w:rPr>
          <w:rFonts w:ascii="Times New Roman" w:hAnsi="Times New Roman"/>
          <w:sz w:val="24"/>
          <w:szCs w:val="24"/>
        </w:rPr>
        <w:t xml:space="preserve"> (pooled across the different sites and sampling periods). This type of sampling should, on average, result in data that are representative of the population of hair </w:t>
      </w:r>
      <w:r w:rsidR="008B2B52" w:rsidRPr="00F31B80">
        <w:rPr>
          <w:rFonts w:ascii="Times New Roman" w:hAnsi="Times New Roman"/>
          <w:sz w:val="24"/>
          <w:szCs w:val="24"/>
        </w:rPr>
        <w:t>clusters</w:t>
      </w:r>
      <w:r w:rsidRPr="00F31B80">
        <w:rPr>
          <w:rFonts w:ascii="Times New Roman" w:hAnsi="Times New Roman"/>
          <w:sz w:val="24"/>
          <w:szCs w:val="24"/>
        </w:rPr>
        <w:t>.</w:t>
      </w:r>
    </w:p>
    <w:p w14:paraId="29B4D4EF" w14:textId="77777777" w:rsidR="000C1EDC" w:rsidRPr="00F31B80" w:rsidRDefault="00D525F2" w:rsidP="00F31B80">
      <w:pPr>
        <w:pStyle w:val="ListParagraph"/>
        <w:numPr>
          <w:ilvl w:val="0"/>
          <w:numId w:val="5"/>
        </w:numPr>
        <w:rPr>
          <w:rFonts w:ascii="Times New Roman" w:hAnsi="Times New Roman"/>
          <w:sz w:val="24"/>
          <w:szCs w:val="24"/>
        </w:rPr>
      </w:pPr>
      <w:r w:rsidRPr="00F31B80">
        <w:rPr>
          <w:rFonts w:ascii="Times New Roman" w:hAnsi="Times New Roman"/>
          <w:sz w:val="24"/>
          <w:szCs w:val="24"/>
        </w:rPr>
        <w:t xml:space="preserve">A strategy that we refer to as </w:t>
      </w:r>
      <w:r w:rsidR="00623AE1" w:rsidRPr="00F31B80">
        <w:rPr>
          <w:rFonts w:ascii="Times New Roman" w:hAnsi="Times New Roman"/>
          <w:i/>
          <w:sz w:val="24"/>
          <w:szCs w:val="24"/>
        </w:rPr>
        <w:t>Spread.one</w:t>
      </w:r>
      <w:r w:rsidR="00623AE1" w:rsidRPr="00F31B80">
        <w:rPr>
          <w:rFonts w:ascii="Times New Roman" w:hAnsi="Times New Roman"/>
          <w:sz w:val="24"/>
          <w:szCs w:val="24"/>
        </w:rPr>
        <w:t xml:space="preserve">:  </w:t>
      </w:r>
      <w:r w:rsidR="008B2B52" w:rsidRPr="00F31B80">
        <w:rPr>
          <w:rFonts w:ascii="Times New Roman" w:hAnsi="Times New Roman"/>
          <w:sz w:val="24"/>
          <w:szCs w:val="24"/>
        </w:rPr>
        <w:t>to understand this strategy, define “site-sessions” as the combination of sampling site and sampling period</w:t>
      </w:r>
      <w:r w:rsidR="003453F1" w:rsidRPr="00F31B80">
        <w:rPr>
          <w:rFonts w:ascii="Times New Roman" w:hAnsi="Times New Roman"/>
          <w:sz w:val="24"/>
          <w:szCs w:val="24"/>
        </w:rPr>
        <w:t xml:space="preserve"> (e.g., site 1 and</w:t>
      </w:r>
      <w:r w:rsidR="008B2B52" w:rsidRPr="00F31B80">
        <w:rPr>
          <w:rFonts w:ascii="Times New Roman" w:hAnsi="Times New Roman"/>
          <w:sz w:val="24"/>
          <w:szCs w:val="24"/>
        </w:rPr>
        <w:t xml:space="preserve"> </w:t>
      </w:r>
      <w:r w:rsidR="003453F1" w:rsidRPr="00F31B80">
        <w:rPr>
          <w:rFonts w:ascii="Times New Roman" w:hAnsi="Times New Roman"/>
          <w:sz w:val="24"/>
          <w:szCs w:val="24"/>
        </w:rPr>
        <w:t>sampling</w:t>
      </w:r>
      <w:r w:rsidR="008B2B52" w:rsidRPr="00F31B80">
        <w:rPr>
          <w:rFonts w:ascii="Times New Roman" w:hAnsi="Times New Roman"/>
          <w:sz w:val="24"/>
          <w:szCs w:val="24"/>
        </w:rPr>
        <w:t xml:space="preserve"> period 2)</w:t>
      </w:r>
      <w:r w:rsidR="000C1EDC" w:rsidRPr="00F31B80">
        <w:rPr>
          <w:rFonts w:ascii="Times New Roman" w:hAnsi="Times New Roman"/>
          <w:sz w:val="24"/>
          <w:szCs w:val="24"/>
        </w:rPr>
        <w:t xml:space="preserve">.  </w:t>
      </w:r>
    </w:p>
    <w:p w14:paraId="19599531" w14:textId="77777777" w:rsidR="000C1EDC" w:rsidRPr="00F31B80" w:rsidRDefault="008B2B52" w:rsidP="00F31B80">
      <w:pPr>
        <w:pStyle w:val="ListParagraph"/>
        <w:numPr>
          <w:ilvl w:val="1"/>
          <w:numId w:val="5"/>
        </w:numPr>
        <w:rPr>
          <w:rFonts w:ascii="Times New Roman" w:hAnsi="Times New Roman"/>
          <w:sz w:val="24"/>
          <w:szCs w:val="24"/>
        </w:rPr>
      </w:pPr>
      <w:r w:rsidRPr="00F31B80">
        <w:rPr>
          <w:rFonts w:ascii="Times New Roman" w:hAnsi="Times New Roman"/>
          <w:sz w:val="24"/>
          <w:szCs w:val="24"/>
        </w:rPr>
        <w:t>I</w:t>
      </w:r>
      <w:r w:rsidR="00623AE1" w:rsidRPr="00F31B80">
        <w:rPr>
          <w:rFonts w:ascii="Times New Roman" w:hAnsi="Times New Roman"/>
          <w:sz w:val="24"/>
          <w:szCs w:val="24"/>
        </w:rPr>
        <w:t>f</w:t>
      </w:r>
      <w:r w:rsidR="00623AE1" w:rsidRPr="000D491A">
        <w:rPr>
          <w:rFonts w:ascii="Times New Roman" w:hAnsi="Times New Roman"/>
          <w:i/>
          <w:sz w:val="24"/>
          <w:szCs w:val="24"/>
        </w:rPr>
        <w:t xml:space="preserve"> n</w:t>
      </w:r>
      <w:r w:rsidR="00623AE1" w:rsidRPr="00F31B80">
        <w:rPr>
          <w:rFonts w:ascii="Times New Roman" w:hAnsi="Times New Roman"/>
          <w:sz w:val="24"/>
          <w:szCs w:val="24"/>
        </w:rPr>
        <w:t xml:space="preserve"> </w:t>
      </w:r>
      <w:r w:rsidR="00747FBE" w:rsidRPr="00F31B80">
        <w:rPr>
          <w:rFonts w:ascii="Times New Roman" w:hAnsi="Times New Roman"/>
          <w:sz w:val="24"/>
          <w:szCs w:val="24"/>
        </w:rPr>
        <w:t>&lt;</w:t>
      </w:r>
      <w:r w:rsidR="00623AE1" w:rsidRPr="00F31B80">
        <w:rPr>
          <w:rFonts w:ascii="Times New Roman" w:hAnsi="Times New Roman"/>
          <w:sz w:val="24"/>
          <w:szCs w:val="24"/>
        </w:rPr>
        <w:t xml:space="preserve"> number of</w:t>
      </w:r>
      <w:r w:rsidR="004E34F5" w:rsidRPr="00F31B80">
        <w:rPr>
          <w:rFonts w:ascii="Times New Roman" w:hAnsi="Times New Roman"/>
          <w:sz w:val="24"/>
          <w:szCs w:val="24"/>
        </w:rPr>
        <w:t xml:space="preserve"> unique</w:t>
      </w:r>
      <w:r w:rsidR="00623AE1" w:rsidRPr="00F31B80">
        <w:rPr>
          <w:rFonts w:ascii="Times New Roman" w:hAnsi="Times New Roman"/>
          <w:sz w:val="24"/>
          <w:szCs w:val="24"/>
        </w:rPr>
        <w:t xml:space="preserve"> </w:t>
      </w:r>
      <w:r w:rsidRPr="00F31B80">
        <w:rPr>
          <w:rFonts w:ascii="Times New Roman" w:hAnsi="Times New Roman"/>
          <w:sz w:val="24"/>
          <w:szCs w:val="24"/>
        </w:rPr>
        <w:t>site-sessions</w:t>
      </w:r>
      <w:r w:rsidR="004E34F5" w:rsidRPr="00F31B80">
        <w:rPr>
          <w:rFonts w:ascii="Times New Roman" w:hAnsi="Times New Roman"/>
          <w:sz w:val="24"/>
          <w:szCs w:val="24"/>
        </w:rPr>
        <w:t xml:space="preserve"> </w:t>
      </w:r>
      <w:r w:rsidR="00D525F2" w:rsidRPr="00F31B80">
        <w:rPr>
          <w:rFonts w:ascii="Times New Roman" w:hAnsi="Times New Roman"/>
          <w:sz w:val="24"/>
          <w:szCs w:val="24"/>
        </w:rPr>
        <w:t>with at least 1 capture</w:t>
      </w:r>
      <w:r w:rsidRPr="00F31B80">
        <w:rPr>
          <w:rFonts w:ascii="Times New Roman" w:hAnsi="Times New Roman"/>
          <w:sz w:val="24"/>
          <w:szCs w:val="24"/>
        </w:rPr>
        <w:t xml:space="preserve">, we randomly selected </w:t>
      </w:r>
      <w:r w:rsidRPr="00D46842">
        <w:rPr>
          <w:rFonts w:ascii="Times New Roman" w:hAnsi="Times New Roman"/>
          <w:i/>
          <w:sz w:val="24"/>
          <w:szCs w:val="24"/>
        </w:rPr>
        <w:t>n</w:t>
      </w:r>
      <w:r w:rsidR="00CB3332" w:rsidRPr="00F31B80">
        <w:rPr>
          <w:rFonts w:ascii="Times New Roman" w:hAnsi="Times New Roman"/>
          <w:sz w:val="24"/>
          <w:szCs w:val="24"/>
        </w:rPr>
        <w:t xml:space="preserve"> </w:t>
      </w:r>
      <w:r w:rsidRPr="00F31B80">
        <w:rPr>
          <w:rFonts w:ascii="Times New Roman" w:hAnsi="Times New Roman"/>
          <w:sz w:val="24"/>
          <w:szCs w:val="24"/>
        </w:rPr>
        <w:t>site</w:t>
      </w:r>
      <w:r w:rsidR="00CB3332" w:rsidRPr="00F31B80">
        <w:rPr>
          <w:rFonts w:ascii="Times New Roman" w:hAnsi="Times New Roman"/>
          <w:sz w:val="24"/>
          <w:szCs w:val="24"/>
        </w:rPr>
        <w:t xml:space="preserve">-sessions </w:t>
      </w:r>
      <w:r w:rsidR="00D525F2" w:rsidRPr="00F31B80">
        <w:rPr>
          <w:rFonts w:ascii="Times New Roman" w:hAnsi="Times New Roman"/>
          <w:sz w:val="24"/>
          <w:szCs w:val="24"/>
        </w:rPr>
        <w:t>containing</w:t>
      </w:r>
      <w:r w:rsidR="00CB3332" w:rsidRPr="00F31B80">
        <w:rPr>
          <w:rFonts w:ascii="Times New Roman" w:hAnsi="Times New Roman"/>
          <w:sz w:val="24"/>
          <w:szCs w:val="24"/>
        </w:rPr>
        <w:t xml:space="preserve"> hair data,</w:t>
      </w:r>
      <w:r w:rsidRPr="00F31B80">
        <w:rPr>
          <w:rFonts w:ascii="Times New Roman" w:hAnsi="Times New Roman"/>
          <w:sz w:val="24"/>
          <w:szCs w:val="24"/>
        </w:rPr>
        <w:t xml:space="preserve"> and then randomly selected 1 hair cluster from </w:t>
      </w:r>
      <w:r w:rsidR="00D46842">
        <w:rPr>
          <w:rFonts w:ascii="Times New Roman" w:hAnsi="Times New Roman"/>
          <w:sz w:val="24"/>
          <w:szCs w:val="24"/>
        </w:rPr>
        <w:t xml:space="preserve">each of </w:t>
      </w:r>
      <w:r w:rsidRPr="00F31B80">
        <w:rPr>
          <w:rFonts w:ascii="Times New Roman" w:hAnsi="Times New Roman"/>
          <w:sz w:val="24"/>
          <w:szCs w:val="24"/>
        </w:rPr>
        <w:t xml:space="preserve">these </w:t>
      </w:r>
      <w:r w:rsidR="00CB3332" w:rsidRPr="00F31B80">
        <w:rPr>
          <w:rFonts w:ascii="Times New Roman" w:hAnsi="Times New Roman"/>
          <w:sz w:val="24"/>
          <w:szCs w:val="24"/>
        </w:rPr>
        <w:t xml:space="preserve">randomly selected </w:t>
      </w:r>
      <w:r w:rsidRPr="00F31B80">
        <w:rPr>
          <w:rFonts w:ascii="Times New Roman" w:hAnsi="Times New Roman"/>
          <w:sz w:val="24"/>
          <w:szCs w:val="24"/>
        </w:rPr>
        <w:t>site-sessions</w:t>
      </w:r>
      <w:r w:rsidR="00623AE1" w:rsidRPr="00F31B80">
        <w:rPr>
          <w:rFonts w:ascii="Times New Roman" w:hAnsi="Times New Roman"/>
          <w:sz w:val="24"/>
          <w:szCs w:val="24"/>
        </w:rPr>
        <w:t>.</w:t>
      </w:r>
      <w:r w:rsidR="00155A2A" w:rsidRPr="00F31B80">
        <w:rPr>
          <w:rFonts w:ascii="Times New Roman" w:hAnsi="Times New Roman"/>
          <w:sz w:val="24"/>
          <w:szCs w:val="24"/>
        </w:rPr>
        <w:t xml:space="preserve">  </w:t>
      </w:r>
    </w:p>
    <w:p w14:paraId="1CBD2D67" w14:textId="77777777" w:rsidR="00CB3332" w:rsidRPr="00F31B80" w:rsidRDefault="00747FBE" w:rsidP="00F31B80">
      <w:pPr>
        <w:pStyle w:val="ListParagraph"/>
        <w:numPr>
          <w:ilvl w:val="1"/>
          <w:numId w:val="5"/>
        </w:numPr>
        <w:rPr>
          <w:rFonts w:ascii="Times New Roman" w:hAnsi="Times New Roman"/>
          <w:sz w:val="24"/>
          <w:szCs w:val="24"/>
        </w:rPr>
      </w:pPr>
      <w:proofErr w:type="gramStart"/>
      <w:r w:rsidRPr="00F31B80">
        <w:rPr>
          <w:rFonts w:ascii="Times New Roman" w:hAnsi="Times New Roman"/>
          <w:sz w:val="24"/>
          <w:szCs w:val="24"/>
        </w:rPr>
        <w:t xml:space="preserve">If </w:t>
      </w:r>
      <w:r w:rsidR="00623AE1" w:rsidRPr="00F31B80">
        <w:rPr>
          <w:rFonts w:ascii="Times New Roman" w:hAnsi="Times New Roman"/>
          <w:sz w:val="24"/>
          <w:szCs w:val="24"/>
        </w:rPr>
        <w:t xml:space="preserve"> </w:t>
      </w:r>
      <w:r w:rsidRPr="000D491A">
        <w:rPr>
          <w:rFonts w:ascii="Times New Roman" w:hAnsi="Times New Roman"/>
          <w:i/>
          <w:sz w:val="24"/>
          <w:szCs w:val="24"/>
        </w:rPr>
        <w:t>n</w:t>
      </w:r>
      <w:proofErr w:type="gramEnd"/>
      <w:r w:rsidRPr="00F31B80">
        <w:rPr>
          <w:rFonts w:ascii="Times New Roman" w:hAnsi="Times New Roman"/>
          <w:sz w:val="24"/>
          <w:szCs w:val="24"/>
        </w:rPr>
        <w:t xml:space="preserve"> </w:t>
      </w:r>
      <w:r w:rsidR="00CB3332" w:rsidRPr="00F31B80">
        <w:rPr>
          <w:rFonts w:ascii="Times New Roman" w:hAnsi="Times New Roman"/>
          <w:sz w:val="24"/>
          <w:szCs w:val="24"/>
        </w:rPr>
        <w:t>&gt;</w:t>
      </w:r>
      <w:r w:rsidRPr="00F31B80">
        <w:rPr>
          <w:rFonts w:ascii="Times New Roman" w:hAnsi="Times New Roman"/>
          <w:sz w:val="24"/>
          <w:szCs w:val="24"/>
        </w:rPr>
        <w:t xml:space="preserve"> number of </w:t>
      </w:r>
      <w:r w:rsidR="00D525F2" w:rsidRPr="00F31B80">
        <w:rPr>
          <w:rFonts w:ascii="Times New Roman" w:hAnsi="Times New Roman"/>
          <w:sz w:val="24"/>
          <w:szCs w:val="24"/>
        </w:rPr>
        <w:t>unique site-sessions with at least 1 capture</w:t>
      </w:r>
      <w:r w:rsidR="00CB3332" w:rsidRPr="00F31B80">
        <w:rPr>
          <w:rFonts w:ascii="Times New Roman" w:hAnsi="Times New Roman"/>
          <w:sz w:val="24"/>
          <w:szCs w:val="24"/>
        </w:rPr>
        <w:t>, we randomly selected 1 hair cluster from each unique site-session containing hair.</w:t>
      </w:r>
      <w:r w:rsidRPr="00F31B80">
        <w:rPr>
          <w:rFonts w:ascii="Times New Roman" w:hAnsi="Times New Roman"/>
          <w:sz w:val="24"/>
          <w:szCs w:val="24"/>
        </w:rPr>
        <w:t xml:space="preserve"> </w:t>
      </w:r>
      <w:r w:rsidR="00CB3332" w:rsidRPr="00F31B80">
        <w:rPr>
          <w:rFonts w:ascii="Times New Roman" w:hAnsi="Times New Roman"/>
          <w:sz w:val="24"/>
          <w:szCs w:val="24"/>
        </w:rPr>
        <w:t xml:space="preserve"> We then selected hair clusters randomly from the</w:t>
      </w:r>
      <w:r w:rsidR="00D46842">
        <w:rPr>
          <w:rFonts w:ascii="Times New Roman" w:hAnsi="Times New Roman"/>
          <w:sz w:val="24"/>
          <w:szCs w:val="24"/>
        </w:rPr>
        <w:t xml:space="preserve"> rest of the</w:t>
      </w:r>
      <w:r w:rsidR="00CB3332" w:rsidRPr="00F31B80">
        <w:rPr>
          <w:rFonts w:ascii="Times New Roman" w:hAnsi="Times New Roman"/>
          <w:sz w:val="24"/>
          <w:szCs w:val="24"/>
        </w:rPr>
        <w:t xml:space="preserve"> pooled data until </w:t>
      </w:r>
      <w:r w:rsidR="00D46842">
        <w:rPr>
          <w:rFonts w:ascii="Times New Roman" w:hAnsi="Times New Roman"/>
          <w:sz w:val="24"/>
          <w:szCs w:val="24"/>
        </w:rPr>
        <w:t xml:space="preserve">a total of </w:t>
      </w:r>
      <w:r w:rsidR="00623AE1" w:rsidRPr="00D46842">
        <w:rPr>
          <w:rFonts w:ascii="Times New Roman" w:hAnsi="Times New Roman"/>
          <w:i/>
          <w:sz w:val="24"/>
          <w:szCs w:val="24"/>
        </w:rPr>
        <w:t>n</w:t>
      </w:r>
      <w:r w:rsidR="00623AE1" w:rsidRPr="00F31B80">
        <w:rPr>
          <w:rFonts w:ascii="Times New Roman" w:hAnsi="Times New Roman"/>
          <w:sz w:val="24"/>
          <w:szCs w:val="24"/>
        </w:rPr>
        <w:t xml:space="preserve"> samples are selected</w:t>
      </w:r>
      <w:r w:rsidR="00CB3332" w:rsidRPr="00F31B80">
        <w:rPr>
          <w:rFonts w:ascii="Times New Roman" w:hAnsi="Times New Roman"/>
          <w:sz w:val="24"/>
          <w:szCs w:val="24"/>
        </w:rPr>
        <w:t>.</w:t>
      </w:r>
    </w:p>
    <w:p w14:paraId="20838F87" w14:textId="77777777" w:rsidR="00623AE1" w:rsidRDefault="00623AE1" w:rsidP="00CB3332">
      <w:pPr>
        <w:pStyle w:val="ListParagraph"/>
        <w:spacing w:line="240" w:lineRule="auto"/>
        <w:ind w:left="0"/>
        <w:rPr>
          <w:rFonts w:ascii="Times New Roman" w:hAnsi="Times New Roman" w:cs="Times New Roman"/>
          <w:sz w:val="24"/>
          <w:szCs w:val="24"/>
        </w:rPr>
      </w:pPr>
      <w:r w:rsidRPr="000C1EDC">
        <w:rPr>
          <w:rFonts w:ascii="Times New Roman" w:hAnsi="Times New Roman" w:cs="Times New Roman"/>
          <w:sz w:val="24"/>
          <w:szCs w:val="24"/>
        </w:rPr>
        <w:t xml:space="preserve"> </w:t>
      </w:r>
    </w:p>
    <w:p w14:paraId="7225EFFA" w14:textId="77777777" w:rsidR="00D46842" w:rsidRDefault="00D525F2" w:rsidP="00CB3332">
      <w:pPr>
        <w:pStyle w:val="ListParagraph"/>
        <w:spacing w:line="240" w:lineRule="auto"/>
        <w:ind w:left="0"/>
        <w:rPr>
          <w:rFonts w:ascii="Times New Roman" w:hAnsi="Times New Roman" w:cs="Times New Roman"/>
          <w:i/>
          <w:sz w:val="24"/>
          <w:szCs w:val="24"/>
        </w:rPr>
      </w:pPr>
      <w:r>
        <w:rPr>
          <w:rFonts w:ascii="Times New Roman" w:hAnsi="Times New Roman" w:cs="Times New Roman"/>
          <w:sz w:val="24"/>
          <w:szCs w:val="24"/>
        </w:rPr>
        <w:t>We then fit 5 different SECR models</w:t>
      </w:r>
      <w:r w:rsidR="00837B0A">
        <w:rPr>
          <w:rFonts w:ascii="Times New Roman" w:hAnsi="Times New Roman" w:cs="Times New Roman"/>
          <w:sz w:val="24"/>
          <w:szCs w:val="24"/>
        </w:rPr>
        <w:t xml:space="preserve"> (Table 2)</w:t>
      </w:r>
      <w:r>
        <w:rPr>
          <w:rFonts w:ascii="Times New Roman" w:hAnsi="Times New Roman" w:cs="Times New Roman"/>
          <w:sz w:val="24"/>
          <w:szCs w:val="24"/>
        </w:rPr>
        <w:t xml:space="preserve"> to the subsampled data across a range of sample sizes, </w:t>
      </w:r>
      <w:r w:rsidR="00837B0A">
        <w:rPr>
          <w:rFonts w:ascii="Times New Roman" w:hAnsi="Times New Roman" w:cs="Times New Roman"/>
          <w:i/>
          <w:sz w:val="24"/>
          <w:szCs w:val="24"/>
        </w:rPr>
        <w:t>n</w:t>
      </w:r>
      <w:r w:rsidR="00D46842" w:rsidRPr="00D46842">
        <w:rPr>
          <w:rFonts w:ascii="Times New Roman" w:hAnsi="Times New Roman" w:cs="Times New Roman"/>
          <w:sz w:val="24"/>
          <w:szCs w:val="24"/>
        </w:rPr>
        <w:t>.</w:t>
      </w:r>
      <w:r>
        <w:rPr>
          <w:rFonts w:ascii="Times New Roman" w:hAnsi="Times New Roman" w:cs="Times New Roman"/>
          <w:i/>
          <w:sz w:val="24"/>
          <w:szCs w:val="24"/>
        </w:rPr>
        <w:t xml:space="preserve"> </w:t>
      </w:r>
    </w:p>
    <w:p w14:paraId="34744408" w14:textId="77777777" w:rsidR="00837B0A" w:rsidRDefault="00837B0A" w:rsidP="00CB3332">
      <w:pPr>
        <w:pStyle w:val="ListParagraph"/>
        <w:spacing w:line="240" w:lineRule="auto"/>
        <w:ind w:left="0"/>
        <w:rPr>
          <w:rFonts w:ascii="Times New Roman" w:hAnsi="Times New Roman" w:cs="Times New Roman"/>
          <w:sz w:val="24"/>
          <w:szCs w:val="24"/>
        </w:rPr>
      </w:pPr>
    </w:p>
    <w:p w14:paraId="6B62A445" w14:textId="77777777" w:rsidR="00D46842" w:rsidRPr="00D46842" w:rsidRDefault="00D46842" w:rsidP="00CB3332">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Table 2. Models fit to data subsampled from the 2012 CMR study.</w:t>
      </w:r>
    </w:p>
    <w:p w14:paraId="4244E234" w14:textId="77777777" w:rsidR="00D46842" w:rsidRDefault="00D46842" w:rsidP="00CB3332">
      <w:pPr>
        <w:pStyle w:val="ListParagraph"/>
        <w:spacing w:line="240" w:lineRule="auto"/>
        <w:ind w:left="0"/>
        <w:rPr>
          <w:rFonts w:ascii="Times New Roman" w:hAnsi="Times New Roman" w:cs="Times New Roman"/>
          <w:i/>
          <w:sz w:val="24"/>
          <w:szCs w:val="24"/>
        </w:rPr>
      </w:pPr>
      <w:r>
        <w:rPr>
          <w:noProof/>
        </w:rPr>
        <w:drawing>
          <wp:inline distT="0" distB="0" distL="0" distR="0" wp14:anchorId="66C61937" wp14:editId="58C23104">
            <wp:extent cx="5943600" cy="2947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47035"/>
                    </a:xfrm>
                    <a:prstGeom prst="rect">
                      <a:avLst/>
                    </a:prstGeom>
                  </pic:spPr>
                </pic:pic>
              </a:graphicData>
            </a:graphic>
          </wp:inline>
        </w:drawing>
      </w:r>
    </w:p>
    <w:p w14:paraId="67A6B789" w14:textId="77777777" w:rsidR="00D525F2" w:rsidRDefault="00D525F2" w:rsidP="00CB3332">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The methods, results, and conclusions </w:t>
      </w:r>
      <w:r w:rsidR="00D46842">
        <w:rPr>
          <w:rFonts w:ascii="Times New Roman" w:hAnsi="Times New Roman" w:cs="Times New Roman"/>
          <w:sz w:val="24"/>
          <w:szCs w:val="24"/>
        </w:rPr>
        <w:t xml:space="preserve">of this work </w:t>
      </w:r>
      <w:r>
        <w:rPr>
          <w:rFonts w:ascii="Times New Roman" w:hAnsi="Times New Roman" w:cs="Times New Roman"/>
          <w:sz w:val="24"/>
          <w:szCs w:val="24"/>
        </w:rPr>
        <w:t>are describ</w:t>
      </w:r>
      <w:r w:rsidR="00234AC2">
        <w:rPr>
          <w:rFonts w:ascii="Times New Roman" w:hAnsi="Times New Roman" w:cs="Times New Roman"/>
          <w:sz w:val="24"/>
          <w:szCs w:val="24"/>
        </w:rPr>
        <w:t xml:space="preserve">ed in more detail in Nick </w:t>
      </w:r>
      <w:proofErr w:type="spellStart"/>
      <w:r w:rsidR="00234AC2">
        <w:rPr>
          <w:rFonts w:ascii="Times New Roman" w:hAnsi="Times New Roman" w:cs="Times New Roman"/>
          <w:sz w:val="24"/>
          <w:szCs w:val="24"/>
        </w:rPr>
        <w:t>Gonde</w:t>
      </w:r>
      <w:r>
        <w:rPr>
          <w:rFonts w:ascii="Times New Roman" w:hAnsi="Times New Roman" w:cs="Times New Roman"/>
          <w:sz w:val="24"/>
          <w:szCs w:val="24"/>
        </w:rPr>
        <w:t>k’s</w:t>
      </w:r>
      <w:proofErr w:type="spellEnd"/>
      <w:r>
        <w:rPr>
          <w:rFonts w:ascii="Times New Roman" w:hAnsi="Times New Roman" w:cs="Times New Roman"/>
          <w:sz w:val="24"/>
          <w:szCs w:val="24"/>
        </w:rPr>
        <w:t xml:space="preserve"> honors thesis (attached)</w:t>
      </w:r>
      <w:r w:rsidR="00D46842">
        <w:rPr>
          <w:rFonts w:ascii="Times New Roman" w:hAnsi="Times New Roman" w:cs="Times New Roman"/>
          <w:sz w:val="24"/>
          <w:szCs w:val="24"/>
        </w:rPr>
        <w:t xml:space="preserve">.  The main take away messages were:  </w:t>
      </w:r>
    </w:p>
    <w:p w14:paraId="01DBEA06" w14:textId="77777777" w:rsidR="00F31B80" w:rsidRPr="00F31B80" w:rsidRDefault="00D525F2" w:rsidP="00F31B80">
      <w:pPr>
        <w:pStyle w:val="ListParagraph"/>
        <w:numPr>
          <w:ilvl w:val="0"/>
          <w:numId w:val="7"/>
        </w:numPr>
        <w:rPr>
          <w:rFonts w:ascii="Times New Roman" w:hAnsi="Times New Roman"/>
          <w:sz w:val="24"/>
          <w:szCs w:val="24"/>
        </w:rPr>
      </w:pPr>
      <w:r w:rsidRPr="00F31B80">
        <w:rPr>
          <w:rFonts w:ascii="Times New Roman" w:hAnsi="Times New Roman"/>
          <w:sz w:val="24"/>
          <w:szCs w:val="24"/>
        </w:rPr>
        <w:t xml:space="preserve">SECR density estimators, like their non-spatial counterparts, are biased low when applied to subsampled data. These effects were minimal, however, when using the </w:t>
      </w:r>
      <w:r w:rsidR="00F31B80">
        <w:rPr>
          <w:rFonts w:ascii="Times New Roman" w:hAnsi="Times New Roman"/>
          <w:sz w:val="24"/>
          <w:szCs w:val="24"/>
        </w:rPr>
        <w:t>S</w:t>
      </w:r>
      <w:r w:rsidRPr="00F31B80">
        <w:rPr>
          <w:rFonts w:ascii="Times New Roman" w:hAnsi="Times New Roman"/>
          <w:i/>
          <w:sz w:val="24"/>
          <w:szCs w:val="24"/>
        </w:rPr>
        <w:t>pread.one</w:t>
      </w:r>
      <w:r w:rsidRPr="00F31B80">
        <w:rPr>
          <w:rFonts w:ascii="Times New Roman" w:hAnsi="Times New Roman"/>
          <w:sz w:val="24"/>
          <w:szCs w:val="24"/>
        </w:rPr>
        <w:t xml:space="preserve"> sampling strategy, provided that a behavioral effect was included in the model</w:t>
      </w:r>
      <w:r w:rsidR="00F31B80" w:rsidRPr="00F31B80">
        <w:rPr>
          <w:rFonts w:ascii="Times New Roman" w:hAnsi="Times New Roman"/>
          <w:sz w:val="24"/>
          <w:szCs w:val="24"/>
        </w:rPr>
        <w:t xml:space="preserve">.  This behavioral effect allows recapture rates to differ from initial capture rates.  By contrast, </w:t>
      </w:r>
      <w:r w:rsidR="00F31B80">
        <w:rPr>
          <w:rFonts w:ascii="Times New Roman" w:hAnsi="Times New Roman"/>
          <w:sz w:val="24"/>
          <w:szCs w:val="24"/>
        </w:rPr>
        <w:t>S</w:t>
      </w:r>
      <w:r w:rsidR="00F31B80" w:rsidRPr="00F31B80">
        <w:rPr>
          <w:rFonts w:ascii="Times New Roman" w:hAnsi="Times New Roman"/>
          <w:i/>
          <w:sz w:val="24"/>
          <w:szCs w:val="24"/>
        </w:rPr>
        <w:t xml:space="preserve">imple </w:t>
      </w:r>
      <w:r w:rsidR="00F31B80">
        <w:rPr>
          <w:rFonts w:ascii="Times New Roman" w:hAnsi="Times New Roman"/>
          <w:i/>
          <w:sz w:val="24"/>
          <w:szCs w:val="24"/>
        </w:rPr>
        <w:t>R</w:t>
      </w:r>
      <w:r w:rsidR="00F31B80" w:rsidRPr="00F31B80">
        <w:rPr>
          <w:rFonts w:ascii="Times New Roman" w:hAnsi="Times New Roman"/>
          <w:i/>
          <w:sz w:val="24"/>
          <w:szCs w:val="24"/>
        </w:rPr>
        <w:t xml:space="preserve">andom </w:t>
      </w:r>
      <w:r w:rsidR="00F31B80">
        <w:rPr>
          <w:rFonts w:ascii="Times New Roman" w:hAnsi="Times New Roman"/>
          <w:i/>
          <w:sz w:val="24"/>
          <w:szCs w:val="24"/>
        </w:rPr>
        <w:t>S</w:t>
      </w:r>
      <w:r w:rsidR="00F31B80" w:rsidRPr="00F31B80">
        <w:rPr>
          <w:rFonts w:ascii="Times New Roman" w:hAnsi="Times New Roman"/>
          <w:i/>
          <w:sz w:val="24"/>
          <w:szCs w:val="24"/>
        </w:rPr>
        <w:t>ampling</w:t>
      </w:r>
      <w:r w:rsidR="00F31B80" w:rsidRPr="00F31B80">
        <w:rPr>
          <w:rFonts w:ascii="Times New Roman" w:hAnsi="Times New Roman"/>
          <w:sz w:val="24"/>
          <w:szCs w:val="24"/>
        </w:rPr>
        <w:t xml:space="preserve"> often resulted in density estimates that we</w:t>
      </w:r>
      <w:r w:rsidR="00A92895">
        <w:rPr>
          <w:rFonts w:ascii="Times New Roman" w:hAnsi="Times New Roman"/>
          <w:sz w:val="24"/>
          <w:szCs w:val="24"/>
        </w:rPr>
        <w:t>re</w:t>
      </w:r>
      <w:r w:rsidR="00F31B80" w:rsidRPr="00F31B80">
        <w:rPr>
          <w:rFonts w:ascii="Times New Roman" w:hAnsi="Times New Roman"/>
          <w:sz w:val="24"/>
          <w:szCs w:val="24"/>
        </w:rPr>
        <w:t xml:space="preserve"> considerably lower than the full data estimates.</w:t>
      </w:r>
    </w:p>
    <w:p w14:paraId="6CADA731" w14:textId="77777777" w:rsidR="00CB3332" w:rsidRDefault="00F31B80" w:rsidP="00F31B80">
      <w:pPr>
        <w:pStyle w:val="ListParagraph"/>
        <w:numPr>
          <w:ilvl w:val="0"/>
          <w:numId w:val="7"/>
        </w:numPr>
        <w:rPr>
          <w:rFonts w:ascii="Times New Roman" w:hAnsi="Times New Roman"/>
          <w:sz w:val="24"/>
          <w:szCs w:val="24"/>
        </w:rPr>
      </w:pPr>
      <w:r w:rsidRPr="00F31B80">
        <w:rPr>
          <w:rFonts w:ascii="Times New Roman" w:hAnsi="Times New Roman"/>
          <w:sz w:val="24"/>
          <w:szCs w:val="24"/>
        </w:rPr>
        <w:t xml:space="preserve">Non-random sampling increased the number of uniquely identified individuals, which outweighed </w:t>
      </w:r>
      <w:r w:rsidR="000E4A28">
        <w:rPr>
          <w:rFonts w:ascii="Times New Roman" w:hAnsi="Times New Roman"/>
          <w:sz w:val="24"/>
          <w:szCs w:val="24"/>
        </w:rPr>
        <w:t>any</w:t>
      </w:r>
      <w:r w:rsidR="00837B0A">
        <w:rPr>
          <w:rFonts w:ascii="Times New Roman" w:hAnsi="Times New Roman"/>
          <w:sz w:val="24"/>
          <w:szCs w:val="24"/>
        </w:rPr>
        <w:t xml:space="preserve"> costs </w:t>
      </w:r>
      <w:r w:rsidRPr="00F31B80">
        <w:rPr>
          <w:rFonts w:ascii="Times New Roman" w:hAnsi="Times New Roman"/>
          <w:sz w:val="24"/>
          <w:szCs w:val="24"/>
        </w:rPr>
        <w:t>of violating SECR’s assumption</w:t>
      </w:r>
      <w:r w:rsidR="005B6C59">
        <w:rPr>
          <w:rFonts w:ascii="Times New Roman" w:hAnsi="Times New Roman"/>
          <w:sz w:val="24"/>
          <w:szCs w:val="24"/>
        </w:rPr>
        <w:t>s</w:t>
      </w:r>
      <w:r w:rsidRPr="00F31B80">
        <w:rPr>
          <w:rFonts w:ascii="Times New Roman" w:hAnsi="Times New Roman"/>
          <w:sz w:val="24"/>
          <w:szCs w:val="24"/>
        </w:rPr>
        <w:t xml:space="preserve"> </w:t>
      </w:r>
      <w:r w:rsidR="00E707A7">
        <w:rPr>
          <w:rFonts w:ascii="Times New Roman" w:hAnsi="Times New Roman"/>
          <w:sz w:val="24"/>
          <w:szCs w:val="24"/>
        </w:rPr>
        <w:t>(</w:t>
      </w:r>
      <w:r w:rsidR="00837B0A">
        <w:rPr>
          <w:rFonts w:ascii="Times New Roman" w:hAnsi="Times New Roman"/>
          <w:sz w:val="24"/>
          <w:szCs w:val="24"/>
        </w:rPr>
        <w:t>as a result of non-random sampling of the hair data</w:t>
      </w:r>
      <w:r w:rsidR="00E707A7">
        <w:rPr>
          <w:rFonts w:ascii="Times New Roman" w:hAnsi="Times New Roman"/>
          <w:sz w:val="24"/>
          <w:szCs w:val="24"/>
        </w:rPr>
        <w:t>)</w:t>
      </w:r>
      <w:r w:rsidR="008C5FBA">
        <w:rPr>
          <w:rFonts w:ascii="Times New Roman" w:hAnsi="Times New Roman"/>
          <w:sz w:val="24"/>
          <w:szCs w:val="24"/>
        </w:rPr>
        <w:t>.</w:t>
      </w:r>
    </w:p>
    <w:p w14:paraId="5CF3F9CA" w14:textId="77777777" w:rsidR="008C5FBA" w:rsidRDefault="008C5FBA" w:rsidP="008C5FBA">
      <w:pPr>
        <w:rPr>
          <w:rFonts w:eastAsiaTheme="minorEastAsia"/>
          <w:szCs w:val="24"/>
        </w:rPr>
      </w:pPr>
      <w:r>
        <w:rPr>
          <w:szCs w:val="24"/>
        </w:rPr>
        <w:t xml:space="preserve">Based on this analysis, and the fact we were able to process close to 70% of the hair clusters collected during the 2012 CMR study, I </w:t>
      </w:r>
      <w:r w:rsidR="00B223EE">
        <w:rPr>
          <w:szCs w:val="24"/>
        </w:rPr>
        <w:t xml:space="preserve">would suggest using the density estimate from the best fitting model in Table 1 and Table 2 for management purposes:  </w:t>
      </w:r>
      <m:oMath>
        <m:acc>
          <m:accPr>
            <m:ctrlPr>
              <w:rPr>
                <w:rFonts w:ascii="Cambria Math" w:hAnsi="Cambria Math"/>
                <w:i/>
                <w:szCs w:val="24"/>
              </w:rPr>
            </m:ctrlPr>
          </m:accPr>
          <m:e>
            <m:r>
              <w:rPr>
                <w:rFonts w:ascii="Cambria Math" w:hAnsi="Cambria Math"/>
                <w:szCs w:val="24"/>
              </w:rPr>
              <m:t>D</m:t>
            </m:r>
          </m:e>
        </m:acc>
      </m:oMath>
      <w:r w:rsidR="00B223EE">
        <w:rPr>
          <w:rFonts w:eastAsiaTheme="minorEastAsia"/>
          <w:szCs w:val="24"/>
        </w:rPr>
        <w:t xml:space="preserve"> = 13.50 bears/mi</w:t>
      </w:r>
      <w:r w:rsidR="00B223EE">
        <w:rPr>
          <w:rFonts w:eastAsiaTheme="minorEastAsia"/>
          <w:szCs w:val="24"/>
          <w:vertAlign w:val="superscript"/>
        </w:rPr>
        <w:t xml:space="preserve">2 </w:t>
      </w:r>
      <w:r w:rsidR="00B223EE">
        <w:rPr>
          <w:rFonts w:eastAsiaTheme="minorEastAsia"/>
          <w:szCs w:val="24"/>
        </w:rPr>
        <w:t>(95% CI = 9.86, 18.48).</w:t>
      </w:r>
    </w:p>
    <w:p w14:paraId="16C29606" w14:textId="77777777" w:rsidR="00B223EE" w:rsidRDefault="00B223EE" w:rsidP="008C5FBA">
      <w:pPr>
        <w:rPr>
          <w:rFonts w:eastAsiaTheme="minorEastAsia"/>
          <w:szCs w:val="24"/>
        </w:rPr>
      </w:pPr>
    </w:p>
    <w:p w14:paraId="42021D46" w14:textId="77777777" w:rsidR="00B223EE" w:rsidRDefault="00B223EE" w:rsidP="008C5FBA">
      <w:pPr>
        <w:rPr>
          <w:b/>
          <w:szCs w:val="24"/>
        </w:rPr>
      </w:pPr>
      <w:r>
        <w:rPr>
          <w:b/>
          <w:szCs w:val="24"/>
        </w:rPr>
        <w:t xml:space="preserve">Objective 2:  </w:t>
      </w:r>
      <w:r w:rsidRPr="00B223EE">
        <w:rPr>
          <w:b/>
          <w:szCs w:val="24"/>
        </w:rPr>
        <w:t>Assess effects of subsampling and behavioral characteristics of the bears on the bias and precision of genetic CMR estimates based on capture histories similar to that observed in 2012.</w:t>
      </w:r>
    </w:p>
    <w:p w14:paraId="6629F000" w14:textId="77777777" w:rsidR="00B223EE" w:rsidRDefault="00B223EE" w:rsidP="008C5FBA">
      <w:pPr>
        <w:rPr>
          <w:b/>
          <w:szCs w:val="24"/>
        </w:rPr>
      </w:pPr>
    </w:p>
    <w:p w14:paraId="71E92D94" w14:textId="77777777" w:rsidR="00B223EE" w:rsidRDefault="00B223EE" w:rsidP="008C5FBA">
      <w:pPr>
        <w:rPr>
          <w:szCs w:val="24"/>
        </w:rPr>
      </w:pPr>
      <w:r>
        <w:rPr>
          <w:szCs w:val="24"/>
        </w:rPr>
        <w:t>This summer, Nick and I have been using simulations where the population size and density of bears is known to determine if the patterns observed when subsampling the real data hold true more generally</w:t>
      </w:r>
      <w:commentRangeStart w:id="0"/>
      <w:r>
        <w:rPr>
          <w:szCs w:val="24"/>
        </w:rPr>
        <w:t>.  A short description of simulation scenarios and preliminary results are given below.</w:t>
      </w:r>
      <w:commentRangeEnd w:id="0"/>
      <w:r w:rsidR="00E340D0">
        <w:rPr>
          <w:rStyle w:val="CommentReference"/>
        </w:rPr>
        <w:commentReference w:id="0"/>
      </w:r>
    </w:p>
    <w:p w14:paraId="19867117" w14:textId="77777777" w:rsidR="00B223EE" w:rsidRDefault="00B223EE" w:rsidP="008C5FBA">
      <w:pPr>
        <w:rPr>
          <w:szCs w:val="24"/>
        </w:rPr>
      </w:pPr>
      <w:bookmarkStart w:id="1" w:name="_GoBack"/>
      <w:bookmarkEnd w:id="1"/>
    </w:p>
    <w:p w14:paraId="55AD4F9A" w14:textId="77777777" w:rsidR="00234AC2" w:rsidRDefault="00234AC2" w:rsidP="008C5FBA">
      <w:pPr>
        <w:rPr>
          <w:szCs w:val="24"/>
        </w:rPr>
      </w:pPr>
      <w:r>
        <w:rPr>
          <w:szCs w:val="24"/>
        </w:rPr>
        <w:t>Using a simulation framework, we created seven scenarios with various behavioral effects and population demography:</w:t>
      </w:r>
    </w:p>
    <w:p w14:paraId="74D3B563" w14:textId="77777777" w:rsidR="00234AC2" w:rsidRDefault="00234AC2" w:rsidP="008C5FBA">
      <w:pPr>
        <w:rPr>
          <w:szCs w:val="24"/>
        </w:rPr>
      </w:pPr>
    </w:p>
    <w:tbl>
      <w:tblPr>
        <w:tblStyle w:val="TableGrid"/>
        <w:tblW w:w="9810" w:type="dxa"/>
        <w:tblInd w:w="-162" w:type="dxa"/>
        <w:tblLayout w:type="fixed"/>
        <w:tblLook w:val="04A0" w:firstRow="1" w:lastRow="0" w:firstColumn="1" w:lastColumn="0" w:noHBand="0" w:noVBand="1"/>
      </w:tblPr>
      <w:tblGrid>
        <w:gridCol w:w="810"/>
        <w:gridCol w:w="1710"/>
        <w:gridCol w:w="7290"/>
      </w:tblGrid>
      <w:tr w:rsidR="00580C87" w14:paraId="097C1609" w14:textId="77777777" w:rsidTr="00580C87">
        <w:tc>
          <w:tcPr>
            <w:tcW w:w="810" w:type="dxa"/>
          </w:tcPr>
          <w:p w14:paraId="78E28D20" w14:textId="77777777" w:rsidR="00234AC2" w:rsidRPr="00234AC2" w:rsidRDefault="00234AC2" w:rsidP="008C5FBA">
            <w:pPr>
              <w:rPr>
                <w:b/>
                <w:szCs w:val="24"/>
              </w:rPr>
            </w:pPr>
            <w:r w:rsidRPr="00234AC2">
              <w:rPr>
                <w:b/>
                <w:szCs w:val="24"/>
              </w:rPr>
              <w:t>Trial</w:t>
            </w:r>
          </w:p>
        </w:tc>
        <w:tc>
          <w:tcPr>
            <w:tcW w:w="1710" w:type="dxa"/>
          </w:tcPr>
          <w:p w14:paraId="264CEFB3" w14:textId="77777777" w:rsidR="00234AC2" w:rsidRPr="00580C87" w:rsidRDefault="00234AC2" w:rsidP="008C5FBA">
            <w:pPr>
              <w:rPr>
                <w:b/>
                <w:szCs w:val="24"/>
              </w:rPr>
            </w:pPr>
            <w:r w:rsidRPr="00580C87">
              <w:rPr>
                <w:b/>
                <w:szCs w:val="24"/>
              </w:rPr>
              <w:t>Active Effects</w:t>
            </w:r>
          </w:p>
        </w:tc>
        <w:tc>
          <w:tcPr>
            <w:tcW w:w="7290" w:type="dxa"/>
          </w:tcPr>
          <w:p w14:paraId="70946F3B" w14:textId="77777777" w:rsidR="00234AC2" w:rsidRPr="00580C87" w:rsidRDefault="00234AC2" w:rsidP="008C5FBA">
            <w:pPr>
              <w:rPr>
                <w:b/>
                <w:szCs w:val="24"/>
              </w:rPr>
            </w:pPr>
            <w:r w:rsidRPr="00580C87">
              <w:rPr>
                <w:b/>
                <w:szCs w:val="24"/>
              </w:rPr>
              <w:t>Description</w:t>
            </w:r>
          </w:p>
        </w:tc>
      </w:tr>
      <w:tr w:rsidR="00580C87" w14:paraId="22F9181E" w14:textId="77777777" w:rsidTr="00580C87">
        <w:tc>
          <w:tcPr>
            <w:tcW w:w="810" w:type="dxa"/>
          </w:tcPr>
          <w:p w14:paraId="78660473" w14:textId="77777777" w:rsidR="00234AC2" w:rsidRDefault="00234AC2" w:rsidP="008C5FBA">
            <w:pPr>
              <w:rPr>
                <w:szCs w:val="24"/>
              </w:rPr>
            </w:pPr>
            <w:proofErr w:type="gramStart"/>
            <w:r>
              <w:rPr>
                <w:szCs w:val="24"/>
              </w:rPr>
              <w:t>t1</w:t>
            </w:r>
            <w:proofErr w:type="gramEnd"/>
          </w:p>
        </w:tc>
        <w:tc>
          <w:tcPr>
            <w:tcW w:w="1710" w:type="dxa"/>
          </w:tcPr>
          <w:p w14:paraId="7CC59DEB" w14:textId="77777777" w:rsidR="00234AC2" w:rsidRDefault="00234AC2" w:rsidP="008C5FBA">
            <w:pPr>
              <w:rPr>
                <w:szCs w:val="24"/>
              </w:rPr>
            </w:pPr>
            <w:proofErr w:type="gramStart"/>
            <w:r>
              <w:rPr>
                <w:szCs w:val="24"/>
              </w:rPr>
              <w:t>none</w:t>
            </w:r>
            <w:proofErr w:type="gramEnd"/>
          </w:p>
        </w:tc>
        <w:tc>
          <w:tcPr>
            <w:tcW w:w="7290" w:type="dxa"/>
          </w:tcPr>
          <w:p w14:paraId="4448412C" w14:textId="77777777" w:rsidR="00234AC2" w:rsidRDefault="00234AC2" w:rsidP="008C5FBA">
            <w:pPr>
              <w:rPr>
                <w:szCs w:val="24"/>
              </w:rPr>
            </w:pPr>
            <w:r>
              <w:rPr>
                <w:szCs w:val="24"/>
              </w:rPr>
              <w:t>No behavioral effects. Likelihood of capture for each bear at any trap determined solely by distance from that bear’s activity center to that trap.</w:t>
            </w:r>
          </w:p>
        </w:tc>
      </w:tr>
      <w:tr w:rsidR="00580C87" w14:paraId="24689FB8" w14:textId="77777777" w:rsidTr="00580C87">
        <w:tc>
          <w:tcPr>
            <w:tcW w:w="810" w:type="dxa"/>
          </w:tcPr>
          <w:p w14:paraId="491EF64A" w14:textId="77777777" w:rsidR="00234AC2" w:rsidRDefault="00234AC2" w:rsidP="008C5FBA">
            <w:pPr>
              <w:rPr>
                <w:szCs w:val="24"/>
              </w:rPr>
            </w:pPr>
            <w:proofErr w:type="gramStart"/>
            <w:r>
              <w:rPr>
                <w:szCs w:val="24"/>
              </w:rPr>
              <w:t>t2</w:t>
            </w:r>
            <w:proofErr w:type="gramEnd"/>
          </w:p>
        </w:tc>
        <w:tc>
          <w:tcPr>
            <w:tcW w:w="1710" w:type="dxa"/>
          </w:tcPr>
          <w:p w14:paraId="43DB41FC" w14:textId="77777777" w:rsidR="00234AC2" w:rsidRDefault="00234AC2" w:rsidP="008C5FBA">
            <w:pPr>
              <w:rPr>
                <w:szCs w:val="24"/>
              </w:rPr>
            </w:pPr>
            <w:proofErr w:type="gramStart"/>
            <w:r>
              <w:rPr>
                <w:szCs w:val="24"/>
              </w:rPr>
              <w:t>trap</w:t>
            </w:r>
            <w:proofErr w:type="gramEnd"/>
            <w:r>
              <w:rPr>
                <w:szCs w:val="24"/>
              </w:rPr>
              <w:t>-shyness</w:t>
            </w:r>
          </w:p>
        </w:tc>
        <w:tc>
          <w:tcPr>
            <w:tcW w:w="7290" w:type="dxa"/>
          </w:tcPr>
          <w:p w14:paraId="4D7F36DD" w14:textId="77777777" w:rsidR="00234AC2" w:rsidRDefault="004F08FD" w:rsidP="008C5FBA">
            <w:pPr>
              <w:rPr>
                <w:szCs w:val="24"/>
              </w:rPr>
            </w:pPr>
            <w:r>
              <w:rPr>
                <w:szCs w:val="24"/>
              </w:rPr>
              <w:t xml:space="preserve">Bears are less likely to be subsequently captured after initial capture. </w:t>
            </w:r>
          </w:p>
        </w:tc>
      </w:tr>
      <w:tr w:rsidR="00580C87" w14:paraId="12896E0F" w14:textId="77777777" w:rsidTr="00580C87">
        <w:tc>
          <w:tcPr>
            <w:tcW w:w="810" w:type="dxa"/>
          </w:tcPr>
          <w:p w14:paraId="5CC40ABE" w14:textId="77777777" w:rsidR="00234AC2" w:rsidRDefault="00234AC2" w:rsidP="008C5FBA">
            <w:pPr>
              <w:rPr>
                <w:szCs w:val="24"/>
              </w:rPr>
            </w:pPr>
            <w:proofErr w:type="gramStart"/>
            <w:r>
              <w:rPr>
                <w:szCs w:val="24"/>
              </w:rPr>
              <w:t>t3</w:t>
            </w:r>
            <w:proofErr w:type="gramEnd"/>
          </w:p>
        </w:tc>
        <w:tc>
          <w:tcPr>
            <w:tcW w:w="1710" w:type="dxa"/>
          </w:tcPr>
          <w:p w14:paraId="67DCFE00" w14:textId="77777777" w:rsidR="00234AC2" w:rsidRDefault="004F08FD" w:rsidP="004F08FD">
            <w:pPr>
              <w:rPr>
                <w:szCs w:val="24"/>
              </w:rPr>
            </w:pPr>
            <w:proofErr w:type="gramStart"/>
            <w:r>
              <w:rPr>
                <w:szCs w:val="24"/>
              </w:rPr>
              <w:t>individual</w:t>
            </w:r>
            <w:proofErr w:type="gramEnd"/>
            <w:r>
              <w:rPr>
                <w:szCs w:val="24"/>
              </w:rPr>
              <w:t xml:space="preserve"> heterogeneity</w:t>
            </w:r>
          </w:p>
        </w:tc>
        <w:tc>
          <w:tcPr>
            <w:tcW w:w="7290" w:type="dxa"/>
          </w:tcPr>
          <w:p w14:paraId="2409442E" w14:textId="77777777" w:rsidR="00234AC2" w:rsidRDefault="004F08FD" w:rsidP="004F08FD">
            <w:pPr>
              <w:rPr>
                <w:szCs w:val="24"/>
              </w:rPr>
            </w:pPr>
            <w:r>
              <w:rPr>
                <w:szCs w:val="24"/>
              </w:rPr>
              <w:t>Certain bears are more likely to be captured in general, and some are less likely. These effects are constant throughout each simulation.</w:t>
            </w:r>
          </w:p>
        </w:tc>
      </w:tr>
      <w:tr w:rsidR="00580C87" w14:paraId="520F14AC" w14:textId="77777777" w:rsidTr="00580C87">
        <w:tc>
          <w:tcPr>
            <w:tcW w:w="810" w:type="dxa"/>
          </w:tcPr>
          <w:p w14:paraId="3D4FE4A8" w14:textId="77777777" w:rsidR="00234AC2" w:rsidRDefault="00234AC2" w:rsidP="008C5FBA">
            <w:pPr>
              <w:rPr>
                <w:szCs w:val="24"/>
              </w:rPr>
            </w:pPr>
            <w:proofErr w:type="gramStart"/>
            <w:r>
              <w:rPr>
                <w:szCs w:val="24"/>
              </w:rPr>
              <w:t>t4</w:t>
            </w:r>
            <w:proofErr w:type="gramEnd"/>
          </w:p>
        </w:tc>
        <w:tc>
          <w:tcPr>
            <w:tcW w:w="1710" w:type="dxa"/>
          </w:tcPr>
          <w:p w14:paraId="3D03C524" w14:textId="77777777" w:rsidR="00234AC2" w:rsidRDefault="004F08FD" w:rsidP="008C5FBA">
            <w:pPr>
              <w:rPr>
                <w:szCs w:val="24"/>
              </w:rPr>
            </w:pPr>
            <w:proofErr w:type="gramStart"/>
            <w:r>
              <w:rPr>
                <w:szCs w:val="24"/>
              </w:rPr>
              <w:t>redundancy</w:t>
            </w:r>
            <w:proofErr w:type="gramEnd"/>
          </w:p>
        </w:tc>
        <w:tc>
          <w:tcPr>
            <w:tcW w:w="7290" w:type="dxa"/>
          </w:tcPr>
          <w:p w14:paraId="54AED430" w14:textId="77777777" w:rsidR="00234AC2" w:rsidRDefault="004F08FD" w:rsidP="008C5FBA">
            <w:pPr>
              <w:rPr>
                <w:szCs w:val="24"/>
              </w:rPr>
            </w:pPr>
            <w:r>
              <w:rPr>
                <w:szCs w:val="24"/>
              </w:rPr>
              <w:t>After a bear is captured, that bear may leave more than one sample at a trap (</w:t>
            </w:r>
            <w:proofErr w:type="spellStart"/>
            <w:r>
              <w:rPr>
                <w:szCs w:val="24"/>
              </w:rPr>
              <w:t>ie</w:t>
            </w:r>
            <w:proofErr w:type="spellEnd"/>
            <w:r>
              <w:rPr>
                <w:szCs w:val="24"/>
              </w:rPr>
              <w:t>, the bear may leave redundant samples)</w:t>
            </w:r>
          </w:p>
        </w:tc>
      </w:tr>
      <w:tr w:rsidR="00580C87" w14:paraId="3F61EB3B" w14:textId="77777777" w:rsidTr="00580C87">
        <w:tc>
          <w:tcPr>
            <w:tcW w:w="810" w:type="dxa"/>
          </w:tcPr>
          <w:p w14:paraId="2798DF28" w14:textId="77777777" w:rsidR="00234AC2" w:rsidRDefault="00234AC2" w:rsidP="008C5FBA">
            <w:pPr>
              <w:rPr>
                <w:szCs w:val="24"/>
              </w:rPr>
            </w:pPr>
            <w:proofErr w:type="gramStart"/>
            <w:r>
              <w:rPr>
                <w:szCs w:val="24"/>
              </w:rPr>
              <w:t>t5</w:t>
            </w:r>
            <w:proofErr w:type="gramEnd"/>
          </w:p>
        </w:tc>
        <w:tc>
          <w:tcPr>
            <w:tcW w:w="1710" w:type="dxa"/>
          </w:tcPr>
          <w:p w14:paraId="2EB5BEC0" w14:textId="77777777" w:rsidR="00234AC2" w:rsidRDefault="004F08FD" w:rsidP="008C5FBA">
            <w:pPr>
              <w:rPr>
                <w:szCs w:val="24"/>
              </w:rPr>
            </w:pPr>
            <w:proofErr w:type="gramStart"/>
            <w:r>
              <w:rPr>
                <w:szCs w:val="24"/>
              </w:rPr>
              <w:t>individual</w:t>
            </w:r>
            <w:proofErr w:type="gramEnd"/>
            <w:r>
              <w:rPr>
                <w:szCs w:val="24"/>
              </w:rPr>
              <w:t xml:space="preserve"> heterogeneity + redundancy</w:t>
            </w:r>
          </w:p>
        </w:tc>
        <w:tc>
          <w:tcPr>
            <w:tcW w:w="7290" w:type="dxa"/>
          </w:tcPr>
          <w:p w14:paraId="0D638E97" w14:textId="77777777" w:rsidR="00234AC2" w:rsidRDefault="004F08FD" w:rsidP="004F08FD">
            <w:pPr>
              <w:rPr>
                <w:szCs w:val="24"/>
              </w:rPr>
            </w:pPr>
            <w:r>
              <w:rPr>
                <w:szCs w:val="24"/>
              </w:rPr>
              <w:t>Certain bears are more likely to be captured in general, and those bears are also more likely to leave redundant data. The converse is true for bears unlikely to be captured in general.</w:t>
            </w:r>
          </w:p>
        </w:tc>
      </w:tr>
      <w:tr w:rsidR="00580C87" w14:paraId="0136E986" w14:textId="77777777" w:rsidTr="00580C87">
        <w:tc>
          <w:tcPr>
            <w:tcW w:w="810" w:type="dxa"/>
          </w:tcPr>
          <w:p w14:paraId="2A8A0F00" w14:textId="77777777" w:rsidR="00234AC2" w:rsidRDefault="00234AC2" w:rsidP="008C5FBA">
            <w:pPr>
              <w:rPr>
                <w:szCs w:val="24"/>
              </w:rPr>
            </w:pPr>
            <w:proofErr w:type="gramStart"/>
            <w:r>
              <w:rPr>
                <w:szCs w:val="24"/>
              </w:rPr>
              <w:t>t6</w:t>
            </w:r>
            <w:proofErr w:type="gramEnd"/>
          </w:p>
        </w:tc>
        <w:tc>
          <w:tcPr>
            <w:tcW w:w="1710" w:type="dxa"/>
          </w:tcPr>
          <w:p w14:paraId="0D6E414E" w14:textId="77777777" w:rsidR="00234AC2" w:rsidRDefault="004F08FD" w:rsidP="008C5FBA">
            <w:pPr>
              <w:rPr>
                <w:szCs w:val="24"/>
              </w:rPr>
            </w:pPr>
            <w:proofErr w:type="gramStart"/>
            <w:r>
              <w:rPr>
                <w:szCs w:val="24"/>
              </w:rPr>
              <w:t>trap</w:t>
            </w:r>
            <w:proofErr w:type="gramEnd"/>
            <w:r>
              <w:rPr>
                <w:szCs w:val="24"/>
              </w:rPr>
              <w:t>-shyness + individual heterogeneity + redundancy</w:t>
            </w:r>
          </w:p>
        </w:tc>
        <w:tc>
          <w:tcPr>
            <w:tcW w:w="7290" w:type="dxa"/>
          </w:tcPr>
          <w:p w14:paraId="59CBF9B1" w14:textId="77777777" w:rsidR="00234AC2" w:rsidRDefault="004F08FD" w:rsidP="008C5FBA">
            <w:pPr>
              <w:rPr>
                <w:szCs w:val="24"/>
              </w:rPr>
            </w:pPr>
            <w:r>
              <w:rPr>
                <w:szCs w:val="24"/>
              </w:rPr>
              <w:t>Certain bears are more likely to be captured in general, and those bears are also more likely to leave redundant data. The converse is true for bears unlikely to be captured in general. All bears are less likely to be captured after initial capture.</w:t>
            </w:r>
          </w:p>
        </w:tc>
      </w:tr>
      <w:tr w:rsidR="00580C87" w14:paraId="50F7DD9A" w14:textId="77777777" w:rsidTr="00580C87">
        <w:tc>
          <w:tcPr>
            <w:tcW w:w="810" w:type="dxa"/>
          </w:tcPr>
          <w:p w14:paraId="32A97493" w14:textId="77777777" w:rsidR="00234AC2" w:rsidRDefault="00234AC2" w:rsidP="008C5FBA">
            <w:pPr>
              <w:rPr>
                <w:szCs w:val="24"/>
              </w:rPr>
            </w:pPr>
            <w:proofErr w:type="gramStart"/>
            <w:r>
              <w:rPr>
                <w:szCs w:val="24"/>
              </w:rPr>
              <w:t>t7</w:t>
            </w:r>
            <w:proofErr w:type="gramEnd"/>
          </w:p>
        </w:tc>
        <w:tc>
          <w:tcPr>
            <w:tcW w:w="1710" w:type="dxa"/>
          </w:tcPr>
          <w:p w14:paraId="29E9FC67" w14:textId="75E72283" w:rsidR="00234AC2" w:rsidRDefault="00206D4D" w:rsidP="008C5FBA">
            <w:pPr>
              <w:rPr>
                <w:szCs w:val="24"/>
              </w:rPr>
            </w:pPr>
            <w:proofErr w:type="gramStart"/>
            <w:r>
              <w:rPr>
                <w:szCs w:val="24"/>
              </w:rPr>
              <w:t>trap</w:t>
            </w:r>
            <w:proofErr w:type="gramEnd"/>
            <w:r>
              <w:rPr>
                <w:szCs w:val="24"/>
              </w:rPr>
              <w:t xml:space="preserve">-shyness + </w:t>
            </w:r>
            <w:r>
              <w:rPr>
                <w:szCs w:val="24"/>
              </w:rPr>
              <w:lastRenderedPageBreak/>
              <w:t xml:space="preserve">individual heterogeneity + redundancy + </w:t>
            </w:r>
            <w:r w:rsidR="004F08FD">
              <w:rPr>
                <w:szCs w:val="24"/>
              </w:rPr>
              <w:t>uneven density</w:t>
            </w:r>
          </w:p>
        </w:tc>
        <w:tc>
          <w:tcPr>
            <w:tcW w:w="7290" w:type="dxa"/>
          </w:tcPr>
          <w:p w14:paraId="1084C7F6" w14:textId="596C3F81" w:rsidR="00234AC2" w:rsidRDefault="001B6548" w:rsidP="00206D4D">
            <w:pPr>
              <w:rPr>
                <w:szCs w:val="24"/>
              </w:rPr>
            </w:pPr>
            <w:r>
              <w:rPr>
                <w:szCs w:val="24"/>
              </w:rPr>
              <w:lastRenderedPageBreak/>
              <w:t>~</w:t>
            </w:r>
            <w:r w:rsidR="004F08FD">
              <w:rPr>
                <w:szCs w:val="24"/>
              </w:rPr>
              <w:t>75% of bears occupy 50% of trapping grid.</w:t>
            </w:r>
            <w:r w:rsidR="00206D4D">
              <w:rPr>
                <w:szCs w:val="24"/>
              </w:rPr>
              <w:t xml:space="preserve"> Certain bears are more </w:t>
            </w:r>
            <w:r w:rsidR="00206D4D">
              <w:rPr>
                <w:szCs w:val="24"/>
              </w:rPr>
              <w:lastRenderedPageBreak/>
              <w:t>likely to be captured in general, and those bears are also more likely to leave redundant data. The converse is true for bears unlikely to be captured in general. All bears are less likely to be captured after initial capture.</w:t>
            </w:r>
          </w:p>
        </w:tc>
      </w:tr>
    </w:tbl>
    <w:p w14:paraId="1CF5EA2D" w14:textId="77777777" w:rsidR="00206D4D" w:rsidRDefault="00206D4D" w:rsidP="008C5FBA">
      <w:pPr>
        <w:rPr>
          <w:szCs w:val="24"/>
        </w:rPr>
      </w:pPr>
    </w:p>
    <w:p w14:paraId="1AA1C259" w14:textId="1DC98700" w:rsidR="00206D4D" w:rsidRDefault="001D4CD2" w:rsidP="008C5FBA">
      <w:pPr>
        <w:rPr>
          <w:szCs w:val="24"/>
        </w:rPr>
      </w:pPr>
      <w:r>
        <w:rPr>
          <w:szCs w:val="24"/>
        </w:rPr>
        <w:t xml:space="preserve">All but one scenario </w:t>
      </w:r>
      <w:r w:rsidR="00744B2D">
        <w:rPr>
          <w:szCs w:val="24"/>
        </w:rPr>
        <w:t>has</w:t>
      </w:r>
      <w:r>
        <w:rPr>
          <w:szCs w:val="24"/>
        </w:rPr>
        <w:t xml:space="preserve"> been completed. The remaining scenario is identical to t1, with uneven bear density and no behavioral effects. </w:t>
      </w:r>
    </w:p>
    <w:p w14:paraId="4AA98CE0" w14:textId="77777777" w:rsidR="00206D4D" w:rsidRDefault="00206D4D" w:rsidP="008C5FBA">
      <w:pPr>
        <w:rPr>
          <w:szCs w:val="24"/>
        </w:rPr>
      </w:pPr>
    </w:p>
    <w:p w14:paraId="4FFD4C1A" w14:textId="23443724" w:rsidR="00234AC2" w:rsidRDefault="00206D4D" w:rsidP="008C5FBA">
      <w:pPr>
        <w:rPr>
          <w:szCs w:val="24"/>
        </w:rPr>
      </w:pPr>
      <w:r>
        <w:rPr>
          <w:szCs w:val="24"/>
        </w:rPr>
        <w:t>E</w:t>
      </w:r>
      <w:r w:rsidR="00580C87">
        <w:rPr>
          <w:szCs w:val="24"/>
        </w:rPr>
        <w:t xml:space="preserve">ach scenario contains 30 bears in the area of the trapping grid. The trapping grid consists of 36 traps, arranged systematically in a square, separated by 800 meters.  At this point, only one </w:t>
      </w:r>
      <w:proofErr w:type="spellStart"/>
      <w:r w:rsidR="00580C87">
        <w:rPr>
          <w:szCs w:val="24"/>
        </w:rPr>
        <w:t>secr</w:t>
      </w:r>
      <w:proofErr w:type="spellEnd"/>
      <w:r w:rsidR="00580C87">
        <w:rPr>
          <w:szCs w:val="24"/>
        </w:rPr>
        <w:t xml:space="preserve"> model has been fit to the ~1200 simulated datasets of each scenario, where intercept capture probability is influenced by whether a bear has been captured in a previous session. </w:t>
      </w:r>
      <w:r w:rsidR="00744B2D">
        <w:rPr>
          <w:szCs w:val="24"/>
        </w:rPr>
        <w:t xml:space="preserve">We plan to fit two more models – one with a behavioral and time trend influencing intercept capture probability, and one with a time trend only. </w:t>
      </w:r>
    </w:p>
    <w:p w14:paraId="7D7F7CCE" w14:textId="77777777" w:rsidR="00EC5826" w:rsidRDefault="00EC5826" w:rsidP="008C5FBA">
      <w:pPr>
        <w:rPr>
          <w:szCs w:val="24"/>
        </w:rPr>
      </w:pPr>
    </w:p>
    <w:p w14:paraId="1EE3D6E3" w14:textId="0C3AD5C8" w:rsidR="00EC5826" w:rsidRDefault="00912F3D" w:rsidP="008C5FBA">
      <w:pPr>
        <w:rPr>
          <w:szCs w:val="24"/>
        </w:rPr>
      </w:pPr>
      <w:r>
        <w:rPr>
          <w:szCs w:val="24"/>
        </w:rPr>
        <w:t xml:space="preserve">We compared the derived number of individuals, as well as the proportion of non-redundant data analyzed, from each fitted model with respect to the subsampling type. Our results indicate that the spread.one subsampling strategy produces density estimates that were closer, on average, to the true number of individuals in the population (figure 1). </w:t>
      </w:r>
    </w:p>
    <w:p w14:paraId="56977A47" w14:textId="71FC988C" w:rsidR="00912F3D" w:rsidRDefault="00912F3D" w:rsidP="008C5FBA">
      <w:pPr>
        <w:rPr>
          <w:szCs w:val="24"/>
        </w:rPr>
      </w:pPr>
    </w:p>
    <w:p w14:paraId="482800EB" w14:textId="5D2D02C2" w:rsidR="00912F3D" w:rsidRDefault="0075640B" w:rsidP="008C5FBA">
      <w:pPr>
        <w:rPr>
          <w:szCs w:val="24"/>
        </w:rPr>
      </w:pPr>
      <w:r>
        <w:rPr>
          <w:noProof/>
          <w:szCs w:val="24"/>
        </w:rPr>
        <w:drawing>
          <wp:inline distT="0" distB="0" distL="0" distR="0" wp14:anchorId="22CFA173" wp14:editId="738EFED7">
            <wp:extent cx="5600700" cy="4200525"/>
            <wp:effectExtent l="0" t="0" r="12700" b="0"/>
            <wp:docPr id="3" name="Picture 2" descr="Macintosh HD:Users:nick:Google Drive:spatialMR:Rscripts:Simulation:figure:NhatBias.vs.Sub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Google Drive:spatialMR:Rscripts:Simulation:figure:NhatBias.vs.Sub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4200525"/>
                    </a:xfrm>
                    <a:prstGeom prst="rect">
                      <a:avLst/>
                    </a:prstGeom>
                    <a:noFill/>
                    <a:ln>
                      <a:noFill/>
                    </a:ln>
                  </pic:spPr>
                </pic:pic>
              </a:graphicData>
            </a:graphic>
          </wp:inline>
        </w:drawing>
      </w:r>
    </w:p>
    <w:p w14:paraId="435D59DC" w14:textId="3EFD8223" w:rsidR="00234AC2" w:rsidRPr="0075640B" w:rsidRDefault="0075640B" w:rsidP="008C5FBA">
      <w:pPr>
        <w:rPr>
          <w:i/>
          <w:szCs w:val="24"/>
        </w:rPr>
      </w:pPr>
      <w:r>
        <w:rPr>
          <w:i/>
          <w:szCs w:val="24"/>
        </w:rPr>
        <w:lastRenderedPageBreak/>
        <w:t xml:space="preserve">Figure 1: Mean biases of n-hat </w:t>
      </w:r>
      <w:proofErr w:type="spellStart"/>
      <w:r>
        <w:rPr>
          <w:i/>
          <w:szCs w:val="24"/>
        </w:rPr>
        <w:t>vs</w:t>
      </w:r>
      <w:proofErr w:type="spellEnd"/>
      <w:r>
        <w:rPr>
          <w:i/>
          <w:szCs w:val="24"/>
        </w:rPr>
        <w:t xml:space="preserve"> subsampling method on </w:t>
      </w:r>
      <w:proofErr w:type="spellStart"/>
      <w:r>
        <w:rPr>
          <w:i/>
          <w:szCs w:val="24"/>
        </w:rPr>
        <w:t>secr</w:t>
      </w:r>
      <w:proofErr w:type="spellEnd"/>
      <w:r>
        <w:rPr>
          <w:i/>
          <w:szCs w:val="24"/>
        </w:rPr>
        <w:t xml:space="preserve"> models fitted to ~8400 simulated capture histories.</w:t>
      </w:r>
    </w:p>
    <w:p w14:paraId="6F4D33A5" w14:textId="77777777" w:rsidR="00B223EE" w:rsidRDefault="00B223EE" w:rsidP="008C5FBA">
      <w:pPr>
        <w:rPr>
          <w:szCs w:val="24"/>
        </w:rPr>
      </w:pPr>
    </w:p>
    <w:p w14:paraId="4238E035" w14:textId="6DA315DD" w:rsidR="0075640B" w:rsidRDefault="0075640B" w:rsidP="008C5FBA">
      <w:pPr>
        <w:rPr>
          <w:szCs w:val="24"/>
        </w:rPr>
      </w:pPr>
      <w:r>
        <w:rPr>
          <w:szCs w:val="24"/>
        </w:rPr>
        <w:t xml:space="preserve">We hypothesized, based on </w:t>
      </w:r>
      <w:proofErr w:type="spellStart"/>
      <w:r>
        <w:rPr>
          <w:szCs w:val="24"/>
        </w:rPr>
        <w:t>spread.one’s</w:t>
      </w:r>
      <w:proofErr w:type="spellEnd"/>
      <w:r>
        <w:rPr>
          <w:szCs w:val="24"/>
        </w:rPr>
        <w:t xml:space="preserve"> superior performance analyzing empirical data, that these differences in n-hat were caused by the proportion of non-redundant data in any given subsample; specifically, that spread.one resulted in less redundant data being included for analysis. </w:t>
      </w:r>
      <w:r w:rsidR="00763DFE">
        <w:rPr>
          <w:szCs w:val="24"/>
        </w:rPr>
        <w:t xml:space="preserve">A comparison of sample redundancy with respect to subsampling type in our simulations supports this notion (figure 2). On average, spread.one selected more non-redundant data in each trial that included sample redundancy. </w:t>
      </w:r>
    </w:p>
    <w:p w14:paraId="33CD53EB" w14:textId="77777777" w:rsidR="0075640B" w:rsidRDefault="0075640B" w:rsidP="008C5FBA">
      <w:pPr>
        <w:rPr>
          <w:szCs w:val="24"/>
        </w:rPr>
      </w:pPr>
    </w:p>
    <w:p w14:paraId="4D1B4676" w14:textId="73AD02F0" w:rsidR="0075640B" w:rsidRDefault="0075640B" w:rsidP="008C5FBA">
      <w:pPr>
        <w:rPr>
          <w:szCs w:val="24"/>
        </w:rPr>
      </w:pPr>
      <w:r>
        <w:rPr>
          <w:noProof/>
          <w:szCs w:val="24"/>
        </w:rPr>
        <w:drawing>
          <wp:inline distT="0" distB="0" distL="0" distR="0" wp14:anchorId="662AFC8B" wp14:editId="6B8F4DEA">
            <wp:extent cx="5943600" cy="4457700"/>
            <wp:effectExtent l="0" t="0" r="0" b="12700"/>
            <wp:docPr id="4" name="Picture 3" descr="Macintosh HD:Users:nick:Google Drive:spatialMR:Rscripts:Simulation:figure:Redun.vs.sub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Google Drive:spatialMR:Rscripts:Simulation:figure:Redun.vs.subt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AFE3835" w14:textId="77777777" w:rsidR="0075640B" w:rsidRDefault="0075640B" w:rsidP="008C5FBA">
      <w:pPr>
        <w:rPr>
          <w:szCs w:val="24"/>
        </w:rPr>
      </w:pPr>
    </w:p>
    <w:p w14:paraId="4F56B7FC" w14:textId="185D16D3" w:rsidR="0075640B" w:rsidRPr="0075640B" w:rsidRDefault="0075640B" w:rsidP="008C5FBA">
      <w:pPr>
        <w:rPr>
          <w:i/>
          <w:szCs w:val="24"/>
        </w:rPr>
      </w:pPr>
      <w:r w:rsidRPr="0075640B">
        <w:rPr>
          <w:i/>
          <w:szCs w:val="24"/>
        </w:rPr>
        <w:t>Figure 2:</w:t>
      </w:r>
      <w:r>
        <w:rPr>
          <w:i/>
          <w:szCs w:val="24"/>
        </w:rPr>
        <w:t xml:space="preserve"> Mean proportion of non-redundant data analyzed with respect to subsampling type for each of the 7 scenarios. </w:t>
      </w:r>
      <w:proofErr w:type="gramStart"/>
      <w:r w:rsidR="00763DFE">
        <w:rPr>
          <w:i/>
          <w:szCs w:val="24"/>
        </w:rPr>
        <w:t>t1</w:t>
      </w:r>
      <w:proofErr w:type="gramEnd"/>
      <w:r w:rsidR="00763DFE">
        <w:rPr>
          <w:i/>
          <w:szCs w:val="24"/>
        </w:rPr>
        <w:t>, t2 and t3 cannot produce redundant data by design.</w:t>
      </w:r>
    </w:p>
    <w:p w14:paraId="4CDD0FB2" w14:textId="77777777" w:rsidR="0075640B" w:rsidRDefault="0075640B" w:rsidP="008C5FBA">
      <w:pPr>
        <w:rPr>
          <w:szCs w:val="24"/>
        </w:rPr>
      </w:pPr>
    </w:p>
    <w:p w14:paraId="7FC34244" w14:textId="77777777" w:rsidR="00B223EE" w:rsidRDefault="00B223EE" w:rsidP="008C5FBA">
      <w:pPr>
        <w:rPr>
          <w:b/>
          <w:szCs w:val="24"/>
        </w:rPr>
      </w:pPr>
      <w:r>
        <w:rPr>
          <w:b/>
          <w:szCs w:val="24"/>
        </w:rPr>
        <w:t xml:space="preserve">Objective 3:  </w:t>
      </w:r>
      <w:r w:rsidRPr="00B223EE">
        <w:rPr>
          <w:b/>
          <w:szCs w:val="24"/>
        </w:rPr>
        <w:t>Provide guidance for study design of future genetic CMR estimates of bears in Minnesota.</w:t>
      </w:r>
    </w:p>
    <w:p w14:paraId="00D21854" w14:textId="77777777" w:rsidR="00B223EE" w:rsidRDefault="00B223EE" w:rsidP="008C5FBA">
      <w:pPr>
        <w:rPr>
          <w:b/>
          <w:szCs w:val="24"/>
        </w:rPr>
      </w:pPr>
    </w:p>
    <w:p w14:paraId="16FBF81B" w14:textId="77777777" w:rsidR="00B223EE" w:rsidRDefault="00B223EE" w:rsidP="008C5FBA">
      <w:pPr>
        <w:rPr>
          <w:szCs w:val="24"/>
        </w:rPr>
      </w:pPr>
      <w:r>
        <w:rPr>
          <w:szCs w:val="24"/>
        </w:rPr>
        <w:t>Based on the two different simulation studies we</w:t>
      </w:r>
      <w:r w:rsidR="005B6C59">
        <w:rPr>
          <w:szCs w:val="24"/>
        </w:rPr>
        <w:t xml:space="preserve"> have</w:t>
      </w:r>
      <w:r>
        <w:rPr>
          <w:szCs w:val="24"/>
        </w:rPr>
        <w:t xml:space="preserve"> conducted (subsampling hair data from the 2012 CMR study and simulating capture histories), we conclude that the </w:t>
      </w:r>
      <w:r>
        <w:rPr>
          <w:i/>
          <w:szCs w:val="24"/>
        </w:rPr>
        <w:t>spread.one</w:t>
      </w:r>
      <w:r>
        <w:rPr>
          <w:szCs w:val="24"/>
        </w:rPr>
        <w:t xml:space="preserve"> strategy provides a cost-effective approach to estimating abundance when t</w:t>
      </w:r>
      <w:r w:rsidRPr="00623AE1">
        <w:rPr>
          <w:szCs w:val="24"/>
        </w:rPr>
        <w:t>he number of samples obtained far exceeds the budget allotted for genetic analysis</w:t>
      </w:r>
      <w:r>
        <w:rPr>
          <w:szCs w:val="24"/>
        </w:rPr>
        <w:t xml:space="preserve">. </w:t>
      </w:r>
    </w:p>
    <w:p w14:paraId="5B69D004" w14:textId="77777777" w:rsidR="00B223EE" w:rsidRDefault="00B223EE" w:rsidP="008C5FBA">
      <w:pPr>
        <w:rPr>
          <w:szCs w:val="24"/>
        </w:rPr>
      </w:pPr>
    </w:p>
    <w:p w14:paraId="055E153E" w14:textId="77777777" w:rsidR="00B223EE" w:rsidRDefault="00B223EE" w:rsidP="008C5FBA">
      <w:pPr>
        <w:rPr>
          <w:szCs w:val="24"/>
        </w:rPr>
      </w:pPr>
      <w:r>
        <w:rPr>
          <w:szCs w:val="24"/>
        </w:rPr>
        <w:t xml:space="preserve">We </w:t>
      </w:r>
      <w:r w:rsidR="00AF7B27">
        <w:rPr>
          <w:szCs w:val="24"/>
        </w:rPr>
        <w:t>are committed to</w:t>
      </w:r>
      <w:r>
        <w:rPr>
          <w:szCs w:val="24"/>
        </w:rPr>
        <w:t xml:space="preserve"> working with David </w:t>
      </w:r>
      <w:proofErr w:type="spellStart"/>
      <w:r>
        <w:rPr>
          <w:szCs w:val="24"/>
        </w:rPr>
        <w:t>Garshelis</w:t>
      </w:r>
      <w:proofErr w:type="spellEnd"/>
      <w:r>
        <w:rPr>
          <w:szCs w:val="24"/>
        </w:rPr>
        <w:t xml:space="preserve"> and Karen </w:t>
      </w:r>
      <w:proofErr w:type="spellStart"/>
      <w:r>
        <w:rPr>
          <w:szCs w:val="24"/>
        </w:rPr>
        <w:t>Noyce</w:t>
      </w:r>
      <w:proofErr w:type="spellEnd"/>
      <w:r>
        <w:rPr>
          <w:szCs w:val="24"/>
        </w:rPr>
        <w:t xml:space="preserve"> over the coming year to summarize these results in a peer-reviewed manuscript.</w:t>
      </w:r>
    </w:p>
    <w:p w14:paraId="056196FC" w14:textId="77777777" w:rsidR="00B223EE" w:rsidRDefault="00B223EE" w:rsidP="008C5FBA">
      <w:pPr>
        <w:rPr>
          <w:szCs w:val="24"/>
        </w:rPr>
      </w:pPr>
    </w:p>
    <w:p w14:paraId="0BEA0283" w14:textId="77777777" w:rsidR="00B223EE" w:rsidRPr="00B223EE" w:rsidRDefault="00B223EE" w:rsidP="008C5FBA">
      <w:pPr>
        <w:rPr>
          <w:szCs w:val="24"/>
        </w:rPr>
      </w:pPr>
    </w:p>
    <w:p w14:paraId="2B6F2193" w14:textId="77777777" w:rsidR="00B223EE" w:rsidRDefault="00B223EE" w:rsidP="008C5FBA">
      <w:pPr>
        <w:rPr>
          <w:szCs w:val="24"/>
        </w:rPr>
      </w:pPr>
    </w:p>
    <w:p w14:paraId="6167D0E7" w14:textId="3EDA70FA" w:rsidR="00B223EE" w:rsidRPr="00B223EE" w:rsidRDefault="00B223EE" w:rsidP="008C5FBA">
      <w:pPr>
        <w:rPr>
          <w:szCs w:val="24"/>
        </w:rPr>
      </w:pPr>
    </w:p>
    <w:sectPr w:rsidR="00B223EE" w:rsidRPr="00B22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R Fieberg" w:date="2016-10-05T10:29:00Z" w:initials="JRF">
    <w:p w14:paraId="2CDF3EB8" w14:textId="77777777" w:rsidR="0075640B" w:rsidRDefault="0075640B">
      <w:pPr>
        <w:pStyle w:val="CommentText"/>
      </w:pPr>
      <w:r>
        <w:rPr>
          <w:rStyle w:val="CommentReference"/>
        </w:rPr>
        <w:annotationRef/>
      </w:r>
      <w:r>
        <w:t>Nick will be helping to fill this in with some preliminary results today/tomorrow.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8D19B" w14:textId="77777777" w:rsidR="0075640B" w:rsidRDefault="0075640B" w:rsidP="0075640B">
      <w:r>
        <w:separator/>
      </w:r>
    </w:p>
  </w:endnote>
  <w:endnote w:type="continuationSeparator" w:id="0">
    <w:p w14:paraId="69502C7E" w14:textId="77777777" w:rsidR="0075640B" w:rsidRDefault="0075640B" w:rsidP="00756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0787" w14:textId="77777777" w:rsidR="0075640B" w:rsidRDefault="0075640B" w:rsidP="0075640B">
      <w:r>
        <w:separator/>
      </w:r>
    </w:p>
  </w:footnote>
  <w:footnote w:type="continuationSeparator" w:id="0">
    <w:p w14:paraId="76B01387" w14:textId="77777777" w:rsidR="0075640B" w:rsidRDefault="0075640B" w:rsidP="007564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3DFA"/>
    <w:multiLevelType w:val="hybridMultilevel"/>
    <w:tmpl w:val="CA6E9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02974"/>
    <w:multiLevelType w:val="hybridMultilevel"/>
    <w:tmpl w:val="D468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E6974"/>
    <w:multiLevelType w:val="hybridMultilevel"/>
    <w:tmpl w:val="D4681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A424B"/>
    <w:multiLevelType w:val="hybridMultilevel"/>
    <w:tmpl w:val="EAD6C5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40AED"/>
    <w:multiLevelType w:val="hybridMultilevel"/>
    <w:tmpl w:val="C3D080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0986825"/>
    <w:multiLevelType w:val="hybridMultilevel"/>
    <w:tmpl w:val="D468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E24540"/>
    <w:multiLevelType w:val="hybridMultilevel"/>
    <w:tmpl w:val="806C4F14"/>
    <w:lvl w:ilvl="0" w:tplc="426A41D4">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7C"/>
    <w:rsid w:val="000C1EDC"/>
    <w:rsid w:val="000D491A"/>
    <w:rsid w:val="000E4A28"/>
    <w:rsid w:val="00101950"/>
    <w:rsid w:val="00155A2A"/>
    <w:rsid w:val="001B6548"/>
    <w:rsid w:val="001D4CD2"/>
    <w:rsid w:val="00206D4D"/>
    <w:rsid w:val="00234AC2"/>
    <w:rsid w:val="002A3D3F"/>
    <w:rsid w:val="003453F1"/>
    <w:rsid w:val="004E34F5"/>
    <w:rsid w:val="004F08FD"/>
    <w:rsid w:val="00580C87"/>
    <w:rsid w:val="005B6C59"/>
    <w:rsid w:val="00623AE1"/>
    <w:rsid w:val="00744B2D"/>
    <w:rsid w:val="00747FBE"/>
    <w:rsid w:val="0075640B"/>
    <w:rsid w:val="00763DFE"/>
    <w:rsid w:val="00837B0A"/>
    <w:rsid w:val="00841700"/>
    <w:rsid w:val="008B2B52"/>
    <w:rsid w:val="008C5FBA"/>
    <w:rsid w:val="00912F3D"/>
    <w:rsid w:val="00A8637C"/>
    <w:rsid w:val="00A92895"/>
    <w:rsid w:val="00AF7B27"/>
    <w:rsid w:val="00B223EE"/>
    <w:rsid w:val="00B709CC"/>
    <w:rsid w:val="00C7082B"/>
    <w:rsid w:val="00CB3332"/>
    <w:rsid w:val="00D46842"/>
    <w:rsid w:val="00D525F2"/>
    <w:rsid w:val="00E340D0"/>
    <w:rsid w:val="00E707A7"/>
    <w:rsid w:val="00EC5826"/>
    <w:rsid w:val="00F31B80"/>
    <w:rsid w:val="00F36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52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37C"/>
    <w:pPr>
      <w:spacing w:after="200" w:line="276" w:lineRule="auto"/>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D46842"/>
    <w:rPr>
      <w:rFonts w:ascii="Tahoma" w:hAnsi="Tahoma" w:cs="Tahoma"/>
      <w:sz w:val="16"/>
      <w:szCs w:val="16"/>
    </w:rPr>
  </w:style>
  <w:style w:type="character" w:customStyle="1" w:styleId="BalloonTextChar">
    <w:name w:val="Balloon Text Char"/>
    <w:basedOn w:val="DefaultParagraphFont"/>
    <w:link w:val="BalloonText"/>
    <w:uiPriority w:val="99"/>
    <w:semiHidden/>
    <w:rsid w:val="00D46842"/>
    <w:rPr>
      <w:rFonts w:ascii="Tahoma" w:hAnsi="Tahoma" w:cs="Tahoma"/>
      <w:sz w:val="16"/>
      <w:szCs w:val="16"/>
    </w:rPr>
  </w:style>
  <w:style w:type="character" w:styleId="CommentReference">
    <w:name w:val="annotation reference"/>
    <w:basedOn w:val="DefaultParagraphFont"/>
    <w:uiPriority w:val="99"/>
    <w:semiHidden/>
    <w:unhideWhenUsed/>
    <w:rsid w:val="00D46842"/>
    <w:rPr>
      <w:sz w:val="16"/>
      <w:szCs w:val="16"/>
    </w:rPr>
  </w:style>
  <w:style w:type="paragraph" w:styleId="CommentText">
    <w:name w:val="annotation text"/>
    <w:basedOn w:val="Normal"/>
    <w:link w:val="CommentTextChar"/>
    <w:uiPriority w:val="99"/>
    <w:semiHidden/>
    <w:unhideWhenUsed/>
    <w:rsid w:val="00D46842"/>
    <w:rPr>
      <w:sz w:val="20"/>
      <w:szCs w:val="20"/>
    </w:rPr>
  </w:style>
  <w:style w:type="character" w:customStyle="1" w:styleId="CommentTextChar">
    <w:name w:val="Comment Text Char"/>
    <w:basedOn w:val="DefaultParagraphFont"/>
    <w:link w:val="CommentText"/>
    <w:uiPriority w:val="99"/>
    <w:semiHidden/>
    <w:rsid w:val="00D46842"/>
    <w:rPr>
      <w:sz w:val="20"/>
      <w:szCs w:val="20"/>
    </w:rPr>
  </w:style>
  <w:style w:type="paragraph" w:styleId="CommentSubject">
    <w:name w:val="annotation subject"/>
    <w:basedOn w:val="CommentText"/>
    <w:next w:val="CommentText"/>
    <w:link w:val="CommentSubjectChar"/>
    <w:uiPriority w:val="99"/>
    <w:semiHidden/>
    <w:unhideWhenUsed/>
    <w:rsid w:val="00D46842"/>
    <w:rPr>
      <w:b/>
      <w:bCs/>
    </w:rPr>
  </w:style>
  <w:style w:type="character" w:customStyle="1" w:styleId="CommentSubjectChar">
    <w:name w:val="Comment Subject Char"/>
    <w:basedOn w:val="CommentTextChar"/>
    <w:link w:val="CommentSubject"/>
    <w:uiPriority w:val="99"/>
    <w:semiHidden/>
    <w:rsid w:val="00D46842"/>
    <w:rPr>
      <w:b/>
      <w:bCs/>
      <w:sz w:val="20"/>
      <w:szCs w:val="20"/>
    </w:rPr>
  </w:style>
  <w:style w:type="character" w:styleId="PlaceholderText">
    <w:name w:val="Placeholder Text"/>
    <w:basedOn w:val="DefaultParagraphFont"/>
    <w:uiPriority w:val="99"/>
    <w:semiHidden/>
    <w:rsid w:val="00B223EE"/>
    <w:rPr>
      <w:color w:val="808080"/>
    </w:rPr>
  </w:style>
  <w:style w:type="table" w:styleId="TableGrid">
    <w:name w:val="Table Grid"/>
    <w:basedOn w:val="TableNormal"/>
    <w:uiPriority w:val="59"/>
    <w:rsid w:val="00234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640B"/>
    <w:pPr>
      <w:tabs>
        <w:tab w:val="center" w:pos="4320"/>
        <w:tab w:val="right" w:pos="8640"/>
      </w:tabs>
    </w:pPr>
  </w:style>
  <w:style w:type="character" w:customStyle="1" w:styleId="HeaderChar">
    <w:name w:val="Header Char"/>
    <w:basedOn w:val="DefaultParagraphFont"/>
    <w:link w:val="Header"/>
    <w:uiPriority w:val="99"/>
    <w:rsid w:val="0075640B"/>
  </w:style>
  <w:style w:type="paragraph" w:styleId="Footer">
    <w:name w:val="footer"/>
    <w:basedOn w:val="Normal"/>
    <w:link w:val="FooterChar"/>
    <w:uiPriority w:val="99"/>
    <w:unhideWhenUsed/>
    <w:rsid w:val="0075640B"/>
    <w:pPr>
      <w:tabs>
        <w:tab w:val="center" w:pos="4320"/>
        <w:tab w:val="right" w:pos="8640"/>
      </w:tabs>
    </w:pPr>
  </w:style>
  <w:style w:type="character" w:customStyle="1" w:styleId="FooterChar">
    <w:name w:val="Footer Char"/>
    <w:basedOn w:val="DefaultParagraphFont"/>
    <w:link w:val="Footer"/>
    <w:uiPriority w:val="99"/>
    <w:rsid w:val="007564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37C"/>
    <w:pPr>
      <w:spacing w:after="200" w:line="276" w:lineRule="auto"/>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D46842"/>
    <w:rPr>
      <w:rFonts w:ascii="Tahoma" w:hAnsi="Tahoma" w:cs="Tahoma"/>
      <w:sz w:val="16"/>
      <w:szCs w:val="16"/>
    </w:rPr>
  </w:style>
  <w:style w:type="character" w:customStyle="1" w:styleId="BalloonTextChar">
    <w:name w:val="Balloon Text Char"/>
    <w:basedOn w:val="DefaultParagraphFont"/>
    <w:link w:val="BalloonText"/>
    <w:uiPriority w:val="99"/>
    <w:semiHidden/>
    <w:rsid w:val="00D46842"/>
    <w:rPr>
      <w:rFonts w:ascii="Tahoma" w:hAnsi="Tahoma" w:cs="Tahoma"/>
      <w:sz w:val="16"/>
      <w:szCs w:val="16"/>
    </w:rPr>
  </w:style>
  <w:style w:type="character" w:styleId="CommentReference">
    <w:name w:val="annotation reference"/>
    <w:basedOn w:val="DefaultParagraphFont"/>
    <w:uiPriority w:val="99"/>
    <w:semiHidden/>
    <w:unhideWhenUsed/>
    <w:rsid w:val="00D46842"/>
    <w:rPr>
      <w:sz w:val="16"/>
      <w:szCs w:val="16"/>
    </w:rPr>
  </w:style>
  <w:style w:type="paragraph" w:styleId="CommentText">
    <w:name w:val="annotation text"/>
    <w:basedOn w:val="Normal"/>
    <w:link w:val="CommentTextChar"/>
    <w:uiPriority w:val="99"/>
    <w:semiHidden/>
    <w:unhideWhenUsed/>
    <w:rsid w:val="00D46842"/>
    <w:rPr>
      <w:sz w:val="20"/>
      <w:szCs w:val="20"/>
    </w:rPr>
  </w:style>
  <w:style w:type="character" w:customStyle="1" w:styleId="CommentTextChar">
    <w:name w:val="Comment Text Char"/>
    <w:basedOn w:val="DefaultParagraphFont"/>
    <w:link w:val="CommentText"/>
    <w:uiPriority w:val="99"/>
    <w:semiHidden/>
    <w:rsid w:val="00D46842"/>
    <w:rPr>
      <w:sz w:val="20"/>
      <w:szCs w:val="20"/>
    </w:rPr>
  </w:style>
  <w:style w:type="paragraph" w:styleId="CommentSubject">
    <w:name w:val="annotation subject"/>
    <w:basedOn w:val="CommentText"/>
    <w:next w:val="CommentText"/>
    <w:link w:val="CommentSubjectChar"/>
    <w:uiPriority w:val="99"/>
    <w:semiHidden/>
    <w:unhideWhenUsed/>
    <w:rsid w:val="00D46842"/>
    <w:rPr>
      <w:b/>
      <w:bCs/>
    </w:rPr>
  </w:style>
  <w:style w:type="character" w:customStyle="1" w:styleId="CommentSubjectChar">
    <w:name w:val="Comment Subject Char"/>
    <w:basedOn w:val="CommentTextChar"/>
    <w:link w:val="CommentSubject"/>
    <w:uiPriority w:val="99"/>
    <w:semiHidden/>
    <w:rsid w:val="00D46842"/>
    <w:rPr>
      <w:b/>
      <w:bCs/>
      <w:sz w:val="20"/>
      <w:szCs w:val="20"/>
    </w:rPr>
  </w:style>
  <w:style w:type="character" w:styleId="PlaceholderText">
    <w:name w:val="Placeholder Text"/>
    <w:basedOn w:val="DefaultParagraphFont"/>
    <w:uiPriority w:val="99"/>
    <w:semiHidden/>
    <w:rsid w:val="00B223EE"/>
    <w:rPr>
      <w:color w:val="808080"/>
    </w:rPr>
  </w:style>
  <w:style w:type="table" w:styleId="TableGrid">
    <w:name w:val="Table Grid"/>
    <w:basedOn w:val="TableNormal"/>
    <w:uiPriority w:val="59"/>
    <w:rsid w:val="00234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640B"/>
    <w:pPr>
      <w:tabs>
        <w:tab w:val="center" w:pos="4320"/>
        <w:tab w:val="right" w:pos="8640"/>
      </w:tabs>
    </w:pPr>
  </w:style>
  <w:style w:type="character" w:customStyle="1" w:styleId="HeaderChar">
    <w:name w:val="Header Char"/>
    <w:basedOn w:val="DefaultParagraphFont"/>
    <w:link w:val="Header"/>
    <w:uiPriority w:val="99"/>
    <w:rsid w:val="0075640B"/>
  </w:style>
  <w:style w:type="paragraph" w:styleId="Footer">
    <w:name w:val="footer"/>
    <w:basedOn w:val="Normal"/>
    <w:link w:val="FooterChar"/>
    <w:uiPriority w:val="99"/>
    <w:unhideWhenUsed/>
    <w:rsid w:val="0075640B"/>
    <w:pPr>
      <w:tabs>
        <w:tab w:val="center" w:pos="4320"/>
        <w:tab w:val="right" w:pos="8640"/>
      </w:tabs>
    </w:pPr>
  </w:style>
  <w:style w:type="character" w:customStyle="1" w:styleId="FooterChar">
    <w:name w:val="Footer Char"/>
    <w:basedOn w:val="DefaultParagraphFont"/>
    <w:link w:val="Footer"/>
    <w:uiPriority w:val="99"/>
    <w:rsid w:val="00756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72251-68C6-2942-9ECA-237AAE2D3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1396</Words>
  <Characters>7959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Fieberg</dc:creator>
  <cp:lastModifiedBy>Nick</cp:lastModifiedBy>
  <cp:revision>2</cp:revision>
  <cp:lastPrinted>2016-10-05T15:30:00Z</cp:lastPrinted>
  <dcterms:created xsi:type="dcterms:W3CDTF">2016-10-05T19:56:00Z</dcterms:created>
  <dcterms:modified xsi:type="dcterms:W3CDTF">2016-10-05T19:56:00Z</dcterms:modified>
</cp:coreProperties>
</file>