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Microsoft YaHei" w:hAnsi="Microsoft YaHei" w:eastAsia="Microsoft YaHei"/>
          <w:b/>
          <w:sz w:val="46"/>
        </w:rPr>
        <w:t>忆安智护 强网杯实验与策划书增强版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1F4E78"/>
          <w:sz w:val="24"/>
        </w:rPr>
        <w:t>面向智慧养老的护理数据安全治理与可信辅助决策平台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666666"/>
          <w:sz w:val="18"/>
        </w:rPr>
        <w:t>版本 2026-09-26  |  实验方案与证据门禁</w:t>
      </w:r>
    </w:p>
    <w:p>
      <w:pPr>
        <w:pStyle w:val="Heading1"/>
      </w:pPr>
      <w:r>
        <w:t>一 项目定位与比赛主线</w:t>
      </w:r>
    </w:p>
    <w:p>
      <w:pPr>
        <w:spacing w:after="120" w:line="283" w:lineRule="auto"/>
      </w:pPr>
      <w:r>
        <w:rPr>
          <w:rFonts w:ascii="Microsoft YaHei" w:hAnsi="Microsoft YaHei" w:eastAsia="Microsoft YaHei"/>
          <w:b w:val="0"/>
          <w:sz w:val="21"/>
        </w:rPr>
        <w:t>本项目面向智慧养老数字化升级中的护理数据治理难题：护理记录碎片化、健康信息敏感、角色权限复杂、辅助结论难追溯以及用户数据难以撤回。项目不替代护工或医生，不输出诊断和处方，而是把护理记录变成可审计、可解释、可检索、可删除的受控记忆。</w:t>
      </w:r>
    </w:p>
    <w:p>
      <w:pPr>
        <w:spacing w:after="120" w:line="283" w:lineRule="auto"/>
      </w:pPr>
      <w:r>
        <w:rPr>
          <w:rFonts w:ascii="Microsoft YaHei" w:hAnsi="Microsoft YaHei" w:eastAsia="Microsoft YaHei"/>
          <w:b w:val="0"/>
          <w:sz w:val="21"/>
        </w:rPr>
        <w:t>比赛现场只展示一条可复现主链：合成或合法脱敏护理记录 -&gt; ASDF/CASIA/PCCM-S 安全判定 -&gt; O-M-P-R 因果证据 -&gt; 人工纠错 -&gt; 三存储写入 -&gt; RRF 审计检索 -&gt; 用户级删除证明。</w:t>
      </w:r>
    </w:p>
    <w:p>
      <w:pPr>
        <w:spacing w:after="120" w:line="283" w:lineRule="auto"/>
      </w:pPr>
      <w:r>
        <w:rPr>
          <w:rFonts w:ascii="Microsoft YaHei" w:hAnsi="Microsoft YaHei" w:eastAsia="Microsoft YaHei"/>
          <w:b w:val="0"/>
          <w:sz w:val="21"/>
        </w:rPr>
        <w:t>大模型仅作为受约束的候选裁决器。联网研究 Agent 只负责白名单资料的结构化整理，必须人工确认，不参与安全、因果和 RRF 正式指标。</w:t>
      </w:r>
    </w:p>
    <w:p>
      <w:pPr>
        <w:pStyle w:val="Heading1"/>
      </w:pPr>
      <w:r>
        <w:t>二 核心技术与可信边界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331"/>
            <w:shd w:fill="1F4E7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技术模块</w:t>
            </w:r>
          </w:p>
        </w:tc>
        <w:tc>
          <w:tcPr>
            <w:tcW w:type="dxa" w:w="3331"/>
            <w:shd w:fill="1F4E7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比赛中展示的能力</w:t>
            </w:r>
          </w:p>
        </w:tc>
        <w:tc>
          <w:tcPr>
            <w:tcW w:type="dxa" w:w="3331"/>
            <w:shd w:fill="1F4E7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当前证据边界</w:t>
            </w:r>
          </w:p>
        </w:tc>
      </w:tr>
      <w:tr>
        <w:tc>
          <w:tcPr>
            <w:tcW w:type="dxa" w:w="33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ASDF</w:t>
            </w:r>
          </w:p>
        </w:tc>
        <w:tc>
          <w:tcPr>
            <w:tcW w:type="dxa" w:w="33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对抗输入归一化、可逆 span 映射、重检测</w:t>
            </w:r>
          </w:p>
        </w:tc>
        <w:tc>
          <w:tcPr>
            <w:tcW w:type="dxa" w:w="33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需使用固定攻击集和正常样本重新评测</w:t>
            </w:r>
          </w:p>
        </w:tc>
      </w:tr>
      <w:tr>
        <w:tc>
          <w:tcPr>
            <w:tcW w:type="dxa" w:w="3331"/>
            <w:vAlign w:val="center"/>
            <w:shd w:fill="F2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CASIA</w:t>
            </w:r>
          </w:p>
        </w:tc>
        <w:tc>
          <w:tcPr>
            <w:tcW w:type="dxa" w:w="3331"/>
            <w:vAlign w:val="center"/>
            <w:shd w:fill="F2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文本上下文窗口、正负关键词、误伤抑制</w:t>
            </w:r>
          </w:p>
        </w:tc>
        <w:tc>
          <w:tcPr>
            <w:tcW w:type="dxa" w:w="3331"/>
            <w:vAlign w:val="center"/>
            <w:shd w:fill="F2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定位为上下文误伤抑制器，不宣称多模态</w:t>
            </w:r>
          </w:p>
        </w:tc>
      </w:tr>
      <w:tr>
        <w:tc>
          <w:tcPr>
            <w:tcW w:type="dxa" w:w="33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PCCM-S</w:t>
            </w:r>
          </w:p>
        </w:tc>
        <w:tc>
          <w:tcPr>
            <w:tcW w:type="dxa" w:w="33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规则、词典、上下文和安全模型的证据校准</w:t>
            </w:r>
          </w:p>
        </w:tc>
        <w:tc>
          <w:tcPr>
            <w:tcW w:type="dxa" w:w="33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固定配置先验收，校准参数只用开发集</w:t>
            </w:r>
          </w:p>
        </w:tc>
      </w:tr>
      <w:tr>
        <w:tc>
          <w:tcPr>
            <w:tcW w:type="dxa" w:w="3331"/>
            <w:vAlign w:val="center"/>
            <w:shd w:fill="F2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O-M-P-R</w:t>
            </w:r>
          </w:p>
        </w:tc>
        <w:tc>
          <w:tcPr>
            <w:tcW w:type="dxa" w:w="3331"/>
            <w:vAlign w:val="center"/>
            <w:shd w:fill="F2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对象、媒介、属性、结果及原文证据 span</w:t>
            </w:r>
          </w:p>
        </w:tc>
        <w:tc>
          <w:tcPr>
            <w:tcW w:type="dxa" w:w="3331"/>
            <w:vAlign w:val="center"/>
            <w:shd w:fill="F2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历史严格 Tuple F1 约 0.513，需冻结集复测</w:t>
            </w:r>
          </w:p>
        </w:tc>
      </w:tr>
      <w:tr>
        <w:tc>
          <w:tcPr>
            <w:tcW w:type="dxa" w:w="33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RRF</w:t>
            </w:r>
          </w:p>
        </w:tc>
        <w:tc>
          <w:tcPr>
            <w:tcW w:type="dxa" w:w="33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三路来源、排名、分数、延迟和降级审计</w:t>
            </w:r>
          </w:p>
        </w:tc>
        <w:tc>
          <w:tcPr>
            <w:tcW w:type="dxa" w:w="33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30 条查询提升为受控初步结果，需扩展人工真值</w:t>
            </w:r>
          </w:p>
        </w:tc>
      </w:tr>
      <w:tr>
        <w:tc>
          <w:tcPr>
            <w:tcW w:type="dxa" w:w="3331"/>
            <w:vAlign w:val="center"/>
            <w:shd w:fill="F2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删除验证</w:t>
            </w:r>
          </w:p>
        </w:tc>
        <w:tc>
          <w:tcPr>
            <w:tcW w:type="dxa" w:w="3331"/>
            <w:vAlign w:val="center"/>
            <w:shd w:fill="F2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跨 Qdrant、Neo4j、TimescaleDB 和缓存的删除证明</w:t>
            </w:r>
          </w:p>
        </w:tc>
        <w:tc>
          <w:tcPr>
            <w:tcW w:type="dxa" w:w="3331"/>
            <w:vAlign w:val="center"/>
            <w:shd w:fill="F2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称用户/会话级删除验证，不称参数级机器遗忘</w:t>
            </w:r>
          </w:p>
        </w:tc>
      </w:tr>
    </w:tbl>
    <w:p>
      <w:pPr>
        <w:spacing w:after="40"/>
      </w:pPr>
    </w:p>
    <w:p>
      <w:pPr>
        <w:pStyle w:val="Heading1"/>
      </w:pPr>
      <w:r>
        <w:t>三 实验设计</w:t>
      </w:r>
    </w:p>
    <w:p>
      <w:pPr>
        <w:pStyle w:val="Heading2"/>
      </w:pPr>
      <w:r>
        <w:t>3.1 安全防御与上下文误报抑制</w:t>
      </w:r>
    </w:p>
    <w:p>
      <w:pPr>
        <w:spacing w:after="120" w:line="283" w:lineRule="auto"/>
      </w:pPr>
      <w:r>
        <w:rPr>
          <w:rFonts w:ascii="Microsoft YaHei" w:hAnsi="Microsoft YaHei" w:eastAsia="Microsoft YaHei"/>
          <w:b w:val="0"/>
          <w:sz w:val="21"/>
        </w:rPr>
        <w:t>建立六类攻击样本：空格或分隔符、同音替换、中文数字、Base64、语义绕过和上下文指代；另设不少于 100 条正常护理记录与不少于 100 条上下文歧义记录。对照组为 regex_only、asdf、asdf_casia、asdf_casia_pccm。LLM 兜底只作为能力上限，不替代确定性主链。</w:t>
      </w:r>
    </w:p>
    <w:p>
      <w:pPr>
        <w:spacing w:after="120" w:line="283" w:lineRule="auto"/>
      </w:pPr>
      <w:r>
        <w:rPr>
          <w:rFonts w:ascii="Microsoft YaHei" w:hAnsi="Microsoft YaHei" w:eastAsia="Microsoft YaHei"/>
          <w:b w:val="0"/>
          <w:sz w:val="21"/>
        </w:rPr>
        <w:t>指标包括分攻击类型防御率、PII span Precision/Recall/F1、正常护理误伤率、Wilson 95% 区间、McNemar 配对检验、p50/p95 延迟、命中证据、归一化步骤和 span 映射。正式门槛为总防御率不低于 95%、各攻击类型不低于 90%、正常护理误伤率不高于 3%、PII span F1 不低于 0.92。</w:t>
      </w:r>
    </w:p>
    <w:p>
      <w:pPr>
        <w:pStyle w:val="Heading2"/>
      </w:pPr>
      <w:r>
        <w:t>3.2 O-M-P-R 因果抽取</w:t>
      </w:r>
    </w:p>
    <w:p>
      <w:pPr>
        <w:spacing w:after="120" w:line="283" w:lineRule="auto"/>
      </w:pPr>
      <w:r>
        <w:rPr>
          <w:rFonts w:ascii="Microsoft YaHei" w:hAnsi="Microsoft YaHei" w:eastAsia="Microsoft YaHei"/>
          <w:b w:val="0"/>
          <w:sz w:val="21"/>
        </w:rPr>
        <w:t>建立训练 600、开发 100、冻结测试 100 的分层数据集，按模板族切分，覆盖药物副作用、跌倒、压疮、感染、否定、时间顺序、多因果和无因果记录。两名成员独立标注，冲突由第三人仲裁。</w:t>
      </w:r>
    </w:p>
    <w:p>
      <w:pPr>
        <w:spacing w:after="120" w:line="283" w:lineRule="auto"/>
      </w:pPr>
      <w:r>
        <w:rPr>
          <w:rFonts w:ascii="Microsoft YaHei" w:hAnsi="Microsoft YaHei" w:eastAsia="Microsoft YaHei"/>
          <w:b w:val="0"/>
          <w:sz w:val="21"/>
        </w:rPr>
        <w:t>比较规则、Qwen2.5-3B、规则加 PCCM-C、Ollama 3B 裁决和通过冻结门禁后的 QLoRA 3B。每条结果保留字段原文 span、候选关系、模型层级、否定/时序校验、拒答原因和人工纠错记录。正式门槛为严格 Tuple F1 不低于 0.75、字段宏平均 F1 不低于 0.88、无因果误报率不高于 5%、否定和时序准确率分别不低于 95%、在线 p95 不高于 3 秒。</w:t>
      </w:r>
    </w:p>
    <w:p>
      <w:pPr>
        <w:pStyle w:val="Heading2"/>
      </w:pPr>
      <w:r>
        <w:t>3.3 三路 RRF 检索</w:t>
      </w:r>
    </w:p>
    <w:p>
      <w:pPr>
        <w:spacing w:after="120" w:line="283" w:lineRule="auto"/>
      </w:pPr>
      <w:r>
        <w:rPr>
          <w:rFonts w:ascii="Microsoft YaHei" w:hAnsi="Microsoft YaHei" w:eastAsia="Microsoft YaHei"/>
          <w:b w:val="0"/>
          <w:sz w:val="21"/>
        </w:rPr>
        <w:t>使用同一语料、同一 top-k、同一清理流程和人工冻结真值，查询集至少 300 条，优先扩展到 500 条。比较向量、向量加过滤和真实三路 RRF；来源为空、超时或异常时，结果必须如实标记二路或向量降级。</w:t>
      </w:r>
    </w:p>
    <w:p>
      <w:pPr>
        <w:spacing w:after="120" w:line="283" w:lineRule="auto"/>
      </w:pPr>
      <w:r>
        <w:rPr>
          <w:rFonts w:ascii="Microsoft YaHei" w:hAnsi="Microsoft YaHei" w:eastAsia="Microsoft YaHei"/>
          <w:b w:val="0"/>
          <w:sz w:val="21"/>
        </w:rPr>
        <w:t>每条结果固定记录唯一 doc_id、来源、各路排名、RRF 分数、来源状态、单路延迟和总墙钟延迟。正式门槛为 MRR 相对向量基线提升至少 5%，Recall@5 不下降。</w:t>
      </w:r>
    </w:p>
    <w:p>
      <w:pPr>
        <w:pStyle w:val="Heading2"/>
      </w:pPr>
      <w:r>
        <w:t>3.4 跨存储删除证明</w:t>
      </w:r>
    </w:p>
    <w:p>
      <w:pPr>
        <w:spacing w:after="120" w:line="283" w:lineRule="auto"/>
      </w:pPr>
      <w:r>
        <w:rPr>
          <w:rFonts w:ascii="Microsoft YaHei" w:hAnsi="Microsoft YaHei" w:eastAsia="Microsoft YaHei"/>
          <w:b w:val="0"/>
          <w:sz w:val="21"/>
        </w:rPr>
        <w:t>以目标用户/会话和控制用户/会话为对象，记录删除前计数、跨存储删除、删除后计数、检索探针、第二次幂等删除、控制数据保留和哈希链审计结果。统一称为“隔离用户/会话跨存储删除验证”。</w:t>
      </w:r>
    </w:p>
    <w:p>
      <w:pPr>
        <w:pStyle w:val="Heading2"/>
      </w:pPr>
      <w:r>
        <w:t>3.5 端到端比赛闭环</w:t>
      </w:r>
    </w:p>
    <w:p>
      <w:pPr>
        <w:spacing w:after="120" w:line="283" w:lineRule="auto"/>
      </w:pPr>
      <w:r>
        <w:rPr>
          <w:rFonts w:ascii="Microsoft YaHei" w:hAnsi="Microsoft YaHei" w:eastAsia="Microsoft YaHei"/>
          <w:b w:val="0"/>
          <w:sz w:val="21"/>
        </w:rPr>
        <w:t>现场依次输入合成护理记录、查看安全判定、查看 O-M-P-R 证据、人工修改并提交复核、写入三存储、执行 RRF 审计检索、执行用户级删除并导出证明。现场单次结果只用于展示闭环，不替代冻结集统计成绩。</w:t>
      </w:r>
    </w:p>
    <w:p>
      <w:pPr>
        <w:pStyle w:val="Heading1"/>
      </w:pPr>
      <w:r>
        <w:t>四 证据登记和数据治理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331"/>
            <w:shd w:fill="1F4E7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证据等级</w:t>
            </w:r>
          </w:p>
        </w:tc>
        <w:tc>
          <w:tcPr>
            <w:tcW w:type="dxa" w:w="3331"/>
            <w:shd w:fill="1F4E7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判定条件</w:t>
            </w:r>
          </w:p>
        </w:tc>
        <w:tc>
          <w:tcPr>
            <w:tcW w:type="dxa" w:w="3331"/>
            <w:shd w:fill="1F4E7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允许写入策划书的表达</w:t>
            </w:r>
          </w:p>
        </w:tc>
      </w:tr>
      <w:tr>
        <w:tc>
          <w:tcPr>
            <w:tcW w:type="dxa" w:w="33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已验证结果</w:t>
            </w:r>
          </w:p>
        </w:tc>
        <w:tc>
          <w:tcPr>
            <w:tcW w:type="dxa" w:w="33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固定数据、配置、代码版本、原始输出和分母可复核</w:t>
            </w:r>
          </w:p>
        </w:tc>
        <w:tc>
          <w:tcPr>
            <w:tcW w:type="dxa" w:w="33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当前实验结果</w:t>
            </w:r>
          </w:p>
        </w:tc>
      </w:tr>
      <w:tr>
        <w:tc>
          <w:tcPr>
            <w:tcW w:type="dxa" w:w="3331"/>
            <w:vAlign w:val="center"/>
            <w:shd w:fill="F2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受控初步结果</w:t>
            </w:r>
          </w:p>
        </w:tc>
        <w:tc>
          <w:tcPr>
            <w:tcW w:type="dxa" w:w="3331"/>
            <w:vAlign w:val="center"/>
            <w:shd w:fill="F2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样本规模较小或真值尚未冻结</w:t>
            </w:r>
          </w:p>
        </w:tc>
        <w:tc>
          <w:tcPr>
            <w:tcW w:type="dxa" w:w="3331"/>
            <w:vAlign w:val="center"/>
            <w:shd w:fill="F2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可行性或初步观察</w:t>
            </w:r>
          </w:p>
        </w:tc>
      </w:tr>
      <w:tr>
        <w:tc>
          <w:tcPr>
            <w:tcW w:type="dxa" w:w="33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历史问题基线</w:t>
            </w:r>
          </w:p>
        </w:tc>
        <w:tc>
          <w:tcPr>
            <w:tcW w:type="dxa" w:w="33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优化前或旧路径运行记录</w:t>
            </w:r>
          </w:p>
        </w:tc>
        <w:tc>
          <w:tcPr>
            <w:tcW w:type="dxa" w:w="33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问题发现和优化动机</w:t>
            </w:r>
          </w:p>
        </w:tc>
      </w:tr>
    </w:tbl>
    <w:p>
      <w:pPr>
        <w:spacing w:after="40"/>
      </w:pPr>
    </w:p>
    <w:p>
      <w:pPr>
        <w:spacing w:after="120" w:line="283" w:lineRule="auto"/>
      </w:pPr>
      <w:r>
        <w:rPr>
          <w:rFonts w:ascii="Microsoft YaHei" w:hAnsi="Microsoft YaHei" w:eastAsia="Microsoft YaHei"/>
          <w:b w:val="0"/>
          <w:sz w:val="21"/>
        </w:rPr>
        <w:t>所有正式结果必须附数据集版本与 SHA-256、规则/Prompt/模型版本、配置指纹、容器镜像、随机种子、运行时间、清理流程和失败样本。仅使用公开合成或合法脱敏数据，不在仓库提交真实护理原文、令牌、密钥、模型权重或运行目录。</w:t>
      </w:r>
    </w:p>
    <w:p>
      <w:pPr>
        <w:spacing w:after="120" w:line="283" w:lineRule="auto"/>
      </w:pPr>
      <w:r>
        <w:rPr>
          <w:rFonts w:ascii="Microsoft YaHei" w:hAnsi="Microsoft YaHei" w:eastAsia="Microsoft YaHei"/>
          <w:b w:val="0"/>
          <w:sz w:val="21"/>
        </w:rPr>
        <w:t>当前历史结果单列为基线：安全纯正样本的 94.22% 是检出率，不是准确率或 F1；30 条查询的 RRF MRR 相对提升 20.5% 是受控小规模结果；因果严格 Tuple F1 约 0.513、平均延迟约 10.6 秒是历史问题基线；删除实验存在删除后检索残留，只能称跨存储删除验证。</w:t>
      </w:r>
    </w:p>
    <w:p>
      <w:pPr>
        <w:pStyle w:val="Heading1"/>
      </w:pPr>
      <w:r>
        <w:t>五 研究 Agent 的受控扩展</w:t>
      </w:r>
    </w:p>
    <w:p>
      <w:pPr>
        <w:spacing w:after="120" w:line="283" w:lineRule="auto"/>
      </w:pPr>
      <w:r>
        <w:rPr>
          <w:rFonts w:ascii="Microsoft YaHei" w:hAnsi="Microsoft YaHei" w:eastAsia="Microsoft YaHei"/>
          <w:b w:val="0"/>
          <w:sz w:val="21"/>
        </w:rPr>
        <w:t>研究 Agent 只读白名单来源，返回标题、链接、来源类型、抓取时间、摘要和引用片段；不直接写入护理事实，不生成诊断或治疗建议。联网不可用时切换到离线资料库，人工确认后才能形成护理知识摘要。该能力作为创新展示，不计入核心安全、因果和 RRF 成绩。</w:t>
      </w:r>
    </w:p>
    <w:p>
      <w:pPr>
        <w:pStyle w:val="Heading1"/>
      </w:pPr>
      <w:r>
        <w:t>六 六周实施计划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331"/>
            <w:shd w:fill="1F4E7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周次</w:t>
            </w:r>
          </w:p>
        </w:tc>
        <w:tc>
          <w:tcPr>
            <w:tcW w:type="dxa" w:w="3331"/>
            <w:shd w:fill="1F4E7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交付重点</w:t>
            </w:r>
          </w:p>
        </w:tc>
        <w:tc>
          <w:tcPr>
            <w:tcW w:type="dxa" w:w="3331"/>
            <w:shd w:fill="1F4E7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验收证据</w:t>
            </w:r>
          </w:p>
        </w:tc>
      </w:tr>
      <w:tr>
        <w:tc>
          <w:tcPr>
            <w:tcW w:type="dxa" w:w="33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第 1 周</w:t>
            </w:r>
          </w:p>
        </w:tc>
        <w:tc>
          <w:tcPr>
            <w:tcW w:type="dxa" w:w="33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固化数据、配置、trace_id、哈希和历史基线</w:t>
            </w:r>
          </w:p>
        </w:tc>
        <w:tc>
          <w:tcPr>
            <w:tcW w:type="dxa" w:w="33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实验配置、数据清单、基线原始 JSON</w:t>
            </w:r>
          </w:p>
        </w:tc>
      </w:tr>
      <w:tr>
        <w:tc>
          <w:tcPr>
            <w:tcW w:type="dxa" w:w="3331"/>
            <w:vAlign w:val="center"/>
            <w:shd w:fill="F2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第 2 周</w:t>
            </w:r>
          </w:p>
        </w:tc>
        <w:tc>
          <w:tcPr>
            <w:tcW w:type="dxa" w:w="3331"/>
            <w:vAlign w:val="center"/>
            <w:shd w:fill="F2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完成安全样本标注和 ASDF/CASIA/PCCM-S 消融</w:t>
            </w:r>
          </w:p>
        </w:tc>
        <w:tc>
          <w:tcPr>
            <w:tcW w:type="dxa" w:w="3331"/>
            <w:vAlign w:val="center"/>
            <w:shd w:fill="F2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分层结果、置信区间、误伤分析</w:t>
            </w:r>
          </w:p>
        </w:tc>
      </w:tr>
      <w:tr>
        <w:tc>
          <w:tcPr>
            <w:tcW w:type="dxa" w:w="33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第 3 周</w:t>
            </w:r>
          </w:p>
        </w:tc>
        <w:tc>
          <w:tcPr>
            <w:tcW w:type="dxa" w:w="33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完成因果候选、证据校验、三级回退和纠错队列</w:t>
            </w:r>
          </w:p>
        </w:tc>
        <w:tc>
          <w:tcPr>
            <w:tcW w:type="dxa" w:w="33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冻结测试集前的开发集报告</w:t>
            </w:r>
          </w:p>
        </w:tc>
      </w:tr>
      <w:tr>
        <w:tc>
          <w:tcPr>
            <w:tcW w:type="dxa" w:w="3331"/>
            <w:vAlign w:val="center"/>
            <w:shd w:fill="F2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第 4 周</w:t>
            </w:r>
          </w:p>
        </w:tc>
        <w:tc>
          <w:tcPr>
            <w:tcW w:type="dxa" w:w="3331"/>
            <w:vAlign w:val="center"/>
            <w:shd w:fill="F2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完成三存储、RRF 故障降级和删除证明</w:t>
            </w:r>
          </w:p>
        </w:tc>
        <w:tc>
          <w:tcPr>
            <w:tcW w:type="dxa" w:w="3331"/>
            <w:vAlign w:val="center"/>
            <w:shd w:fill="F2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来源审计、删除前后探针、哈希证明</w:t>
            </w:r>
          </w:p>
        </w:tc>
      </w:tr>
      <w:tr>
        <w:tc>
          <w:tcPr>
            <w:tcW w:type="dxa" w:w="33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第 5 周</w:t>
            </w:r>
          </w:p>
        </w:tc>
        <w:tc>
          <w:tcPr>
            <w:tcW w:type="dxa" w:w="33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完成单页时间线控制台和浏览器验证</w:t>
            </w:r>
          </w:p>
        </w:tc>
        <w:tc>
          <w:tcPr>
            <w:tcW w:type="dxa" w:w="33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桌面/移动截图、错误状态验证</w:t>
            </w:r>
          </w:p>
        </w:tc>
      </w:tr>
      <w:tr>
        <w:tc>
          <w:tcPr>
            <w:tcW w:type="dxa" w:w="3331"/>
            <w:vAlign w:val="center"/>
            <w:shd w:fill="F2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第 6 周</w:t>
            </w:r>
          </w:p>
        </w:tc>
        <w:tc>
          <w:tcPr>
            <w:tcW w:type="dxa" w:w="3331"/>
            <w:vAlign w:val="center"/>
            <w:shd w:fill="F2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冻结评测、Docker/Linux 门禁和发布快照</w:t>
            </w:r>
          </w:p>
        </w:tc>
        <w:tc>
          <w:tcPr>
            <w:tcW w:type="dxa" w:w="3331"/>
            <w:vAlign w:val="center"/>
            <w:shd w:fill="F2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HTML/JSON/CSV 报告、安全扫描、Git 历史检查</w:t>
            </w:r>
          </w:p>
        </w:tc>
      </w:tr>
    </w:tbl>
    <w:p>
      <w:pPr>
        <w:spacing w:after="40"/>
      </w:pPr>
    </w:p>
    <w:p>
      <w:pPr>
        <w:pStyle w:val="Heading1"/>
      </w:pPr>
      <w:r>
        <w:t>七 发布门禁</w:t>
      </w:r>
    </w:p>
    <w:p>
      <w:pPr>
        <w:spacing w:after="120" w:line="283" w:lineRule="auto"/>
      </w:pPr>
      <w:r>
        <w:rPr>
          <w:rFonts w:ascii="Microsoft YaHei" w:hAnsi="Microsoft YaHei" w:eastAsia="Microsoft YaHei"/>
          <w:b w:val="0"/>
          <w:sz w:val="21"/>
        </w:rPr>
        <w:t>每个独立阶段先补测试、运行专项门禁、记录产物，再创建独立 Git commit。最终执行：</w:t>
      </w:r>
    </w:p>
    <w:p>
      <w:r>
        <w:rPr>
          <w:rFonts w:ascii="Consolas" w:hAnsi="Consolas" w:eastAsia="Consolas"/>
          <w:b w:val="0"/>
          <w:sz w:val="18"/>
        </w:rPr>
        <w:t>go mod verify</w:t>
        <w:br/>
      </w:r>
      <w:r>
        <w:rPr>
          <w:rFonts w:ascii="Consolas" w:hAnsi="Consolas" w:eastAsia="Consolas"/>
          <w:b w:val="0"/>
          <w:sz w:val="18"/>
        </w:rPr>
        <w:t>go vet -tags http ./...</w:t>
        <w:br/>
      </w:r>
      <w:r>
        <w:rPr>
          <w:rFonts w:ascii="Consolas" w:hAnsi="Consolas" w:eastAsia="Consolas"/>
          <w:b w:val="0"/>
          <w:sz w:val="18"/>
        </w:rPr>
        <w:t>go test -tags http ./...</w:t>
        <w:br/>
      </w:r>
      <w:r>
        <w:rPr>
          <w:rFonts w:ascii="Consolas" w:hAnsi="Consolas" w:eastAsia="Consolas"/>
          <w:b w:val="0"/>
          <w:sz w:val="18"/>
        </w:rPr>
        <w:t>python -m unittest discover -s experiments/scripts -p "test_*.py"</w:t>
        <w:br/>
      </w:r>
      <w:r>
        <w:rPr>
          <w:rFonts w:ascii="Consolas" w:hAnsi="Consolas" w:eastAsia="Consolas"/>
          <w:b w:val="0"/>
          <w:sz w:val="18"/>
        </w:rPr>
        <w:t>python -m unittest discover -s experiments/training -p "test_*.py"</w:t>
        <w:br/>
      </w:r>
      <w:r>
        <w:rPr>
          <w:rFonts w:ascii="Consolas" w:hAnsi="Consolas" w:eastAsia="Consolas"/>
          <w:b w:val="0"/>
          <w:sz w:val="18"/>
        </w:rPr>
        <w:t>docker compose config --quiet</w:t>
        <w:br/>
      </w:r>
      <w:r>
        <w:rPr>
          <w:rFonts w:ascii="Consolas" w:hAnsi="Consolas" w:eastAsia="Consolas"/>
          <w:b w:val="0"/>
          <w:sz w:val="18"/>
        </w:rPr>
        <w:t>docker compose build context-keeper</w:t>
        <w:br/>
      </w:r>
      <w:r>
        <w:rPr>
          <w:rFonts w:ascii="Consolas" w:hAnsi="Consolas" w:eastAsia="Consolas"/>
          <w:b w:val="0"/>
          <w:sz w:val="18"/>
        </w:rPr>
        <w:t>python experiments/scripts/smoke_test.py --mode live</w:t>
        <w:br/>
      </w:r>
      <w:r>
        <w:rPr>
          <w:rFonts w:ascii="Consolas" w:hAnsi="Consolas" w:eastAsia="Consolas"/>
          <w:b w:val="0"/>
          <w:sz w:val="18"/>
        </w:rPr>
        <w:t>python experiments/scripts/release_guard.py</w:t>
        <w:br/>
      </w:r>
    </w:p>
    <w:p>
      <w:pPr>
        <w:pStyle w:val="Heading1"/>
      </w:pPr>
      <w:r>
        <w:t>八 明确不宣称事项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sz w:val="21"/>
        </w:rPr>
        <w:t>冻结实验完成前，不宣称 95% 以上准确率、因果无幻觉或在线 p95 小于 3 秒。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sz w:val="21"/>
        </w:rPr>
        <w:t>删除链路不宣称梯度投影模型遗忘、参数级机器遗忘、物理粉碎或绝对不可恢复。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sz w:val="21"/>
        </w:rPr>
        <w:t>CASIA 当前是文本上下文判定，不宣称音频、图像或人脸能力已进入比赛主链。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sz w:val="21"/>
        </w:rPr>
        <w:t>未经过数据集、配置和审计门禁的失败结果不得隐藏；指标未达标时保留负结果。</w:t>
      </w:r>
    </w:p>
    <w:sectPr w:rsidR="00FC693F" w:rsidRPr="0006063C" w:rsidSect="00034616">
      <w:footerReference w:type="default" r:id="rId9"/>
      <w:pgSz w:w="12240" w:h="15840"/>
      <w:pgMar w:top="1037" w:right="1123" w:bottom="1037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b w:val="0"/>
        <w:color w:val="666666"/>
        <w:sz w:val="16"/>
      </w:rPr>
      <w:t>忆安智护 | 强网杯实验与策划书增强版 | 2026-09-26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