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90253">
      <w:pPr>
        <w:jc w:val="center"/>
        <w:rPr>
          <w:sz w:val="30"/>
          <w:szCs w:val="30"/>
        </w:rPr>
      </w:pPr>
      <w:r>
        <w:rPr>
          <w:rFonts w:hint="eastAsia"/>
          <w:sz w:val="30"/>
          <w:szCs w:val="30"/>
        </w:rPr>
        <w:t>[</w:t>
      </w:r>
      <w:r>
        <w:rPr>
          <w:rFonts w:hint="eastAsia" w:ascii="仿宋" w:hAnsi="仿宋" w:eastAsia="仿宋" w:cs="仿宋"/>
        </w:rPr>
        <w:t>叶擎慧航--基于无人机多源影像与双模型驱动的烟草诊断与精准施策系统</w:t>
      </w:r>
      <w:r>
        <w:rPr>
          <w:rFonts w:hint="eastAsia"/>
          <w:sz w:val="30"/>
          <w:szCs w:val="30"/>
        </w:rPr>
        <w:t>]</w:t>
      </w:r>
    </w:p>
    <w:p w14:paraId="7AFADB61">
      <w:pPr>
        <w:jc w:val="center"/>
        <w:rPr>
          <w:sz w:val="30"/>
          <w:szCs w:val="30"/>
        </w:rPr>
      </w:pPr>
      <w:r>
        <w:rPr>
          <w:rFonts w:hint="eastAsia"/>
          <w:sz w:val="48"/>
          <w:szCs w:val="48"/>
        </w:rPr>
        <w:t>设计文档</w:t>
      </w:r>
    </w:p>
    <w:p w14:paraId="0EFAF1AA"/>
    <w:p w14:paraId="7ACF87DC">
      <w:r>
        <w:rPr>
          <w:rFonts w:hint="eastAsia"/>
          <w:sz w:val="24"/>
          <w:szCs w:val="28"/>
        </w:rPr>
        <w:t>所在赛道与赛项：</w:t>
      </w:r>
      <w:r>
        <w:rPr>
          <w:rFonts w:hint="eastAsia"/>
          <w:i w:val="0"/>
          <w:iCs w:val="0"/>
          <w:sz w:val="24"/>
          <w:szCs w:val="28"/>
        </w:rPr>
        <w:t>A</w:t>
      </w:r>
    </w:p>
    <w:p w14:paraId="069BF857"/>
    <w:p w14:paraId="2892C6FF">
      <w:pPr>
        <w:pStyle w:val="14"/>
        <w:numPr>
          <w:ilvl w:val="0"/>
          <w:numId w:val="1"/>
        </w:numPr>
        <w:ind w:firstLineChars="0"/>
      </w:pPr>
      <w:r>
        <w:rPr>
          <w:rFonts w:hint="eastAsia"/>
          <w:sz w:val="40"/>
          <w:szCs w:val="44"/>
        </w:rPr>
        <w:t>目标问题与意义价值</w:t>
      </w:r>
    </w:p>
    <w:p w14:paraId="7C6E16A0">
      <w:pPr>
        <w:pStyle w:val="4"/>
        <w:rPr>
          <w:rFonts w:hint="eastAsia"/>
        </w:rPr>
      </w:pPr>
      <w:bookmarkStart w:id="0" w:name="_Toc5677"/>
      <w:r>
        <w:rPr>
          <w:rFonts w:ascii="黑体" w:hAnsi="黑体" w:cs="黑体"/>
          <w:lang w:bidi="ar"/>
        </w:rPr>
        <w:t>1.1.</w:t>
      </w:r>
      <w:r>
        <w:rPr>
          <w:rFonts w:hint="eastAsia"/>
        </w:rPr>
        <w:t xml:space="preserve"> 主题创意来源与项目背景</w:t>
      </w:r>
      <w:bookmarkEnd w:id="0"/>
    </w:p>
    <w:p w14:paraId="448C4B7B">
      <w:pPr>
        <w:keepNext w:val="0"/>
        <w:keepLines w:val="0"/>
        <w:pageBreakBefore w:val="0"/>
        <w:widowControl/>
        <w:kinsoku/>
        <w:wordWrap/>
        <w:overflowPunct/>
        <w:topLinePunct w:val="0"/>
        <w:autoSpaceDE/>
        <w:autoSpaceDN/>
        <w:bidi w:val="0"/>
        <w:adjustRightInd/>
        <w:snapToGrid/>
        <w:spacing w:line="360" w:lineRule="auto"/>
        <w:ind w:firstLine="482"/>
        <w:jc w:val="left"/>
        <w:textAlignment w:val="auto"/>
        <w:rPr>
          <w:rFonts w:hint="eastAsia" w:ascii="宋体" w:hAnsi="宋体" w:cs="宋体"/>
          <w:kern w:val="0"/>
          <w:lang w:bidi="ar"/>
        </w:rPr>
      </w:pPr>
      <w:r>
        <w:rPr>
          <w:rFonts w:hint="eastAsia" w:ascii="宋体" w:hAnsi="宋体" w:cs="宋体"/>
          <w:kern w:val="0"/>
          <w:lang w:bidi="ar"/>
        </w:rPr>
        <w:t>烟草作为我国重要经济作物，种植精细化程度远高于普通粮食作物，对缺素监测、精准施肥、病虫害早期预防等环节要求严苛，全程高度依赖专业经验判断，人力资源投入大、经验门槛高，属于典型的经验驱动型生产模式。土壤养分失衡引发的氮、磷、钾、镁、硼等缺素问题，以及白星病、黄叶病、烟青虫、叶厚病等病虫害侵袭，是制约烟草正常生长、影响烟叶品质的两大核心因素。</w:t>
      </w:r>
    </w:p>
    <w:p w14:paraId="627A7051">
      <w:pPr>
        <w:keepNext w:val="0"/>
        <w:keepLines w:val="0"/>
        <w:pageBreakBefore w:val="0"/>
        <w:widowControl/>
        <w:kinsoku/>
        <w:wordWrap/>
        <w:overflowPunct/>
        <w:topLinePunct w:val="0"/>
        <w:autoSpaceDE/>
        <w:autoSpaceDN/>
        <w:bidi w:val="0"/>
        <w:adjustRightInd/>
        <w:snapToGrid/>
        <w:spacing w:line="360" w:lineRule="auto"/>
        <w:ind w:firstLine="482"/>
        <w:jc w:val="left"/>
        <w:textAlignment w:val="auto"/>
        <w:rPr>
          <w:rFonts w:hint="eastAsia" w:ascii="宋体" w:hAnsi="宋体" w:cs="宋体"/>
          <w:kern w:val="0"/>
          <w:lang w:bidi="ar"/>
        </w:rPr>
      </w:pPr>
      <w:r>
        <w:rPr>
          <w:rFonts w:hint="eastAsia" w:ascii="宋体" w:hAnsi="宋体" w:cs="宋体"/>
          <w:kern w:val="0"/>
          <w:lang w:bidi="ar"/>
        </w:rPr>
        <w:t>当前行业内相关研究与应用多面向广谱粮食作物设计，缺乏烟草专属诊断模型，普遍存在早期症状难发现、全生育期连续监测能力不足、针对性弱、可操作性差等突出缺陷，难以适配烟草复杂田间场景与高品质生产需求。传统人工巡查检测受经验限制、误判率高、周期长，无法实现缺素早发现、早干预与病虫害及时精准防控；烟草施肥管理虽较为精细，但仍以经验判断为主，难以依据田间实时缺素分布开展精准变量补给，农药施用仍存在区域与程度区分不足的问题，利用率偏低，易造成农资浪费与生态环境压力，过量施药还会导致烟叶农残超标，直接制约烟叶品质与等级提升。</w:t>
      </w:r>
    </w:p>
    <w:p w14:paraId="5B00D558">
      <w:pPr>
        <w:keepNext w:val="0"/>
        <w:keepLines w:val="0"/>
        <w:pageBreakBefore w:val="0"/>
        <w:widowControl/>
        <w:kinsoku/>
        <w:wordWrap/>
        <w:overflowPunct/>
        <w:topLinePunct w:val="0"/>
        <w:autoSpaceDE/>
        <w:autoSpaceDN/>
        <w:bidi w:val="0"/>
        <w:adjustRightInd/>
        <w:snapToGrid/>
        <w:spacing w:line="360" w:lineRule="auto"/>
        <w:ind w:firstLine="482"/>
        <w:jc w:val="left"/>
        <w:textAlignment w:val="auto"/>
        <w:rPr>
          <w:rFonts w:hint="eastAsia" w:ascii="宋体" w:hAnsi="宋体" w:cs="宋体"/>
          <w:kern w:val="0"/>
          <w:lang w:bidi="ar"/>
        </w:rPr>
      </w:pPr>
      <w:r>
        <w:rPr>
          <w:rFonts w:hint="eastAsia" w:ascii="宋体" w:hAnsi="宋体" w:cs="宋体"/>
          <w:kern w:val="0"/>
          <w:lang w:bidi="ar"/>
        </w:rPr>
        <w:t>与此同时，烟草主产区劳动力短缺与老龄化问题突出，50岁以上种植户占比达67%，青壮年劳动力流失率超35%，高强度、低效率的人工作业模式已无法适配规模化种植管理需求。2024年《全国智慧农业行动计划（2024—2028年）》2025年中央1号文件、农业农村部2025年1号文件等系列政策密集出台，明确支持无人机、人工智能、大数据在农业生产中深度应用，鼓励精准作业、化肥农药减量增效，为烟草种植智能化转型提供了明确政策依据与支撑。</w:t>
      </w:r>
    </w:p>
    <w:p w14:paraId="28ED7EB9">
      <w:pPr>
        <w:keepNext w:val="0"/>
        <w:keepLines w:val="0"/>
        <w:pageBreakBefore w:val="0"/>
        <w:widowControl/>
        <w:kinsoku/>
        <w:wordWrap/>
        <w:overflowPunct/>
        <w:topLinePunct w:val="0"/>
        <w:autoSpaceDE/>
        <w:autoSpaceDN/>
        <w:bidi w:val="0"/>
        <w:adjustRightInd/>
        <w:snapToGrid/>
        <w:spacing w:line="360" w:lineRule="auto"/>
        <w:ind w:firstLine="482"/>
        <w:jc w:val="left"/>
        <w:textAlignment w:val="auto"/>
        <w:rPr>
          <w:rFonts w:hint="eastAsia" w:ascii="宋体" w:hAnsi="宋体" w:cs="宋体"/>
          <w:kern w:val="0"/>
          <w:lang w:bidi="ar"/>
        </w:rPr>
      </w:pPr>
      <w:r>
        <w:rPr>
          <w:rFonts w:hint="eastAsia" w:ascii="宋体" w:hAnsi="宋体" w:cs="宋体"/>
          <w:kern w:val="0"/>
          <w:lang w:bidi="ar"/>
        </w:rPr>
        <w:t>项目团队立足烟草高精细化、经验依赖强、品质优先的产业特性，针对现有技术“不专属、不及时、不精准、难操作”的核心短板，融合无人机遥感、多模态数据融合、轻量化深度学习、智能决策与地形自适应路径规划等核心技术，研发烟草专属的缺素及病虫害精准检测与智能农资施用系统。本系统可实现全生育期早发现、全域巡查、实时诊断，具备可操作性强、针对性强、作业效率高等优势，能够精准变量施肥施药、降低农药残留、显著提升烟叶品质与一致性，真正推动烟草生产从“经验种植”向“数据驱动、品质导向”的智能化、绿色化转型。</w:t>
      </w:r>
    </w:p>
    <w:p w14:paraId="252C7F2A">
      <w:pPr>
        <w:pStyle w:val="5"/>
        <w:numPr>
          <w:ilvl w:val="2"/>
          <w:numId w:val="0"/>
        </w:numPr>
      </w:pPr>
      <w:bookmarkStart w:id="1" w:name="_Toc16482"/>
      <w:r>
        <w:rPr>
          <w:rFonts w:hint="default" w:ascii="黑体" w:hAnsi="黑体" w:cs="黑体"/>
          <w:lang w:bidi="ar"/>
        </w:rPr>
        <w:t>1.1.1.</w:t>
      </w:r>
      <w:r>
        <w:t>中国烟草种植业的发展现状与生产特征分析</w:t>
      </w:r>
      <w:bookmarkEnd w:id="1"/>
    </w:p>
    <w:p w14:paraId="3A3362D7">
      <w:pPr>
        <w:spacing w:line="360" w:lineRule="auto"/>
        <w:ind w:firstLine="480"/>
        <w:rPr>
          <w:rFonts w:hint="eastAsia" w:ascii="等线" w:hAnsi="等线" w:eastAsia="等线" w:cs="等线"/>
        </w:rPr>
      </w:pPr>
      <w:r>
        <w:rPr>
          <w:rFonts w:hint="eastAsia" w:ascii="等线" w:hAnsi="等线" w:eastAsia="等线" w:cs="等线"/>
        </w:rPr>
        <w:t>中国是全球最大的烟叶生产国，2025年烟叶年产量稳定在220万吨左右，占全球总产量的34%，但受控烟政策与产业高质量发展导向影响，种植面积呈优化收缩趋势，从2015年170万公顷缩减至2025年135万公顷，产能持续向云南、贵州、河南、山东等核心产区集中，其中云南省2024年烟叶产量98.6万吨，占全国总量34.6%，滇、黔、川、湘四省合计产量占比达67.6%，形成高度集约化的区域布局。</w:t>
      </w:r>
    </w:p>
    <w:p w14:paraId="04B54137">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生产结构上，烤烟为绝对主导品类，种植面积占比超95%，白肋烟、香料烟为补充，同时行业在“控面积、提质量、优结构”政策引导下，单产与品质同步提升，2024年全国烟叶平均单产211公斤/亩，较2020年增长6.6%，上等烟比例提升至46.7%，中上等烟合计占比超85%，优质烟叶供给能力显著增强。</w:t>
      </w:r>
    </w:p>
    <w:p w14:paraId="41C94683">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生产组织模式方面，正从传统小农户向“公司、合作社、基地、烟农四位一体”产业化模式转型，截至2024年底全国注册烟农专业合作社2860个，覆盖62%烟农，云南曲靖、玉溪等核心产区已实现育苗、移栽、烘烤、分级全流程标准化管理。同时，数字化技术加速渗透，无人机植保、遥感监测、物联网墒情预警等技术在核心产区渗透率达35%，机械化作业水平持续提升，2025年云南省烟叶生产关键环节平均机械作业率达67.9%。</w:t>
      </w:r>
    </w:p>
    <w:p w14:paraId="0D24DF16">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产业发展呈现三大核心特征：一是计划种植与市场需求双导向，实行国家专卖体制下的种植收购计划管理，保障原料供需平衡，同时围绕高端卷烟与新型烟草制品需求，优化烟叶等级与香型结构；二是绿色化发展成为主流，核心产区实现有机肥改土、废旧地膜回收等“四个100%”，生物防控、新能源烤房广泛应用，化肥减量化、植保绿色化成为生产标配；三是粮烟协同发展，云南等产区实施烟油轮作、烟后粮食种植试点超36万亩，形成“生产基础稳、供给能力强”的粮烟双优格局。但行业仍面临劳动力老龄化、部分产区土地流转受限、生态承载压力增大等结构性挑战，高质量发展仍需突破技术与模式瓶颈。</w:t>
      </w:r>
    </w:p>
    <w:p w14:paraId="4713198C">
      <w:pPr>
        <w:pStyle w:val="5"/>
        <w:numPr>
          <w:ilvl w:val="2"/>
          <w:numId w:val="0"/>
        </w:numPr>
      </w:pPr>
      <w:bookmarkStart w:id="2" w:name="_Toc26566"/>
      <w:r>
        <w:rPr>
          <w:rFonts w:hint="default" w:ascii="黑体" w:hAnsi="黑体" w:cs="黑体"/>
          <w:lang w:bidi="ar"/>
        </w:rPr>
        <w:t>1.1.2.</w:t>
      </w:r>
      <w:r>
        <w:t>传统施肥向智能化转型的刚性障碍</w:t>
      </w:r>
      <w:bookmarkEnd w:id="2"/>
    </w:p>
    <w:p w14:paraId="7F0B0904">
      <w:pPr>
        <w:widowControl/>
        <w:spacing w:line="360" w:lineRule="auto"/>
        <w:ind w:firstLine="480"/>
        <w:jc w:val="left"/>
        <w:rPr>
          <w:rFonts w:hint="eastAsia" w:ascii="宋体" w:hAnsi="宋体" w:cs="宋体"/>
          <w:kern w:val="0"/>
          <w:lang w:bidi="ar"/>
        </w:rPr>
      </w:pPr>
      <w:r>
        <w:rPr>
          <w:rFonts w:hint="eastAsia" w:ascii="宋体" w:hAnsi="宋体" w:cs="宋体"/>
          <w:kern w:val="0"/>
          <w:lang w:bidi="ar"/>
        </w:rPr>
        <w:t>当前烟草传统施肥模式向智能化转型，并非单纯的技术替代，而是受技术适配、主体能力、产业协同、成本收益等多重因素制约，存在一系列难以短期突破的刚性障碍，具体体现在四个方面：</w:t>
      </w:r>
    </w:p>
    <w:p w14:paraId="2DE93351">
      <w:pPr>
        <w:pStyle w:val="6"/>
        <w:ind w:firstLine="482"/>
        <w:rPr>
          <w:lang w:bidi="ar"/>
        </w:rPr>
      </w:pPr>
      <w:r>
        <w:rPr>
          <w:lang w:bidi="ar"/>
        </w:rPr>
        <w:t>（1）区域种植特征与技术适配的矛盾</w:t>
      </w:r>
    </w:p>
    <w:p w14:paraId="06C0B3D6">
      <w:pPr>
        <w:widowControl/>
        <w:spacing w:line="360" w:lineRule="auto"/>
        <w:ind w:firstLine="480"/>
        <w:jc w:val="left"/>
        <w:rPr>
          <w:rFonts w:hint="eastAsia" w:ascii="宋体" w:hAnsi="宋体" w:cs="宋体"/>
          <w:kern w:val="0"/>
          <w:lang w:bidi="ar"/>
        </w:rPr>
      </w:pPr>
      <w:r>
        <w:rPr>
          <w:rFonts w:hint="eastAsia" w:ascii="宋体" w:hAnsi="宋体" w:cs="宋体"/>
          <w:kern w:val="0"/>
          <w:lang w:bidi="ar"/>
        </w:rPr>
        <w:t>烟草主产区土壤条件、气候特征、烟叶品种差异显著，云南红壤偏酸缺磷、贵州喀斯特地貌钾素丰富、河南黄淮平原钙镁失衡，而现有智能化施肥技术多为通用型方案，缺乏针对烟草产区的定制化开发，且烟草种植多分布于丘陵、梯田等复杂地形，现有无人机路径规划、变量施肥设备对复杂地形的适配性差，漏喷率高，难以实现全地块精准作业，技术落地存在“水土不服”问题。</w:t>
      </w:r>
    </w:p>
    <w:p w14:paraId="25ADA5CF">
      <w:pPr>
        <w:pStyle w:val="6"/>
        <w:ind w:firstLine="482"/>
        <w:rPr>
          <w:lang w:bidi="ar"/>
        </w:rPr>
      </w:pPr>
      <w:r>
        <w:rPr>
          <w:lang w:bidi="ar"/>
        </w:rPr>
        <w:t>（2）种植主体能力与智能化技术要求的不匹配</w:t>
      </w:r>
    </w:p>
    <w:p w14:paraId="658ED70E">
      <w:pPr>
        <w:widowControl/>
        <w:spacing w:line="360" w:lineRule="auto"/>
        <w:ind w:firstLine="480"/>
        <w:jc w:val="left"/>
        <w:rPr>
          <w:rFonts w:hint="eastAsia" w:ascii="宋体" w:hAnsi="宋体" w:cs="宋体"/>
          <w:kern w:val="0"/>
          <w:lang w:bidi="ar"/>
        </w:rPr>
      </w:pPr>
      <w:r>
        <w:rPr>
          <w:rFonts w:hint="eastAsia" w:ascii="宋体" w:hAnsi="宋体" w:eastAsia="宋体" w:cs="宋体"/>
          <w:kern w:val="0"/>
          <w:lang w:bidi="ar"/>
        </w:rPr>
        <w:t>烟草种植户以中老年为主，主产区50岁以上种植户占比达67%，青壮年劳动力流失率超35%，种植户文化水平偏低，对智能化设备的操作、数据解读、故障排查能力不足，且传统施肥依赖“经验判断”，种植户对智能化施肥的科学性与效果存在疑虑，接受意愿低。同时，基层农业技术推广体系人员不足，难以提供常态化的智能化技术指导与培训，技术落地后缺乏持续的服务支撑。</w:t>
      </w:r>
    </w:p>
    <w:p w14:paraId="7766AD56">
      <w:pPr>
        <w:pStyle w:val="6"/>
        <w:ind w:firstLine="482"/>
        <w:rPr>
          <w:lang w:bidi="ar"/>
        </w:rPr>
      </w:pPr>
      <w:r>
        <w:rPr>
          <w:lang w:bidi="ar"/>
        </w:rPr>
        <w:t>（3）产业链数据壁垒与协同机制的缺失</w:t>
      </w:r>
    </w:p>
    <w:p w14:paraId="7220484F">
      <w:pPr>
        <w:widowControl/>
        <w:spacing w:line="360" w:lineRule="auto"/>
        <w:ind w:firstLine="480"/>
        <w:jc w:val="left"/>
        <w:rPr>
          <w:rFonts w:hint="eastAsia" w:ascii="宋体" w:hAnsi="宋体" w:cs="宋体"/>
          <w:kern w:val="0"/>
          <w:lang w:bidi="ar"/>
        </w:rPr>
      </w:pPr>
      <w:r>
        <w:rPr>
          <w:rFonts w:hint="eastAsia" w:ascii="等线" w:hAnsi="等线" w:eastAsia="等线" w:cs="等线"/>
          <w:kern w:val="0"/>
          <w:lang w:bidi="ar"/>
        </w:rPr>
        <w:t>烟草施肥涉及种植户、烟草公司、农化企业、技术服务商等多方主体，但各主体间数据封闭，87.3%的烟草公司未开放内部农艺数据、烟叶工业评级数据，农化企业难以获取土壤检测、烟叶品质反馈等关键信息，导致智能化施肥模型的研发缺乏精准数据支撑。同时，行业标准不统一，烟草系统对专用肥氯离子含量要求≤1.5%，而国标允许上限为3.0%，部分合规肥料在工业端被拒收，形成“技术研发—生产施用—工业反馈”的协同断裂，智能化施肥难以形成闭环。</w:t>
      </w:r>
    </w:p>
    <w:p w14:paraId="6913D7CF">
      <w:pPr>
        <w:pStyle w:val="6"/>
        <w:ind w:firstLine="482"/>
        <w:rPr>
          <w:lang w:bidi="ar"/>
        </w:rPr>
      </w:pPr>
      <w:r>
        <w:rPr>
          <w:lang w:bidi="ar"/>
        </w:rPr>
        <w:t>（4）成本投入与短期收益的失衡</w:t>
      </w:r>
    </w:p>
    <w:p w14:paraId="1535B5F5">
      <w:pPr>
        <w:widowControl/>
        <w:spacing w:line="360" w:lineRule="auto"/>
        <w:ind w:firstLine="482"/>
        <w:jc w:val="left"/>
        <w:rPr>
          <w:rFonts w:hint="eastAsia" w:ascii="宋体" w:hAnsi="宋体" w:cs="宋体"/>
          <w:kern w:val="0"/>
          <w:lang w:bidi="ar"/>
        </w:rPr>
      </w:pPr>
      <w:r>
        <w:rPr>
          <w:rFonts w:hint="eastAsia" w:ascii="等线" w:hAnsi="等线" w:eastAsia="等线" w:cs="等线"/>
          <w:kern w:val="0"/>
          <w:lang w:bidi="ar"/>
        </w:rPr>
        <w:t>智能化施肥设备（无人机、土壤传感器、数据终端）、系统研发与后期维护均需较高投入，而烟草种植户以小规模经营为主，亩均净利润维持在1800–2200 元，种植户难以独自承担智能化改造成本。同时，智能化施肥的收益体现在化肥减量、品质提升等长期维度，短期增收效果不明显，而烟草收购价格受调控机制影响，价格传导滞后，种植户缺乏投入智能化改造的经济动力。此外，传统专用肥生产企业以中小规模为主，73.5%的产品为“一刀切”通用配方，企业缺乏资金与技术能力进行智能化配方研发与生产线改造，行业整体转型动力不足。</w:t>
      </w:r>
    </w:p>
    <w:p w14:paraId="51C697B2">
      <w:pPr>
        <w:pStyle w:val="6"/>
        <w:ind w:firstLine="482"/>
        <w:rPr>
          <w:lang w:bidi="ar"/>
        </w:rPr>
      </w:pPr>
      <w:r>
        <w:rPr>
          <w:lang w:bidi="ar"/>
        </w:rPr>
        <w:t>（5）传统施肥习惯的路径依赖</w:t>
      </w:r>
    </w:p>
    <w:p w14:paraId="10583211">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烟农长期形成“多施肥、多产烟”的经验认知，部分产区氮肥施用量超出作物需求20%-30%，即便知晓过量施肥会导致土壤酸化、烟叶品质下降，仍因担心减产而不愿改变施肥模式。同时，传统施肥操作简单、流程成熟，而智能化施肥涉及数据采集、方案生成、设备操作等多个环节，流程相对复杂，在劳动力短缺的背景下，种植户更倾向于选择熟悉的传统模式。</w:t>
      </w:r>
    </w:p>
    <w:p w14:paraId="1D173FE6">
      <w:pPr>
        <w:pStyle w:val="5"/>
        <w:numPr>
          <w:ilvl w:val="2"/>
          <w:numId w:val="0"/>
        </w:numPr>
      </w:pPr>
      <w:bookmarkStart w:id="3" w:name="_Toc7998"/>
      <w:r>
        <w:rPr>
          <w:rFonts w:hint="default" w:ascii="黑体" w:hAnsi="黑体" w:cs="黑体"/>
          <w:lang w:bidi="ar"/>
        </w:rPr>
        <w:t>1.1.3.</w:t>
      </w:r>
      <w:r>
        <w:t>市场需求</w:t>
      </w:r>
      <w:bookmarkEnd w:id="3"/>
      <w:r>
        <w:t xml:space="preserve"> </w:t>
      </w:r>
    </w:p>
    <w:p w14:paraId="5243AA69">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随着烟草产业高质量发展推进、国家农业智能化与绿色发展政策落地，以及种植户、烟草企业、农业服务机构的核心需求升级，烟草缺素及病虫害精准检测及智能化施肥施药的一体化解决方案，已形成刚性、多元化、规模化的市场需求，具体需求主体与需求内容如下：</w:t>
      </w:r>
    </w:p>
    <w:p w14:paraId="013DFD19">
      <w:pPr>
        <w:widowControl/>
        <w:ind w:firstLine="482"/>
        <w:jc w:val="left"/>
        <w:rPr>
          <w:rFonts w:hint="eastAsia" w:ascii="宋体" w:hAnsi="宋体" w:cs="宋体"/>
          <w:b/>
          <w:bCs/>
          <w:kern w:val="0"/>
          <w:lang w:bidi="ar"/>
        </w:rPr>
      </w:pPr>
      <w:r>
        <w:rPr>
          <w:rFonts w:hint="eastAsia" w:ascii="宋体" w:hAnsi="宋体" w:cs="宋体"/>
          <w:b/>
          <w:bCs/>
          <w:kern w:val="0"/>
          <w:lang w:bidi="ar"/>
        </w:rPr>
        <w:t>（1）烟草规模化种植户</w:t>
      </w:r>
    </w:p>
    <w:p w14:paraId="4907A144">
      <w:pPr>
        <w:widowControl/>
        <w:spacing w:line="360" w:lineRule="auto"/>
        <w:ind w:firstLine="480"/>
        <w:jc w:val="left"/>
        <w:rPr>
          <w:rFonts w:hint="eastAsia" w:ascii="宋体" w:hAnsi="宋体" w:cs="宋体"/>
          <w:kern w:val="0"/>
          <w:lang w:bidi="ar"/>
        </w:rPr>
      </w:pPr>
      <w:r>
        <w:rPr>
          <w:rFonts w:hint="eastAsia" w:ascii="宋体" w:hAnsi="宋体" w:cs="宋体"/>
          <w:kern w:val="0"/>
          <w:lang w:bidi="ar"/>
        </w:rPr>
        <w:t>烟草规模化种植户是市场核心需求主体。当前种植户面临人工检测效率低、作业强度大、烟叶品质波动大等痛点，迫切需要缺素与病虫害精准识别、精准施肥、精准施药的智能化解决方案，以科学调控养分、精准防控病虫害，稳定改善烟草生长状态，提升烟叶等级与品质一致性，实现稳健增收。同时，种植户对设备易用性、性价比要求较高，亟需操作简便、适配复杂地形、可一体化完成施肥施药作业的系统装备，替代高强度人工劳动。</w:t>
      </w:r>
    </w:p>
    <w:p w14:paraId="4C74B26B">
      <w:pPr>
        <w:widowControl/>
        <w:ind w:firstLine="482"/>
        <w:jc w:val="left"/>
        <w:rPr>
          <w:rFonts w:hint="eastAsia" w:ascii="宋体" w:hAnsi="宋体" w:cs="宋体"/>
          <w:b/>
          <w:bCs/>
          <w:kern w:val="0"/>
          <w:lang w:bidi="ar"/>
        </w:rPr>
      </w:pPr>
      <w:r>
        <w:rPr>
          <w:rFonts w:hint="eastAsia" w:ascii="宋体" w:hAnsi="宋体" w:cs="宋体"/>
          <w:b/>
          <w:bCs/>
          <w:kern w:val="0"/>
          <w:lang w:bidi="ar"/>
        </w:rPr>
        <w:t>（2）农业技术推广部门</w:t>
      </w:r>
    </w:p>
    <w:p w14:paraId="7480EC9B">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农业技术推广部门承担着农业新技术、新模式的推广落地职责，在国家推动农业现代化、精准农业发展的背景下，亟需可复制、可推广的烟草智能化种植解决方案，替代传统的人工指导模式，提升技术推广效率。同时，推广部门需要通过智能化系统实现对辖区烟田的规模化监测与管理，精准掌握各地块缺素、病虫害发生情况，为种植户提供针对性的技术指导，推动技术落地与区域烟草产业升级。</w:t>
      </w:r>
    </w:p>
    <w:p w14:paraId="1D867800">
      <w:pPr>
        <w:widowControl/>
        <w:ind w:firstLine="482"/>
        <w:jc w:val="left"/>
        <w:rPr>
          <w:rFonts w:hint="eastAsia" w:ascii="宋体" w:hAnsi="宋体" w:cs="宋体"/>
          <w:b/>
          <w:bCs/>
          <w:kern w:val="0"/>
          <w:lang w:bidi="ar"/>
        </w:rPr>
      </w:pPr>
      <w:r>
        <w:rPr>
          <w:rFonts w:hint="eastAsia" w:ascii="宋体" w:hAnsi="宋体" w:cs="宋体"/>
          <w:b/>
          <w:bCs/>
          <w:kern w:val="0"/>
          <w:lang w:bidi="ar"/>
        </w:rPr>
        <w:t>（3）农业社会化服务机构</w:t>
      </w:r>
    </w:p>
    <w:p w14:paraId="7600A711">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农业社会化服务机构（如植保服务公司、农业科技公司）正从单一的植保作业、化肥销售，向综合性农业技术服务转型，亟需烟草专属的精准检测与智能化施肥施药一体化技术装备，以拓展服务边界、提升专业度与附加值。同时，规模化烟草种植基地对“一站式”智慧农业服务需求旺盛，服务机构可依托本系统提供无人机数据采集、智能识别诊断、精准施肥施药、全周期数据管理等一体化服务，高效满足基地规模化、标准化、绿色化管理需求。</w:t>
      </w:r>
    </w:p>
    <w:p w14:paraId="50F3CF4B">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此外，本系统核心技术具备跨作物拓展能力，可快速适配茶叶、果蔬、油料等经济作物的精准监测与变量作业需求，服务机构能够以烟草应用为样板，将成熟模式快速复制推广至更多作物场景，进一步扩大服务范围、提升市场竞争力，打造可持续的盈利增长点。</w:t>
      </w:r>
    </w:p>
    <w:p w14:paraId="3DE40935">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从市场需求趋势来看，一体化、轻量化、本地化成为核心方向：一是从单一的检测或施肥设备，向“数据采集—检测识别—方案生成—精准作业—数据管理”的一体化系统需求转变；二是从云端重型计算，向无人机嵌入式平台轻量化计算需求转变，满足田间实时决策需求；三是从外来技术服务，向本地化的操作培训、设备维护、技术升级服务需求转变，保障系统长期稳定运行。同时，随着云南、贵州等核心产区烟农专业合作社的发展，规模化的集体采购需求日益凸显，市场需求的规模化特征将进一步强化。</w:t>
      </w:r>
    </w:p>
    <w:p w14:paraId="7A410E8A">
      <w:pPr>
        <w:pStyle w:val="4"/>
        <w:rPr>
          <w:rFonts w:hint="eastAsia"/>
        </w:rPr>
      </w:pPr>
      <w:bookmarkStart w:id="4" w:name="_Toc20699"/>
      <w:r>
        <w:rPr>
          <w:rFonts w:ascii="黑体" w:hAnsi="黑体" w:cs="黑体"/>
          <w:lang w:bidi="ar"/>
        </w:rPr>
        <w:t>1.2.</w:t>
      </w:r>
      <w:r>
        <w:rPr>
          <w:rFonts w:hint="eastAsia" w:ascii="黑体" w:hAnsi="黑体" w:cs="黑体"/>
          <w:lang w:bidi="ar"/>
        </w:rPr>
        <w:t xml:space="preserve"> </w:t>
      </w:r>
      <w:r>
        <w:rPr>
          <w:rFonts w:hint="eastAsia"/>
        </w:rPr>
        <w:t>项目定位</w:t>
      </w:r>
      <w:bookmarkEnd w:id="4"/>
    </w:p>
    <w:p w14:paraId="408E69B0">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聚焦烟草种植全生育期的缺素检测与精准施肥需求，打造集无人机多源数据采集、烟草缺素智能识别、缺素区域可视化、精准施肥策略生成、施肥过程管理于一体的农业智能化系统，实现烟草缺素检测的自动化、精准化，施肥方案的科学化、个性化，推动烟草种植从“经验种植”向“数据种植”转型。</w:t>
      </w:r>
    </w:p>
    <w:p w14:paraId="6549BAC7">
      <w:pPr>
        <w:pStyle w:val="5"/>
        <w:widowControl/>
        <w:numPr>
          <w:ilvl w:val="2"/>
          <w:numId w:val="0"/>
        </w:numPr>
        <w:ind w:left="709" w:hanging="709"/>
        <w:rPr>
          <w:rFonts w:ascii="黑体" w:hAnsi="黑体" w:cs="黑体"/>
          <w:szCs w:val="28"/>
        </w:rPr>
      </w:pPr>
      <w:bookmarkStart w:id="5" w:name="_Toc20772"/>
      <w:r>
        <w:rPr>
          <w:rFonts w:hint="default" w:ascii="黑体" w:hAnsi="黑体" w:cs="黑体"/>
          <w:szCs w:val="28"/>
          <w:lang w:bidi="ar"/>
        </w:rPr>
        <w:t>1.2.1.</w:t>
      </w:r>
      <w:r>
        <w:rPr>
          <w:rFonts w:ascii="黑体" w:hAnsi="黑体" w:cs="黑体"/>
          <w:szCs w:val="28"/>
        </w:rPr>
        <w:t>应用场景</w:t>
      </w:r>
      <w:bookmarkEnd w:id="5"/>
    </w:p>
    <w:p w14:paraId="30904C0A">
      <w:pPr>
        <w:widowControl/>
        <w:spacing w:line="360" w:lineRule="auto"/>
        <w:ind w:firstLine="480"/>
        <w:jc w:val="left"/>
        <w:rPr>
          <w:rFonts w:hint="eastAsia" w:ascii="等线" w:hAnsi="等线" w:eastAsia="等线" w:cs="等线"/>
          <w:kern w:val="0"/>
          <w:lang w:bidi="ar"/>
        </w:rPr>
      </w:pPr>
      <w:r>
        <w:rPr>
          <w:rFonts w:hint="eastAsia" w:ascii="等线" w:hAnsi="等线" w:eastAsia="等线" w:cs="等线"/>
          <w:kern w:val="0"/>
          <w:lang w:bidi="ar"/>
        </w:rPr>
        <w:t>本系统可广泛应用于全国各烟草主产区的大田种植基地、烟草专业合作社及规模化烟草种植户的田间生产管理全过程，覆盖烟草育苗期、团棵期、旺长期、成熟期等关键生长阶段，为烟草缺素识别、病虫害监测、精准施肥与农药施用提供全流程技术支撑。无论是小地块零散种植模式，还是大规模连片种植场景，系统均可通过灵活调整航线规划、检测参数与作业策略，实现对不同地形、不同种植规模烟田的适配覆盖，满足烟草种植户从早期营养诊断、病虫害预警到中后期精准农资施用的全周期管理需求，同时为地方烟草公司、农业技术推广部门提供标准化的田间监测与技术指导工具，助力烟草种植产业的规范化、智能化升级。</w:t>
      </w:r>
    </w:p>
    <w:p w14:paraId="21E10CA8">
      <w:pPr>
        <w:pStyle w:val="5"/>
        <w:numPr>
          <w:ilvl w:val="2"/>
          <w:numId w:val="0"/>
        </w:numPr>
        <w:ind w:left="709" w:hanging="709"/>
      </w:pPr>
      <w:bookmarkStart w:id="6" w:name="_Toc31066"/>
      <w:r>
        <w:rPr>
          <w:rFonts w:hint="default" w:ascii="黑体" w:hAnsi="黑体" w:cs="黑体"/>
          <w:lang w:bidi="ar"/>
        </w:rPr>
        <w:t>1.2.2.</w:t>
      </w:r>
      <w:r>
        <w:t>用户群体</w:t>
      </w:r>
      <w:bookmarkEnd w:id="6"/>
    </w:p>
    <w:p w14:paraId="159CA39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烟草规模化种植户与烟草专业合作社是本系统的核心服务对象，系统可为其提供全生育期缺素检测、病虫害监测服务，以及个性化施肥方案与精准农药施用策略，并通过无人机一体化作业完成田间执行，帮助种植户有效降低农资成本、提升烟草品质，稳定提高种植经济效益。面向农业技术推广部门，系统可提供标准化的缺素及病虫害检测技术方案与精准农资施用指导模板，助力基层农技人员高效开展技术推广与落地工作，推动区域烟草种植产业向智能化、绿色化方向转型。针对农业社会化服务机构，系统可作为专业服务载体，支持其为各类种植主体提供烟草缺素检测、病虫害识别、农资方案定制及无人机施肥施药作业等一站式社会化服务，帮助服务机构拓展业务边界、提升服务专业性与运营效率，同时为烟草种植产业提供市场化的精准农业服务支撑。</w:t>
      </w:r>
    </w:p>
    <w:p w14:paraId="0F4B5C88">
      <w:pPr>
        <w:pStyle w:val="4"/>
        <w:rPr>
          <w:rFonts w:hint="eastAsia"/>
        </w:rPr>
      </w:pPr>
      <w:bookmarkStart w:id="7" w:name="_Toc3123"/>
      <w:r>
        <w:rPr>
          <w:rFonts w:ascii="黑体" w:hAnsi="黑体" w:cs="黑体"/>
          <w:lang w:bidi="ar"/>
        </w:rPr>
        <w:t>1.3.</w:t>
      </w:r>
      <w:r>
        <w:rPr>
          <w:rFonts w:hint="eastAsia" w:ascii="黑体" w:hAnsi="黑体" w:cs="黑体"/>
          <w:lang w:bidi="ar"/>
        </w:rPr>
        <w:t xml:space="preserve"> </w:t>
      </w:r>
      <w:r>
        <w:rPr>
          <w:rFonts w:hint="eastAsia"/>
        </w:rPr>
        <w:t>主要功能与技术特色</w:t>
      </w:r>
      <w:bookmarkEnd w:id="7"/>
    </w:p>
    <w:p w14:paraId="1308A9AE">
      <w:pPr>
        <w:pStyle w:val="5"/>
        <w:numPr>
          <w:ilvl w:val="2"/>
          <w:numId w:val="0"/>
        </w:numPr>
        <w:ind w:left="709" w:hanging="709"/>
      </w:pPr>
      <w:bookmarkStart w:id="8" w:name="_Toc23849"/>
      <w:r>
        <w:rPr>
          <w:rFonts w:hint="default" w:ascii="黑体" w:hAnsi="黑体" w:cs="黑体"/>
          <w:lang w:bidi="ar"/>
        </w:rPr>
        <w:t>1.3.1.</w:t>
      </w:r>
      <w:r>
        <w:t>核心功能</w:t>
      </w:r>
      <w:bookmarkEnd w:id="8"/>
      <w:r>
        <w:t xml:space="preserve"> </w:t>
      </w:r>
    </w:p>
    <w:p w14:paraId="318D145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无人机智能数据采集</w:t>
      </w:r>
      <w:r>
        <w:rPr>
          <w:rFonts w:hint="eastAsia" w:ascii="等线" w:hAnsi="等线" w:eastAsia="等线" w:cs="等线"/>
          <w:kern w:val="0"/>
          <w:lang w:bidi="ar"/>
        </w:rPr>
        <w:t>：</w:t>
      </w:r>
      <w:r>
        <w:rPr>
          <w:rFonts w:hint="eastAsia" w:ascii="等线" w:hAnsi="等线" w:eastAsia="等线" w:cs="等线"/>
          <w:kern w:val="0"/>
          <w:lang w:bidi="ar"/>
        </w:rPr>
        <w:t xml:space="preserve">支持自主规划航线，搭载RGB相机与多光谱传感器，实时采集烟草田间图像、光谱数据，同步监测无人机飞行状态与设备工作状态，适配丘陵、梯田等复杂地形，实现全地块全覆盖数据采集，为缺素与病虫害检测提供数据基础。 </w:t>
      </w:r>
    </w:p>
    <w:p w14:paraId="26A8D60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缺素及病虫害精准智能检测</w:t>
      </w:r>
      <w:r>
        <w:rPr>
          <w:rFonts w:hint="eastAsia" w:ascii="等线" w:hAnsi="等线" w:eastAsia="等线" w:cs="等线"/>
          <w:kern w:val="0"/>
          <w:lang w:bidi="ar"/>
        </w:rPr>
        <w:t>：</w:t>
      </w:r>
      <w:r>
        <w:rPr>
          <w:rFonts w:hint="eastAsia" w:ascii="等线" w:hAnsi="等线" w:eastAsia="等线" w:cs="等线"/>
          <w:kern w:val="0"/>
          <w:lang w:bidi="ar"/>
        </w:rPr>
        <w:t xml:space="preserve">通过进行多模态数据融合，自动识别烟草缺素类型、病虫害类型、危害程度，生成标准化检测识别报告，支持八种主要缺素类型与4种病虫害的高效识别。 </w:t>
      </w:r>
    </w:p>
    <w:p w14:paraId="06D5292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多源协同农资施用策略生成</w:t>
      </w:r>
      <w:r>
        <w:rPr>
          <w:rFonts w:hint="eastAsia" w:ascii="等线" w:hAnsi="等线" w:eastAsia="等线" w:cs="等线"/>
          <w:kern w:val="0"/>
          <w:lang w:bidi="ar"/>
        </w:rPr>
        <w:t>：融合缺素及病虫害检测结果、烟草生长阶段、土壤质地、土壤养分、气象数据等多源信息，科学计算肥料和农药类型配比、施用量、施药浓度、施用时间与方式，分别生成定制化追肥方案与精准农药施用方案，支持人工灵活调整。</w:t>
      </w:r>
    </w:p>
    <w:p w14:paraId="6450186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无人机精准变量作业</w:t>
      </w:r>
      <w:r>
        <w:rPr>
          <w:rFonts w:hint="eastAsia" w:ascii="等线" w:hAnsi="等线" w:eastAsia="等线" w:cs="等线"/>
          <w:kern w:val="0"/>
          <w:lang w:bidi="ar"/>
        </w:rPr>
        <w:t>：将施肥、施药方案分别下发至无人机，实现缺素区域的变量施肥、病虫害区域的精准施药作业，实时记录施肥施药作业数据，确保农资施用的精准性与作业规范性。</w:t>
      </w:r>
    </w:p>
    <w:p w14:paraId="64994CC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全流程数据管理与分析</w:t>
      </w:r>
      <w:r>
        <w:rPr>
          <w:rFonts w:hint="eastAsia" w:ascii="等线" w:hAnsi="等线" w:eastAsia="等线" w:cs="等线"/>
          <w:kern w:val="0"/>
          <w:lang w:bidi="ar"/>
        </w:rPr>
        <w:t xml:space="preserve">：涵盖地块信息、缺素及病虫害检测记录、施肥施药记录、设备状态等数据的存储、查询、导出与统计分析，支持数据全流程追溯与农资施用效果评估，形成种植管理数据闭环。  </w:t>
      </w:r>
    </w:p>
    <w:p w14:paraId="1722EDF1">
      <w:pPr>
        <w:pStyle w:val="5"/>
        <w:numPr>
          <w:ilvl w:val="2"/>
          <w:numId w:val="0"/>
        </w:numPr>
        <w:ind w:left="709" w:hanging="709"/>
      </w:pPr>
      <w:bookmarkStart w:id="9" w:name="_Toc2546"/>
      <w:r>
        <w:rPr>
          <w:rFonts w:hint="default" w:ascii="黑体" w:hAnsi="黑体" w:cs="黑体"/>
          <w:lang w:bidi="ar"/>
        </w:rPr>
        <w:t>1.3.2.</w:t>
      </w:r>
      <w:r>
        <w:t>技术特色</w:t>
      </w:r>
      <w:bookmarkEnd w:id="9"/>
    </w:p>
    <w:p w14:paraId="57B003C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多模态数据融合技术</w:t>
      </w:r>
      <w:r>
        <w:rPr>
          <w:rFonts w:hint="eastAsia" w:ascii="等线" w:hAnsi="等线" w:eastAsia="等线" w:cs="等线"/>
          <w:kern w:val="0"/>
          <w:lang w:bidi="ar"/>
        </w:rPr>
        <w:t>：集成RGB图像的形态特征（叶片颜色、纹理、病斑、虫孔等）与多光谱数据的生化信息（反射率、叶绿素含量等），构建多维度检测指标体系，同时适配缺素与病虫害识别需求，提升检测识别准确率，有效降低光照、天气等环境因素干扰，支持八种缺素类型与4种病虫害的精准识别。</w:t>
      </w:r>
    </w:p>
    <w:p w14:paraId="2898D34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轻量化改进型智能算法</w:t>
      </w:r>
      <w:r>
        <w:rPr>
          <w:rFonts w:hint="eastAsia" w:ascii="等线" w:hAnsi="等线" w:eastAsia="等线" w:cs="等线"/>
          <w:kern w:val="0"/>
          <w:lang w:bidi="ar"/>
        </w:rPr>
        <w:t>：采用ResNet+YOLOv8n混合架构，通过通道剪枝与量化压缩实现模型轻量化，将模型体积压缩至35MB以下，适配NVIDIA Jetson Nano等无人机嵌入式平台，单帧处理时间≤0.8秒，满足田间实时检测识别需求。</w:t>
      </w:r>
    </w:p>
    <w:p w14:paraId="6EC37CE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地形自适应路径规划</w:t>
      </w:r>
      <w:r>
        <w:rPr>
          <w:rFonts w:hint="eastAsia" w:ascii="等线" w:hAnsi="等线" w:eastAsia="等线" w:cs="等线"/>
          <w:kern w:val="0"/>
          <w:lang w:bidi="ar"/>
        </w:rPr>
        <w:t>：基于改进A *算法，引入地形曲率权重模型与动态避障机制，通过LiDAR实时扫描前方障碍物并触发路径动态重规划，适配丘陵、梯田等复杂烟草种植地形，确保全覆盖数据采集与施肥施药作业，漏喷率≤2%。</w:t>
      </w:r>
    </w:p>
    <w:p w14:paraId="028C57DC">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多源信息协同决策</w:t>
      </w:r>
      <w:r>
        <w:rPr>
          <w:rFonts w:hint="eastAsia" w:ascii="等线" w:hAnsi="等线" w:eastAsia="等线" w:cs="等线"/>
          <w:kern w:val="0"/>
          <w:lang w:bidi="ar"/>
        </w:rPr>
        <w:t>：构建融合烟草生长数据、土壤数据、气象数据的农资施用决策模型，基于烟草营养需求规律、病虫害防控准则与农业生产标准，科学计算施肥、施药参数，实现农资施用策略的个性化、精准化，兼顾作业效果与资源利用率。</w:t>
      </w:r>
    </w:p>
    <w:p w14:paraId="3B11030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全流程一体化闭环作业</w:t>
      </w:r>
      <w:r>
        <w:rPr>
          <w:rFonts w:hint="eastAsia" w:ascii="等线" w:hAnsi="等线" w:eastAsia="等线" w:cs="等线"/>
          <w:kern w:val="0"/>
          <w:lang w:bidi="ar"/>
        </w:rPr>
        <w:t>：实现“无人机数据采集—缺素及病虫害精准检测—农资施用策略生成—无人机变量施肥施药—数据管理分析”的全流程闭环作业，大幅提高人工管理效率，大幅提升烟草种植管理效率，日均作业面积达200亩以上，效率较人工提升40倍。</w:t>
      </w:r>
    </w:p>
    <w:p w14:paraId="3D4B4F14">
      <w:pPr>
        <w:pStyle w:val="4"/>
        <w:rPr>
          <w:rFonts w:hint="eastAsia"/>
        </w:rPr>
      </w:pPr>
      <w:bookmarkStart w:id="10" w:name="_Toc12291"/>
      <w:r>
        <w:rPr>
          <w:rFonts w:ascii="黑体" w:hAnsi="黑体" w:cs="黑体"/>
          <w:lang w:bidi="ar"/>
        </w:rPr>
        <w:t>1.4.</w:t>
      </w:r>
      <w:r>
        <w:rPr>
          <w:rFonts w:hint="eastAsia" w:ascii="黑体" w:hAnsi="黑体" w:cs="黑体"/>
          <w:lang w:bidi="ar"/>
        </w:rPr>
        <w:t xml:space="preserve"> </w:t>
      </w:r>
      <w:r>
        <w:rPr>
          <w:rFonts w:hint="eastAsia"/>
        </w:rPr>
        <w:t>项目价值与项目推广前景</w:t>
      </w:r>
      <w:bookmarkEnd w:id="10"/>
    </w:p>
    <w:p w14:paraId="7522E6B0">
      <w:pPr>
        <w:pStyle w:val="5"/>
        <w:numPr>
          <w:ilvl w:val="2"/>
          <w:numId w:val="0"/>
        </w:numPr>
        <w:ind w:left="709" w:hanging="709"/>
      </w:pPr>
      <w:bookmarkStart w:id="11" w:name="_Toc22078"/>
      <w:r>
        <w:rPr>
          <w:rFonts w:hint="default" w:ascii="黑体" w:hAnsi="黑体" w:cs="黑体"/>
          <w:lang w:bidi="ar"/>
        </w:rPr>
        <w:t>1.4.1.</w:t>
      </w:r>
      <w:r>
        <w:t>应用价值</w:t>
      </w:r>
      <w:bookmarkEnd w:id="11"/>
    </w:p>
    <w:p w14:paraId="70D12D92">
      <w:pPr>
        <w:pStyle w:val="6"/>
        <w:widowControl/>
        <w:numPr>
          <w:ilvl w:val="3"/>
          <w:numId w:val="0"/>
        </w:numPr>
        <w:ind w:firstLine="420" w:firstLineChars="200"/>
      </w:pPr>
      <w:r>
        <w:t>（1）经济价值</w:t>
      </w:r>
    </w:p>
    <w:p w14:paraId="246D220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通过精准检测、精准施肥与精准施药，优化养分供给、提升肥药利用效率，显著改善烟草生长状况；精准矫正缺素问题、高效防控白星病等4种病虫害，提升烟叶品质均匀度10%—15%、等级提高1—2级，直接提升种植户经济效益；替代人工巡查与田间作业，降低人力成本，日均作业面积达200亩以上，作业效率提升40倍，满足规模化种植管理需求。</w:t>
      </w:r>
    </w:p>
    <w:p w14:paraId="12A54337">
      <w:pPr>
        <w:pStyle w:val="6"/>
        <w:numPr>
          <w:ilvl w:val="3"/>
          <w:numId w:val="0"/>
        </w:numPr>
        <w:ind w:firstLine="420" w:firstLineChars="200"/>
      </w:pPr>
      <w:r>
        <w:t>（2）社会价值</w:t>
      </w:r>
    </w:p>
    <w:p w14:paraId="5791153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推动烟草种植产业从“经验种植”向“数据种植”转型，助力烟草产业的智能化、精准化升级，夯实农业现代化发展基础；减少化肥农药过量使用带来的土壤酸化、板结及水体污染问题，降低烟叶农药残留风险，实现烟草种植的绿色可持续发展；为烟草产业提供标准化、可复制的精准管理方案，保障国家烟草产业的稳定发展，同时为农业技术推广提供实践范本，带动区域农业发展。</w:t>
      </w:r>
    </w:p>
    <w:p w14:paraId="1325A8F0">
      <w:pPr>
        <w:pStyle w:val="6"/>
        <w:numPr>
          <w:ilvl w:val="3"/>
          <w:numId w:val="0"/>
        </w:numPr>
        <w:ind w:left="480"/>
      </w:pPr>
      <w:r>
        <w:t>（3）技术价值</w:t>
      </w:r>
    </w:p>
    <w:p w14:paraId="435520E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积累大规模烟草缺素及病虫害多模态数据集，优化农业作物缺素识别与病虫害检测算法，为农业作物病虫害与缺素综合检测提供技术参考；探索无人机技术在烟草种植领域的深度应用，形成一套成熟的“无人机助力实现精准农业”技术解决方案，推动无人机、人工智能、大数据等技术在农业领域的融合应用；构建多源信息协同的农资施用决策模型，丰富精准农业的决策理论与实践方法。</w:t>
      </w:r>
    </w:p>
    <w:p w14:paraId="18948EDA">
      <w:pPr>
        <w:pStyle w:val="5"/>
        <w:numPr>
          <w:ilvl w:val="2"/>
          <w:numId w:val="0"/>
        </w:numPr>
        <w:ind w:left="709" w:hanging="709"/>
      </w:pPr>
      <w:bookmarkStart w:id="12" w:name="_Toc312"/>
      <w:r>
        <w:rPr>
          <w:rFonts w:hint="default" w:ascii="黑体" w:hAnsi="黑体" w:cs="黑体"/>
          <w:lang w:bidi="ar"/>
        </w:rPr>
        <w:t>1.4.2.</w:t>
      </w:r>
      <w:r>
        <w:t>推广前景</w:t>
      </w:r>
      <w:bookmarkEnd w:id="12"/>
    </w:p>
    <w:p w14:paraId="6D0A961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eastAsia="zh-CN" w:bidi="ar"/>
        </w:rPr>
      </w:pPr>
      <w:r>
        <w:rPr>
          <w:rFonts w:hint="eastAsia" w:ascii="等线" w:hAnsi="等线" w:eastAsia="等线" w:cs="等线"/>
          <w:b/>
          <w:bCs/>
          <w:kern w:val="0"/>
          <w:lang w:bidi="ar"/>
        </w:rPr>
        <w:t>区域试点与规模化推广</w:t>
      </w:r>
      <w:r>
        <w:rPr>
          <w:rFonts w:hint="eastAsia" w:ascii="等线" w:hAnsi="等线" w:eastAsia="等线" w:cs="等线"/>
          <w:kern w:val="0"/>
          <w:lang w:bidi="ar"/>
        </w:rPr>
        <w:t>：项目率先在广西、河南进行试点，并逐步推广到云南、贵州等全国烟草主产区，与当地烟草种植基地、农业技术推广部门深度合作，结合不同产区的土壤类型、气候条件、烟草品种优化系统方案，逐步实现规模化应用</w:t>
      </w:r>
      <w:r>
        <w:rPr>
          <w:rFonts w:hint="eastAsia" w:ascii="等线" w:hAnsi="等线" w:eastAsia="等线" w:cs="等线"/>
          <w:kern w:val="0"/>
          <w:lang w:eastAsia="zh-CN" w:bidi="ar"/>
        </w:rPr>
        <w:t>。</w:t>
      </w:r>
    </w:p>
    <w:p w14:paraId="1C70BA3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全国场景适配</w:t>
      </w:r>
      <w:r>
        <w:rPr>
          <w:rFonts w:hint="eastAsia" w:ascii="等线" w:hAnsi="等线" w:eastAsia="等线" w:cs="等线"/>
          <w:kern w:val="0"/>
          <w:lang w:bidi="ar"/>
        </w:rPr>
        <w:t>：针对全国不同烟草主产区的种植特点，优化系统的地形适配性、缺素及病虫害识别模型与农资施用决策算法，适配小地块零散种植、大规模连片种植等不同种植场景，覆盖烟草育苗期、团棵期、旺长期、成熟期等全生育期管理需求，实现全国烟草主产区的全面推广。</w:t>
      </w:r>
    </w:p>
    <w:p w14:paraId="0CC8B7C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跨作物场景拓展</w:t>
      </w:r>
      <w:r>
        <w:rPr>
          <w:rFonts w:hint="eastAsia" w:ascii="等线" w:hAnsi="等线" w:eastAsia="等线" w:cs="等线"/>
          <w:kern w:val="0"/>
          <w:lang w:bidi="ar"/>
        </w:rPr>
        <w:t>：将系统核心技术包括多模态缺素及病虫害检测、轻量化识别算法、地形自适应路径规划、多源协同农资决策等方案优化适配至茶叶、水果、蔬菜等其他经济作物，打造综合性的农业精准化管理系统，突破烟草种植领域限制，开拓更广阔的农业市场空间，为我国精准农业发展提供全方位的技术解决方案。</w:t>
      </w:r>
    </w:p>
    <w:p w14:paraId="653EBB9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本系统以技术创新回应烟草种植产业的核心刚需，通过多模态融合打破缺素与病虫害检测的技术壁垒，用轻量化算法与智能决策实现施肥施药作业的精准化，以一体化闭环作业提升种植管理效率，为烟草种植注入“精准农业”新动能。随着农业数字化、智能化转型的不断深入，系统将持续迭代升级，成为推动烟草产业高质量发展的核心技术支撑，同时为其他经济作物的精准管理提供示范，助力我国农业现代化与绿色可持续发展目标的实现。</w:t>
      </w:r>
    </w:p>
    <w:p w14:paraId="006397EC"/>
    <w:p w14:paraId="07C7E6E5">
      <w:pPr>
        <w:pStyle w:val="14"/>
        <w:numPr>
          <w:ilvl w:val="0"/>
          <w:numId w:val="1"/>
        </w:numPr>
        <w:ind w:firstLineChars="0"/>
      </w:pPr>
      <w:r>
        <w:rPr>
          <w:rFonts w:hint="eastAsia"/>
          <w:sz w:val="40"/>
          <w:szCs w:val="40"/>
        </w:rPr>
        <w:t>设计思路与方案</w:t>
      </w:r>
    </w:p>
    <w:p w14:paraId="0D101943">
      <w:pPr>
        <w:pStyle w:val="4"/>
        <w:rPr>
          <w:rFonts w:hint="eastAsia" w:ascii="黑体" w:hAnsi="黑体"/>
        </w:rPr>
      </w:pPr>
      <w:bookmarkStart w:id="13" w:name="_Toc9851"/>
      <w:r>
        <w:rPr>
          <w:rFonts w:hint="eastAsia" w:ascii="黑体" w:hAnsi="黑体"/>
        </w:rPr>
        <w:t>2.1. 问题来源</w:t>
      </w:r>
      <w:bookmarkEnd w:id="13"/>
    </w:p>
    <w:p w14:paraId="1E31A16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 xml:space="preserve">烟草产业是我国重要的经济支柱产业之一，其高质量发展对区域经济与农业现代化具有重要意义，但当前烟草种植管理仍面临诸多现实困境，缺素检测、病虫害监测与农资施用管理的落后模式，已成为制约烟草品质提升、品质优化与产业升级的核心因素。同时，劳动力结构失衡、政策导向升级、行业规范趋严等多重因素，倒逼烟草种植产业加快智能化、精准化转型步伐，传统种植模式的弊端日益凸显，产业升级需求迫切。 </w:t>
      </w:r>
    </w:p>
    <w:p w14:paraId="28996085">
      <w:pPr>
        <w:pStyle w:val="5"/>
        <w:numPr>
          <w:ilvl w:val="2"/>
          <w:numId w:val="0"/>
        </w:numPr>
      </w:pPr>
      <w:bookmarkStart w:id="14" w:name="_Toc6082"/>
      <w:r>
        <w:rPr>
          <w:rFonts w:hint="default" w:ascii="黑体" w:hAnsi="黑体" w:cs="黑体"/>
          <w:lang w:bidi="ar"/>
        </w:rPr>
        <w:t>2.1.1.</w:t>
      </w:r>
      <w:r>
        <w:t>烟草缺素及病虫害检测效率与精准性双重困境</w:t>
      </w:r>
      <w:bookmarkEnd w:id="14"/>
    </w:p>
    <w:p w14:paraId="4BA008E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传统烟草缺素与病虫害检测依赖人工田间巡查，凭经验判断，效率低、精准度差。规模化种植下人工巡查周期长，无法实现缺素早发现与病虫害早期预警，易造成症状蔓延、错过最佳管控时机，影响烟草正常生长。人工判断主观差异大、误判率高，尤其对缺素与早期病害易混淆，直接导致后续精准施肥、精准施药策略失准，降低烟叶品质。同时，人工仅能查看表观特征，无法捕捉生化信息，早期识别能力弱，普遍存在“发现即严重”的滞后问题。</w:t>
      </w:r>
    </w:p>
    <w:p w14:paraId="1757D03F">
      <w:pPr>
        <w:pStyle w:val="5"/>
        <w:numPr>
          <w:ilvl w:val="2"/>
          <w:numId w:val="0"/>
        </w:numPr>
      </w:pPr>
      <w:bookmarkStart w:id="15" w:name="_Toc28202"/>
      <w:r>
        <w:rPr>
          <w:rFonts w:hint="default" w:ascii="黑体" w:hAnsi="黑体" w:cs="黑体"/>
          <w:lang w:bidi="ar"/>
        </w:rPr>
        <w:t>2.1.2.</w:t>
      </w:r>
      <w:r>
        <w:t>肥药施用精准度不足</w:t>
      </w:r>
      <w:bookmarkEnd w:id="15"/>
    </w:p>
    <w:p w14:paraId="4DDBD0A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烟草施肥管理虽整体较为精细，但仍以经验判断与统一施用为主，难以依据田间实时缺素分布、土壤养分与烟草生育阶段差异实现变量精准补给；农药施用多按全域统一剂量施用，未区分病虫害发生区域与危害程度，导致肥药有效利用率偏低，造成农资浪费、增加生产成本。与此同时，过量与非靶向施用的肥药易造成土壤酸化、板结，引发水体面源污染，同时过度施药会导致烟叶农药残留超标，直接降低烟叶等级与经济价值，影响原料质量安全。</w:t>
      </w:r>
    </w:p>
    <w:p w14:paraId="1370CD5A">
      <w:pPr>
        <w:pStyle w:val="5"/>
        <w:numPr>
          <w:ilvl w:val="2"/>
          <w:numId w:val="0"/>
        </w:numPr>
      </w:pPr>
      <w:bookmarkStart w:id="16" w:name="_Toc30316"/>
      <w:r>
        <w:rPr>
          <w:rFonts w:hint="default" w:ascii="黑体" w:hAnsi="黑体" w:cs="黑体"/>
          <w:lang w:bidi="ar"/>
        </w:rPr>
        <w:t>2.1.3.</w:t>
      </w:r>
      <w:r>
        <w:t>劳动力短缺与老龄化制约产业发展</w:t>
      </w:r>
      <w:bookmarkEnd w:id="16"/>
    </w:p>
    <w:p w14:paraId="2A131C8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 xml:space="preserve">烟草种植主产区多位于丘陵、山区，田间作业条件相对艰苦，且人工检测、施肥施药作业强度大、效率低，对青壮年劳动力的吸引力极低，导致烟草种植领域面临严峻的劳动力短缺与老龄化挑战。数据显示，烟草主产区50岁以上种植户占比达67%，青壮年劳动力流失率超过35%，老龄化的劳动力结构不仅进一步降低了人工检测与农资施用的效率和精准性，还导致先进农业技术难以落地推广。在规模化烟草种植的发展趋势下，人工为主的作业模式已无法满足种植管理的需求，劳动力问题成为制约烟草产业规模化、现代化发展的重要瓶颈。 </w:t>
      </w:r>
    </w:p>
    <w:p w14:paraId="5A8DDBBC">
      <w:pPr>
        <w:pStyle w:val="5"/>
        <w:numPr>
          <w:ilvl w:val="2"/>
          <w:numId w:val="0"/>
        </w:numPr>
      </w:pPr>
      <w:bookmarkStart w:id="17" w:name="_Toc23722"/>
      <w:r>
        <w:rPr>
          <w:rFonts w:hint="default" w:ascii="黑体" w:hAnsi="黑体" w:cs="黑体"/>
          <w:lang w:bidi="ar"/>
        </w:rPr>
        <w:t>2.1.4.</w:t>
      </w:r>
      <w:r>
        <w:t>产业标准化管理缺乏数据支撑</w:t>
      </w:r>
      <w:bookmarkEnd w:id="17"/>
    </w:p>
    <w:p w14:paraId="0AA1845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 xml:space="preserve">烟草产业对原料品质的标准化、一致性要求日益提高，烟草生产企业对烟叶的外观品质、化学成分、农药残留、等级等指标有着严格的采购标准，但传统烟草种植模式下，缺素检测、病虫害监测与施肥施药过程缺乏完整的数据记录与追溯体系，种植户无法精准掌握烟草不同生长阶段的缺素情况、病虫害发生动态、农资施用细节，农业技术推广部门也难以对种植过程进行标准化指导与管控。缺乏数据支撑的种植管理，导致烟草生长状态参差不齐，烟叶品质波动较大，无法满足烟草产业的标准化需求，同时也难以开展农资施用效果评估与种植技术优化，形成“经验循环”的发展困境，制约烟草产业的高质量升级。 </w:t>
      </w:r>
    </w:p>
    <w:p w14:paraId="1DAA3035">
      <w:pPr>
        <w:pStyle w:val="5"/>
        <w:numPr>
          <w:ilvl w:val="2"/>
          <w:numId w:val="0"/>
        </w:numPr>
      </w:pPr>
      <w:bookmarkStart w:id="18" w:name="_Toc2198"/>
      <w:r>
        <w:rPr>
          <w:rFonts w:hint="default" w:ascii="黑体" w:hAnsi="黑体" w:cs="黑体"/>
          <w:lang w:bidi="ar"/>
        </w:rPr>
        <w:t>2.1.5.</w:t>
      </w:r>
      <w:r>
        <w:t>政策背景：农业数字化转型攻坚</w:t>
      </w:r>
      <w:bookmarkEnd w:id="18"/>
    </w:p>
    <w:p w14:paraId="14B2103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国家高度重视农业现代化、精准农业发展，密集出台一系列顶层设计与专项政策为农业数字化、智能化转型指明方向，各烟草主产区政府紧跟政策导向，推动烟草产业高质量、绿色可持续发展。其中，中共中央2026年1号文件《关于锚定农业农村现代化 扎实推进乡村全面振兴的意见》明确支持拓展无人机、物联网、机器人在农业生产中的应用场景，推进精准农业、智慧农业发展，为项目“无人机+多模态监测+精准施肥施药”提供了最高层级政策依据；国家烟草专卖局《烟草绿色防控重大科技项目实施方案（2021—2025年）》要求烟草种植精准施肥、科学施药，实现病虫害绿色防控和养分精准管理，生产全程可追溯，成为项目技术路线、作业标准、功能设计的直接行业依据；国家烟草专卖局《对十三届全国人大五次会议第8509号建议的答复》提出建设烟田电子档案、空天地监测等体系，推动“经验种植”向“数据种植”转型，项目全闭环模式与数字烟田建设要求高度匹配。同时，国家对农业生态环境保护与农产品质量安全的要求日益严格，相关政策进一步强化化肥农药减量增效、严控面源污染的要求，多重政策形成合力，为本项目的开发、试点与推广提供了良好的政策环境与发展机遇，烟草种植的智能化、精准化转型已成为政策导向下的必然趋势。</w:t>
      </w:r>
    </w:p>
    <w:p w14:paraId="79D70B83">
      <w:pPr>
        <w:widowControl/>
        <w:ind w:firstLine="0" w:firstLineChars="0"/>
        <w:jc w:val="left"/>
        <w:rPr>
          <w:rFonts w:hint="eastAsia" w:ascii="宋体" w:hAnsi="宋体" w:cs="宋体"/>
          <w:kern w:val="0"/>
          <w:lang w:bidi="ar"/>
        </w:rPr>
      </w:pPr>
      <w:r>
        <w:rPr>
          <w:rFonts w:hint="eastAsia" w:ascii="宋体" w:hAnsi="宋体" w:cs="宋体"/>
          <w:kern w:val="0"/>
          <w:lang w:bidi="ar"/>
        </w:rPr>
        <w:drawing>
          <wp:inline distT="0" distB="0" distL="114300" distR="114300">
            <wp:extent cx="5266690" cy="3171190"/>
            <wp:effectExtent l="0" t="0" r="6350" b="13970"/>
            <wp:docPr id="24" name="图片 24" descr="d016a57ecc705f6d1f60431bc1159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016a57ecc705f6d1f60431bc1159f67"/>
                    <pic:cNvPicPr>
                      <a:picLocks noChangeAspect="1"/>
                    </pic:cNvPicPr>
                  </pic:nvPicPr>
                  <pic:blipFill>
                    <a:blip r:embed="rId6"/>
                    <a:stretch>
                      <a:fillRect/>
                    </a:stretch>
                  </pic:blipFill>
                  <pic:spPr>
                    <a:xfrm>
                      <a:off x="0" y="0"/>
                      <a:ext cx="5266690" cy="3171190"/>
                    </a:xfrm>
                    <a:prstGeom prst="rect">
                      <a:avLst/>
                    </a:prstGeom>
                  </pic:spPr>
                </pic:pic>
              </a:graphicData>
            </a:graphic>
          </wp:inline>
        </w:drawing>
      </w:r>
    </w:p>
    <w:p w14:paraId="7C995732">
      <w:pPr>
        <w:widowControl/>
        <w:ind w:firstLine="0" w:firstLineChars="0"/>
        <w:jc w:val="center"/>
        <w:rPr>
          <w:rFonts w:hint="eastAsia" w:ascii="宋体" w:hAnsi="宋体" w:cs="宋体"/>
          <w:kern w:val="0"/>
          <w:sz w:val="18"/>
          <w:szCs w:val="18"/>
          <w:lang w:bidi="ar"/>
        </w:rPr>
      </w:pPr>
      <w:r>
        <w:rPr>
          <w:rFonts w:hint="eastAsia" w:ascii="宋体" w:hAnsi="宋体" w:cs="宋体"/>
          <w:kern w:val="0"/>
          <w:sz w:val="18"/>
          <w:szCs w:val="18"/>
          <w:lang w:bidi="ar"/>
        </w:rPr>
        <w:t>图</w:t>
      </w:r>
      <w:r>
        <w:rPr>
          <w:rFonts w:hint="eastAsia" w:ascii="宋体" w:hAnsi="宋体" w:cs="宋体"/>
          <w:kern w:val="0"/>
          <w:sz w:val="18"/>
          <w:szCs w:val="18"/>
          <w:lang w:val="en-US" w:eastAsia="zh-CN" w:bidi="ar"/>
        </w:rPr>
        <w:t>2</w:t>
      </w:r>
      <w:r>
        <w:rPr>
          <w:rFonts w:hint="eastAsia" w:ascii="宋体" w:hAnsi="宋体" w:cs="宋体"/>
          <w:kern w:val="0"/>
          <w:sz w:val="18"/>
          <w:szCs w:val="18"/>
          <w:lang w:bidi="ar"/>
        </w:rPr>
        <w:t>.1 国家局相关政策颁布</w:t>
      </w:r>
    </w:p>
    <w:p w14:paraId="38F01673">
      <w:pPr>
        <w:widowControl/>
        <w:ind w:firstLine="0" w:firstLineChars="0"/>
        <w:jc w:val="left"/>
        <w:rPr>
          <w:rFonts w:hint="eastAsia" w:ascii="宋体" w:hAnsi="宋体" w:cs="宋体"/>
          <w:kern w:val="0"/>
          <w:lang w:bidi="ar"/>
        </w:rPr>
      </w:pPr>
      <w:r>
        <w:rPr>
          <w:rFonts w:hint="eastAsia" w:ascii="宋体" w:hAnsi="宋体" w:cs="宋体"/>
          <w:kern w:val="0"/>
          <w:lang w:bidi="ar"/>
        </w:rPr>
        <w:drawing>
          <wp:inline distT="0" distB="0" distL="114300" distR="114300">
            <wp:extent cx="5260975" cy="3198495"/>
            <wp:effectExtent l="0" t="0" r="12065" b="1905"/>
            <wp:docPr id="25" name="图片 25" descr="5d15dc8d328088d9a44714ac214b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d15dc8d328088d9a44714ac214b9535"/>
                    <pic:cNvPicPr>
                      <a:picLocks noChangeAspect="1"/>
                    </pic:cNvPicPr>
                  </pic:nvPicPr>
                  <pic:blipFill>
                    <a:blip r:embed="rId7"/>
                    <a:stretch>
                      <a:fillRect/>
                    </a:stretch>
                  </pic:blipFill>
                  <pic:spPr>
                    <a:xfrm>
                      <a:off x="0" y="0"/>
                      <a:ext cx="5260975" cy="3198495"/>
                    </a:xfrm>
                    <a:prstGeom prst="rect">
                      <a:avLst/>
                    </a:prstGeom>
                  </pic:spPr>
                </pic:pic>
              </a:graphicData>
            </a:graphic>
          </wp:inline>
        </w:drawing>
      </w:r>
    </w:p>
    <w:p w14:paraId="2296C346">
      <w:pPr>
        <w:widowControl/>
        <w:ind w:firstLine="0" w:firstLineChars="0"/>
        <w:jc w:val="center"/>
        <w:rPr>
          <w:rFonts w:hint="eastAsia" w:ascii="宋体" w:hAnsi="宋体" w:cs="宋体"/>
          <w:kern w:val="0"/>
          <w:sz w:val="18"/>
          <w:szCs w:val="18"/>
          <w:lang w:bidi="ar"/>
        </w:rPr>
      </w:pPr>
      <w:r>
        <w:rPr>
          <w:rFonts w:hint="eastAsia" w:ascii="宋体" w:hAnsi="宋体" w:cs="宋体"/>
          <w:kern w:val="0"/>
          <w:sz w:val="18"/>
          <w:szCs w:val="18"/>
          <w:lang w:bidi="ar"/>
        </w:rPr>
        <w:t>图</w:t>
      </w:r>
      <w:r>
        <w:rPr>
          <w:rFonts w:hint="eastAsia" w:ascii="宋体" w:hAnsi="宋体" w:cs="宋体"/>
          <w:kern w:val="0"/>
          <w:sz w:val="18"/>
          <w:szCs w:val="18"/>
          <w:lang w:val="en-US" w:eastAsia="zh-CN" w:bidi="ar"/>
        </w:rPr>
        <w:t>2</w:t>
      </w:r>
      <w:r>
        <w:rPr>
          <w:rFonts w:hint="eastAsia" w:ascii="宋体" w:hAnsi="宋体" w:cs="宋体"/>
          <w:kern w:val="0"/>
          <w:sz w:val="18"/>
          <w:szCs w:val="18"/>
          <w:lang w:bidi="ar"/>
        </w:rPr>
        <w:t>.2 国务院推进乡村全面振兴的意见</w:t>
      </w:r>
    </w:p>
    <w:p w14:paraId="7FDE55A9">
      <w:pPr>
        <w:pStyle w:val="5"/>
        <w:numPr>
          <w:ilvl w:val="2"/>
          <w:numId w:val="0"/>
        </w:numPr>
      </w:pPr>
      <w:bookmarkStart w:id="19" w:name="_Toc5582"/>
      <w:r>
        <w:rPr>
          <w:rFonts w:hint="default" w:ascii="黑体" w:hAnsi="黑体" w:cs="黑体"/>
          <w:lang w:bidi="ar"/>
        </w:rPr>
        <w:t>2.1.6.</w:t>
      </w:r>
      <w:r>
        <w:t>行业规范：种植与品质要求日趋严格</w:t>
      </w:r>
      <w:bookmarkEnd w:id="19"/>
    </w:p>
    <w:p w14:paraId="7D38AA1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烟草种植须严格遵循《烟草农业生产技术规程》，落实精准施肥、绿色防控要求，强化养分管理与病虫害科学施药。2026年中央一号文件、农业农村部精准用药提质增效行动（2026年）等最新政策，持续推进化肥农药减量增效、精准施用，严控农残与面源污染，保护农业生态环境中国政府网。烟叶质量须符合《烤烟》（GB 2635-2021）国家标准，在成熟度、色泽、化学成分、农残限量等方面满足收购准入要求。</w:t>
      </w:r>
    </w:p>
    <w:p w14:paraId="382DA2E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传统经验式管理难以匹配最新政策与国标对标准化、绿色化、高品质的刚性要求，亟需智能化、精准化技术支撑。本项目基于无人机多模态融合，构建烟草缺素与病虫害精准检测、精准施肥、精准施药一体化系统，破解监测与管控痛点，推动烟草种植向智能、标准、绿色高质量发展。</w:t>
      </w:r>
    </w:p>
    <w:p w14:paraId="4470A2AB">
      <w:pPr>
        <w:pStyle w:val="4"/>
        <w:rPr>
          <w:rFonts w:hint="eastAsia"/>
        </w:rPr>
      </w:pPr>
      <w:bookmarkStart w:id="20" w:name="_Toc29792"/>
      <w:r>
        <w:rPr>
          <w:rFonts w:ascii="黑体" w:hAnsi="黑体" w:cs="黑体"/>
          <w:lang w:bidi="ar"/>
        </w:rPr>
        <w:t>2.2.</w:t>
      </w:r>
      <w:r>
        <w:rPr>
          <w:rFonts w:hint="eastAsia" w:ascii="黑体" w:hAnsi="黑体" w:cs="黑体"/>
          <w:lang w:bidi="ar"/>
        </w:rPr>
        <w:t xml:space="preserve"> </w:t>
      </w:r>
      <w:r>
        <w:rPr>
          <w:rFonts w:hint="eastAsia"/>
        </w:rPr>
        <w:t>国内外研究现状</w:t>
      </w:r>
      <w:bookmarkEnd w:id="20"/>
    </w:p>
    <w:p w14:paraId="3B53A05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近年来，随着精准农业与农业智能化的快速发展，无人机遥感、计算机视觉、多模态数据融合、智能变量作业等技术在作物检测与农资施用领域的应用研究日益增多，国内外学者与研究机构围绕作物缺素检测、病虫害识别、精准施肥施药、无人机农业应用等方向开展了大量研究，取得了较为丰富的研究成果。但总体来看，现有研究与产品多集中于水稻、小麦、玉米等粮食作物，针对烟草种植领域的缺素与病虫害综合检测、农资一体化精准施用的专用化、一体化解决方案仍存在明显不足，难以适配烟草生理特性、田间复杂环境与标准化生产管理需求，无法满足烟草产业高质量、绿色可持续发展的现实需要。</w:t>
      </w:r>
    </w:p>
    <w:p w14:paraId="5449C266">
      <w:pPr>
        <w:pStyle w:val="5"/>
        <w:numPr>
          <w:ilvl w:val="2"/>
          <w:numId w:val="0"/>
        </w:numPr>
      </w:pPr>
      <w:bookmarkStart w:id="21" w:name="_Toc23147"/>
      <w:r>
        <w:rPr>
          <w:rFonts w:hint="default" w:ascii="黑体" w:hAnsi="黑体" w:cs="黑体"/>
          <w:lang w:bidi="ar"/>
        </w:rPr>
        <w:t>2.2.1.</w:t>
      </w:r>
      <w:r>
        <w:t>作物智能识别与病虫害检测研究</w:t>
      </w:r>
      <w:bookmarkEnd w:id="21"/>
    </w:p>
    <w:p w14:paraId="6823949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当前，基于无人机遥感的作物缺素与病虫害检测已在粮食作物上形成较为成熟的技术路线，通常采用RGB、多光谱或高光谱单一数据源，通过改进的ResNet和YOLOv8n深度学习模型实现长势监测与病害识别，在标准试验条件下可达到较高准确率。然而，现有技术与市场主流产品如大疆Mavic 3M、极飞P150 Pro、慧植农当家APP、托普云农虫情测报灯等均为广谱作物设计，未针对烟草的株型结构、叶片特征、缺素表现及典型病虫害发生规律开展专属模型训练与优化。</w:t>
      </w:r>
    </w:p>
    <w:p w14:paraId="12BDE86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在实际烟田应用中，此类技术普遍存在明显局限：一是缺乏烟草专属识别模型，难以准确区分青枯病、黑胫病、赤星病、花叶病、烟蚜、烟青虫等烟草典型病虫害，早期症状检出率低、易出现误判与漏判；二是多依赖单一数据源，受光照、天气、田间背景干扰较大，稳定性不足；三是模型结构复杂、算力需求高，难以在无人机嵌入式端实现本地化实时处理；四是缺素检测与病虫害识别相互独立，未形成一体化综合诊断能力，与烟草田间实际管理需求脱节。</w:t>
      </w:r>
    </w:p>
    <w:p w14:paraId="45D4FC5D">
      <w:pPr>
        <w:pStyle w:val="5"/>
        <w:numPr>
          <w:ilvl w:val="2"/>
          <w:numId w:val="0"/>
        </w:numPr>
      </w:pPr>
      <w:bookmarkStart w:id="22" w:name="_Toc9654"/>
      <w:r>
        <w:rPr>
          <w:rFonts w:hint="default" w:ascii="黑体" w:hAnsi="黑体" w:cs="黑体"/>
          <w:lang w:bidi="ar"/>
        </w:rPr>
        <w:t>2.2.2.</w:t>
      </w:r>
      <w:r>
        <w:t>精准施肥施药与绿色防控技术研究</w:t>
      </w:r>
      <w:bookmarkEnd w:id="22"/>
    </w:p>
    <w:p w14:paraId="08FEAC6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国外精准农业发展较早，在变量施肥、精准施药等方面已形成多源数据融合驱动的成熟体系，可实现化肥农药高效利用与农业面源污染管控。国内精准农资施用技术虽快速发展，但仍以粮食作物应用为主，烟草种植环节仍以测土配方施肥、经验施药、常规防控为主，监测数据与作业决策之间缺乏有效联动。</w:t>
      </w:r>
    </w:p>
    <w:p w14:paraId="2B8550A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现有技术未能将烟草实时生长状态、缺素分布、病虫害发生程度与施肥施药策略相结合，缺乏适配烟草生长规律的减量增效决策模型，难以实现化肥减量增效、农药减量控害的目标。同时，施肥与施药环节相互分离，作业流程独立、设备不兼容，无法根据田间实际情况开展按需变量作业，依然存在农资投入量大、利用率偏低、污染风险较高等问题，与烟草绿色防控、标准化生产的要求存在较大差距。</w:t>
      </w:r>
    </w:p>
    <w:p w14:paraId="2E6A2B44">
      <w:pPr>
        <w:pStyle w:val="5"/>
        <w:numPr>
          <w:ilvl w:val="2"/>
          <w:numId w:val="0"/>
        </w:numPr>
      </w:pPr>
      <w:bookmarkStart w:id="23" w:name="_Toc895"/>
      <w:r>
        <w:rPr>
          <w:rFonts w:hint="default" w:ascii="黑体" w:hAnsi="黑体" w:cs="黑体"/>
          <w:lang w:bidi="ar"/>
        </w:rPr>
        <w:t>2.2.3.</w:t>
      </w:r>
      <w:r>
        <w:t>农业无人机与烟草一体化智能作业研究</w:t>
      </w:r>
      <w:bookmarkEnd w:id="23"/>
    </w:p>
    <w:p w14:paraId="5BF44B8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国内外农业无人机在自主飞行、路径规划、定量喷洒等方面已具备较高成熟度，硬件性能与控制算法不断提升，在大田粮食作物植保中应用广泛。但现有无人机系统普遍存在功能单一、监测与作业脱节的问题，难以支撑烟草种植的一体化、精准化作业需求。</w:t>
      </w:r>
    </w:p>
    <w:p w14:paraId="57E25BA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主流无人机产品仅能完成图像采集或常规植保喷洒，不具备缺素诊断、病虫害综合识别、智能决策与动态作业参数调整能力；路径规划算法多针对平原大田设计，在丘陵、梯田等烟草主产区复杂地形条件下，易出现作业覆盖率不足、漏喷重喷、避障可靠性低等问题；同时，多数设备不支持施肥施药一体化作业，无法实现“采集—识别—决策—执行”的闭环管理，整体智能化水平与作业效率难以满足烟草规模化、标准化生产需求。</w:t>
      </w:r>
    </w:p>
    <w:p w14:paraId="5D9116B9">
      <w:pPr>
        <w:pStyle w:val="5"/>
        <w:numPr>
          <w:ilvl w:val="2"/>
          <w:numId w:val="0"/>
        </w:numPr>
      </w:pPr>
      <w:bookmarkStart w:id="24" w:name="_Toc17242"/>
      <w:r>
        <w:rPr>
          <w:rFonts w:hint="default" w:ascii="黑体" w:hAnsi="黑体" w:cs="黑体"/>
          <w:lang w:bidi="ar"/>
        </w:rPr>
        <w:t>2.2.4.</w:t>
      </w:r>
      <w:r>
        <w:t>多模态数据融合与数字烟田建设研究</w:t>
      </w:r>
      <w:bookmarkEnd w:id="24"/>
    </w:p>
    <w:p w14:paraId="4C1B8B8D">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多模态数据融合已成为农业智能监测领域的重要发展方向，通过整合RGB图像、光谱、土壤、气象等多源信息，能够有效提升作物诊断的全面性与准确性，但在烟草数字化生产体系中仍处于初步探索阶段。</w:t>
      </w:r>
    </w:p>
    <w:p w14:paraId="143F085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现有融合模型未结合烟草生理特征、光谱响应特性与病虫害发生规律构建专属特征体系，模型复杂度高、实时性差，难以在田间嵌入式设备上稳定部署。同时，行业内尚未形成集烟田电子档案、空天地一体化监测、智能决策、作业执行、全程追溯于一体的数字烟田系统，数据链条不完整、应用场景碎片化，难以推动烟草种植由“经验驱动”向“数据驱动”转型，也无法与烟草生产管理平台高效对接，不能完全满足行业数字化、标准化、可追溯的发展趋势。</w:t>
      </w:r>
    </w:p>
    <w:tbl>
      <w:tblPr>
        <w:tblStyle w:val="11"/>
        <w:tblW w:w="8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9"/>
        <w:gridCol w:w="1531"/>
        <w:gridCol w:w="1469"/>
        <w:gridCol w:w="1469"/>
        <w:gridCol w:w="1889"/>
      </w:tblGrid>
      <w:tr w14:paraId="1CFF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blHeader/>
        </w:trPr>
        <w:tc>
          <w:tcPr>
            <w:tcW w:w="1939" w:type="dxa"/>
            <w:shd w:val="clear" w:color="auto" w:fill="00B0F0"/>
            <w:vAlign w:val="center"/>
          </w:tcPr>
          <w:p w14:paraId="7D1AA6BE">
            <w:pPr>
              <w:ind w:firstLine="0" w:firstLineChars="0"/>
              <w:jc w:val="center"/>
              <w:rPr>
                <w:rFonts w:cs="Times New Roman"/>
              </w:rPr>
            </w:pPr>
            <w:r>
              <w:rPr>
                <w:rFonts w:hint="eastAsia" w:cs="Times New Roman"/>
              </w:rPr>
              <w:t>名称</w:t>
            </w:r>
          </w:p>
        </w:tc>
        <w:tc>
          <w:tcPr>
            <w:tcW w:w="1531" w:type="dxa"/>
            <w:shd w:val="clear" w:color="auto" w:fill="00B0F0"/>
            <w:vAlign w:val="center"/>
          </w:tcPr>
          <w:p w14:paraId="027BB386">
            <w:pPr>
              <w:ind w:firstLine="0" w:firstLineChars="0"/>
              <w:jc w:val="center"/>
              <w:rPr>
                <w:rFonts w:cs="Times New Roman"/>
              </w:rPr>
            </w:pPr>
            <w:r>
              <w:rPr>
                <w:rFonts w:hint="eastAsia" w:cs="Times New Roman"/>
              </w:rPr>
              <w:t>检测精度</w:t>
            </w:r>
          </w:p>
        </w:tc>
        <w:tc>
          <w:tcPr>
            <w:tcW w:w="1469" w:type="dxa"/>
            <w:shd w:val="clear" w:color="auto" w:fill="00B0F0"/>
            <w:vAlign w:val="center"/>
          </w:tcPr>
          <w:p w14:paraId="5EA2CFC1">
            <w:pPr>
              <w:ind w:firstLine="0" w:firstLineChars="0"/>
              <w:jc w:val="center"/>
              <w:rPr>
                <w:rFonts w:cs="Times New Roman"/>
              </w:rPr>
            </w:pPr>
            <w:r>
              <w:rPr>
                <w:rFonts w:hint="eastAsia" w:cs="Times New Roman"/>
              </w:rPr>
              <w:t>泛化能力</w:t>
            </w:r>
          </w:p>
        </w:tc>
        <w:tc>
          <w:tcPr>
            <w:tcW w:w="1469" w:type="dxa"/>
            <w:shd w:val="clear" w:color="auto" w:fill="00B0F0"/>
            <w:vAlign w:val="center"/>
          </w:tcPr>
          <w:p w14:paraId="2709022C">
            <w:pPr>
              <w:ind w:firstLine="0" w:firstLineChars="0"/>
              <w:jc w:val="center"/>
              <w:rPr>
                <w:rFonts w:cs="Times New Roman"/>
              </w:rPr>
            </w:pPr>
            <w:r>
              <w:rPr>
                <w:rFonts w:hint="eastAsia" w:cs="Times New Roman"/>
              </w:rPr>
              <w:t>用户体验</w:t>
            </w:r>
          </w:p>
        </w:tc>
        <w:tc>
          <w:tcPr>
            <w:tcW w:w="1889" w:type="dxa"/>
            <w:shd w:val="clear" w:color="auto" w:fill="00B0F0"/>
            <w:vAlign w:val="center"/>
          </w:tcPr>
          <w:p w14:paraId="1FA52169">
            <w:pPr>
              <w:ind w:firstLine="0" w:firstLineChars="0"/>
              <w:jc w:val="center"/>
              <w:rPr>
                <w:rFonts w:cs="Times New Roman"/>
              </w:rPr>
            </w:pPr>
            <w:r>
              <w:rPr>
                <w:rFonts w:hint="eastAsia" w:cs="Times New Roman"/>
              </w:rPr>
              <w:t>烟草专属识别</w:t>
            </w:r>
          </w:p>
        </w:tc>
      </w:tr>
      <w:tr w14:paraId="5E02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11103DBE">
            <w:pPr>
              <w:ind w:firstLine="0" w:firstLineChars="0"/>
              <w:jc w:val="center"/>
              <w:rPr>
                <w:rFonts w:cs="Times New Roman"/>
              </w:rPr>
            </w:pPr>
            <w:r>
              <w:rPr>
                <w:rFonts w:hint="eastAsia" w:cs="Times New Roman"/>
              </w:rPr>
              <w:t>大疆Mavic 3M</w:t>
            </w:r>
          </w:p>
        </w:tc>
        <w:tc>
          <w:tcPr>
            <w:tcW w:w="1531" w:type="dxa"/>
            <w:shd w:val="clear" w:color="auto" w:fill="F2F2F2"/>
            <w:vAlign w:val="center"/>
          </w:tcPr>
          <w:p w14:paraId="371D628A">
            <w:pPr>
              <w:ind w:firstLine="0" w:firstLineChars="0"/>
              <w:jc w:val="center"/>
              <w:rPr>
                <w:rFonts w:cs="Times New Roman"/>
              </w:rPr>
            </w:pPr>
            <w:r>
              <w:rPr>
                <w:rFonts w:hint="eastAsia" w:cs="Times New Roman"/>
              </w:rPr>
              <w:t>仅长势异常监测，无法识别病害种类</w:t>
            </w:r>
          </w:p>
        </w:tc>
        <w:tc>
          <w:tcPr>
            <w:tcW w:w="1469" w:type="dxa"/>
            <w:shd w:val="clear" w:color="auto" w:fill="F2F2F2"/>
            <w:vAlign w:val="center"/>
          </w:tcPr>
          <w:p w14:paraId="7D5A0AAA">
            <w:pPr>
              <w:ind w:firstLine="0" w:firstLineChars="0"/>
              <w:jc w:val="center"/>
              <w:rPr>
                <w:rFonts w:cs="Times New Roman"/>
              </w:rPr>
            </w:pPr>
            <w:r>
              <w:rPr>
                <w:rFonts w:hint="eastAsia" w:cs="Times New Roman"/>
              </w:rPr>
              <w:t>广谱大田作物，无烟草专项优化</w:t>
            </w:r>
          </w:p>
        </w:tc>
        <w:tc>
          <w:tcPr>
            <w:tcW w:w="1469" w:type="dxa"/>
            <w:shd w:val="clear" w:color="auto" w:fill="F2F2F2"/>
            <w:vAlign w:val="center"/>
          </w:tcPr>
          <w:p w14:paraId="0258275A">
            <w:pPr>
              <w:ind w:firstLine="0" w:firstLineChars="0"/>
              <w:jc w:val="center"/>
              <w:rPr>
                <w:rFonts w:cs="Times New Roman"/>
              </w:rPr>
            </w:pPr>
            <w:r>
              <w:rPr>
                <w:rFonts w:hint="eastAsia" w:cs="Times New Roman"/>
              </w:rPr>
              <w:t>需专业飞手，普通农户不易上手</w:t>
            </w:r>
          </w:p>
        </w:tc>
        <w:tc>
          <w:tcPr>
            <w:tcW w:w="1889" w:type="dxa"/>
            <w:shd w:val="clear" w:color="auto" w:fill="F2F2F2"/>
            <w:vAlign w:val="center"/>
          </w:tcPr>
          <w:p w14:paraId="0AEA6A76">
            <w:pPr>
              <w:ind w:firstLine="0" w:firstLineChars="0"/>
              <w:jc w:val="center"/>
              <w:rPr>
                <w:rFonts w:cs="Times New Roman"/>
              </w:rPr>
            </w:pPr>
            <w:r>
              <w:rPr>
                <w:rFonts w:cs="Times New Roman"/>
              </w:rPr>
              <w:t>不支持烟草病害分类</w:t>
            </w:r>
          </w:p>
        </w:tc>
      </w:tr>
      <w:tr w14:paraId="676F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2F16171C">
            <w:pPr>
              <w:ind w:firstLine="0" w:firstLineChars="0"/>
              <w:jc w:val="center"/>
              <w:rPr>
                <w:rFonts w:cs="Times New Roman"/>
              </w:rPr>
            </w:pPr>
            <w:r>
              <w:rPr>
                <w:rFonts w:hint="eastAsia" w:cs="Times New Roman"/>
              </w:rPr>
              <w:t>极飞P150 Pro 2025</w:t>
            </w:r>
          </w:p>
        </w:tc>
        <w:tc>
          <w:tcPr>
            <w:tcW w:w="1531" w:type="dxa"/>
            <w:shd w:val="clear" w:color="auto" w:fill="F2F2F2"/>
            <w:vAlign w:val="center"/>
          </w:tcPr>
          <w:p w14:paraId="7D81691B">
            <w:pPr>
              <w:ind w:firstLine="0" w:firstLineChars="0"/>
              <w:jc w:val="center"/>
              <w:rPr>
                <w:rFonts w:cs="Times New Roman"/>
              </w:rPr>
            </w:pPr>
            <w:r>
              <w:rPr>
                <w:rFonts w:hint="eastAsia" w:cs="Times New Roman"/>
              </w:rPr>
              <w:t>长势和杂草识别，无烟草病害模型</w:t>
            </w:r>
          </w:p>
        </w:tc>
        <w:tc>
          <w:tcPr>
            <w:tcW w:w="1469" w:type="dxa"/>
            <w:shd w:val="clear" w:color="auto" w:fill="F2F2F2"/>
            <w:vAlign w:val="center"/>
          </w:tcPr>
          <w:p w14:paraId="68AA2C23">
            <w:pPr>
              <w:ind w:firstLine="0" w:firstLineChars="0"/>
              <w:jc w:val="center"/>
              <w:rPr>
                <w:rFonts w:cs="Times New Roman"/>
              </w:rPr>
            </w:pPr>
            <w:r>
              <w:rPr>
                <w:rFonts w:cs="Times New Roman"/>
              </w:rPr>
              <w:t>通用作物，无烟草专项</w:t>
            </w:r>
          </w:p>
        </w:tc>
        <w:tc>
          <w:tcPr>
            <w:tcW w:w="1469" w:type="dxa"/>
            <w:shd w:val="clear" w:color="auto" w:fill="F2F2F2"/>
            <w:vAlign w:val="center"/>
          </w:tcPr>
          <w:p w14:paraId="636C3A51">
            <w:pPr>
              <w:ind w:firstLine="0" w:firstLineChars="0"/>
              <w:jc w:val="center"/>
              <w:rPr>
                <w:rFonts w:cs="Times New Roman"/>
              </w:rPr>
            </w:pPr>
            <w:r>
              <w:rPr>
                <w:rFonts w:cs="Times New Roman"/>
              </w:rPr>
              <w:t>植保作业为主，无诊断界面</w:t>
            </w:r>
          </w:p>
        </w:tc>
        <w:tc>
          <w:tcPr>
            <w:tcW w:w="1889" w:type="dxa"/>
            <w:shd w:val="clear" w:color="auto" w:fill="F2F2F2"/>
            <w:vAlign w:val="center"/>
          </w:tcPr>
          <w:p w14:paraId="4A061C14">
            <w:pPr>
              <w:ind w:firstLine="0" w:firstLineChars="0"/>
              <w:jc w:val="center"/>
              <w:rPr>
                <w:rFonts w:cs="Times New Roman"/>
              </w:rPr>
            </w:pPr>
            <w:r>
              <w:rPr>
                <w:rFonts w:hint="eastAsia" w:cs="Times New Roman"/>
              </w:rPr>
              <w:t>无烟草病害识别</w:t>
            </w:r>
          </w:p>
        </w:tc>
      </w:tr>
      <w:tr w14:paraId="512A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4EA07891">
            <w:pPr>
              <w:ind w:firstLine="0" w:firstLineChars="0"/>
              <w:jc w:val="center"/>
              <w:rPr>
                <w:rFonts w:cs="Times New Roman"/>
                <w:color w:val="000000" w:themeColor="text1"/>
                <w14:textFill>
                  <w14:solidFill>
                    <w14:schemeClr w14:val="tx1"/>
                  </w14:solidFill>
                </w14:textFill>
              </w:rPr>
            </w:pPr>
            <w:r>
              <w:rPr>
                <w:rFonts w:hint="eastAsia" w:cs="Times New Roman"/>
              </w:rPr>
              <w:t>慧植农当家APP</w:t>
            </w:r>
          </w:p>
        </w:tc>
        <w:tc>
          <w:tcPr>
            <w:tcW w:w="1531" w:type="dxa"/>
            <w:shd w:val="clear" w:color="auto" w:fill="F2F2F2"/>
            <w:vAlign w:val="center"/>
          </w:tcPr>
          <w:p w14:paraId="7D3E3A99">
            <w:pPr>
              <w:ind w:firstLine="0" w:firstLineChars="0"/>
              <w:jc w:val="center"/>
              <w:rPr>
                <w:rFonts w:cs="Times New Roman"/>
                <w:color w:val="000000" w:themeColor="text1"/>
                <w14:textFill>
                  <w14:solidFill>
                    <w14:schemeClr w14:val="tx1"/>
                  </w14:solidFill>
                </w14:textFill>
              </w:rPr>
            </w:pPr>
            <w:r>
              <w:rPr>
                <w:rFonts w:hint="eastAsia" w:cs="Times New Roman"/>
              </w:rPr>
              <w:t>通用病虫害，烟草无高精度模型</w:t>
            </w:r>
          </w:p>
        </w:tc>
        <w:tc>
          <w:tcPr>
            <w:tcW w:w="1469" w:type="dxa"/>
            <w:shd w:val="clear" w:color="auto" w:fill="F2F2F2"/>
            <w:vAlign w:val="center"/>
          </w:tcPr>
          <w:p w14:paraId="575AFD50">
            <w:pPr>
              <w:ind w:firstLine="0" w:firstLineChars="0"/>
              <w:jc w:val="center"/>
              <w:rPr>
                <w:rFonts w:cs="Times New Roman"/>
                <w:color w:val="000000" w:themeColor="text1"/>
                <w14:textFill>
                  <w14:solidFill>
                    <w14:schemeClr w14:val="tx1"/>
                  </w14:solidFill>
                </w14:textFill>
              </w:rPr>
            </w:pPr>
            <w:r>
              <w:rPr>
                <w:rFonts w:cs="Times New Roman"/>
              </w:rPr>
              <w:t>通用作物，无烟草专项</w:t>
            </w:r>
          </w:p>
        </w:tc>
        <w:tc>
          <w:tcPr>
            <w:tcW w:w="1469" w:type="dxa"/>
            <w:shd w:val="clear" w:color="auto" w:fill="F2F2F2"/>
            <w:vAlign w:val="center"/>
          </w:tcPr>
          <w:p w14:paraId="58B4B81C">
            <w:pPr>
              <w:ind w:firstLine="0" w:firstLineChars="0"/>
              <w:jc w:val="center"/>
              <w:rPr>
                <w:rFonts w:cs="Times New Roman"/>
                <w:color w:val="000000" w:themeColor="text1"/>
                <w14:textFill>
                  <w14:solidFill>
                    <w14:schemeClr w14:val="tx1"/>
                  </w14:solidFill>
                </w14:textFill>
              </w:rPr>
            </w:pPr>
            <w:r>
              <w:rPr>
                <w:rFonts w:cs="Times New Roman"/>
              </w:rPr>
              <w:t>拍照</w:t>
            </w:r>
            <w:r>
              <w:rPr>
                <w:rFonts w:hint="eastAsia" w:cs="Times New Roman"/>
              </w:rPr>
              <w:t>即可</w:t>
            </w:r>
            <w:r>
              <w:rPr>
                <w:rFonts w:cs="Times New Roman"/>
              </w:rPr>
              <w:t>识别，</w:t>
            </w:r>
            <w:r>
              <w:rPr>
                <w:rFonts w:hint="eastAsia" w:cs="Times New Roman"/>
              </w:rPr>
              <w:t>但烟草</w:t>
            </w:r>
            <w:r>
              <w:rPr>
                <w:rFonts w:cs="Times New Roman"/>
              </w:rPr>
              <w:t>针对性不足</w:t>
            </w:r>
          </w:p>
        </w:tc>
        <w:tc>
          <w:tcPr>
            <w:tcW w:w="1889" w:type="dxa"/>
            <w:shd w:val="clear" w:color="auto" w:fill="F2F2F2"/>
            <w:vAlign w:val="center"/>
          </w:tcPr>
          <w:p w14:paraId="2807E00B">
            <w:pPr>
              <w:ind w:firstLine="0" w:firstLineChars="0"/>
              <w:jc w:val="center"/>
              <w:rPr>
                <w:rFonts w:cs="Times New Roman"/>
                <w:color w:val="000000" w:themeColor="text1"/>
                <w14:textFill>
                  <w14:solidFill>
                    <w14:schemeClr w14:val="tx1"/>
                  </w14:solidFill>
                </w14:textFill>
              </w:rPr>
            </w:pPr>
            <w:r>
              <w:rPr>
                <w:rFonts w:hint="eastAsia" w:cs="Times New Roman"/>
              </w:rPr>
              <w:t>无烟草病害识别</w:t>
            </w:r>
          </w:p>
        </w:tc>
      </w:tr>
      <w:tr w14:paraId="6C5B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60D6D644">
            <w:pPr>
              <w:ind w:firstLine="0" w:firstLineChars="0"/>
              <w:jc w:val="center"/>
              <w:rPr>
                <w:rFonts w:cs="Times New Roman"/>
                <w:color w:val="000000" w:themeColor="text1"/>
                <w14:textFill>
                  <w14:solidFill>
                    <w14:schemeClr w14:val="tx1"/>
                  </w14:solidFill>
                </w14:textFill>
              </w:rPr>
            </w:pPr>
            <w:r>
              <w:rPr>
                <w:rFonts w:hint="eastAsia" w:cs="Times New Roman"/>
              </w:rPr>
              <w:t>托普云农TPCB-II-C 7.0 plus智能虫情测报灯</w:t>
            </w:r>
          </w:p>
        </w:tc>
        <w:tc>
          <w:tcPr>
            <w:tcW w:w="1531" w:type="dxa"/>
            <w:shd w:val="clear" w:color="auto" w:fill="F2F2F2"/>
            <w:vAlign w:val="center"/>
          </w:tcPr>
          <w:p w14:paraId="2CE6C9BE">
            <w:pPr>
              <w:ind w:firstLine="0" w:firstLineChars="0"/>
              <w:jc w:val="center"/>
              <w:rPr>
                <w:rFonts w:cs="Times New Roman"/>
                <w:color w:val="000000" w:themeColor="text1"/>
                <w14:textFill>
                  <w14:solidFill>
                    <w14:schemeClr w14:val="tx1"/>
                  </w14:solidFill>
                </w14:textFill>
              </w:rPr>
            </w:pPr>
            <w:r>
              <w:rPr>
                <w:rFonts w:hint="eastAsia" w:cs="Times New Roman"/>
              </w:rPr>
              <w:t>虫情为主，叶片病害识别弱</w:t>
            </w:r>
          </w:p>
        </w:tc>
        <w:tc>
          <w:tcPr>
            <w:tcW w:w="1469" w:type="dxa"/>
            <w:shd w:val="clear" w:color="auto" w:fill="F2F2F2"/>
            <w:vAlign w:val="center"/>
          </w:tcPr>
          <w:p w14:paraId="2CD64C1A">
            <w:pPr>
              <w:ind w:firstLine="0" w:firstLineChars="0"/>
              <w:jc w:val="center"/>
              <w:rPr>
                <w:rFonts w:cs="Times New Roman"/>
                <w:color w:val="000000" w:themeColor="text1"/>
                <w14:textFill>
                  <w14:solidFill>
                    <w14:schemeClr w14:val="tx1"/>
                  </w14:solidFill>
                </w14:textFill>
              </w:rPr>
            </w:pPr>
            <w:r>
              <w:rPr>
                <w:rFonts w:cs="Times New Roman"/>
              </w:rPr>
              <w:t>广谱农业，无烟草</w:t>
            </w:r>
            <w:r>
              <w:rPr>
                <w:rFonts w:hint="eastAsia" w:cs="Times New Roman"/>
              </w:rPr>
              <w:t>专项</w:t>
            </w:r>
            <w:r>
              <w:rPr>
                <w:rFonts w:cs="Times New Roman"/>
              </w:rPr>
              <w:t>优化</w:t>
            </w:r>
          </w:p>
        </w:tc>
        <w:tc>
          <w:tcPr>
            <w:tcW w:w="1469" w:type="dxa"/>
            <w:shd w:val="clear" w:color="auto" w:fill="F2F2F2"/>
            <w:vAlign w:val="center"/>
          </w:tcPr>
          <w:p w14:paraId="34323F43">
            <w:pPr>
              <w:ind w:firstLine="0" w:firstLineChars="0"/>
              <w:jc w:val="center"/>
              <w:rPr>
                <w:rFonts w:cs="Times New Roman"/>
                <w:color w:val="000000" w:themeColor="text1"/>
                <w14:textFill>
                  <w14:solidFill>
                    <w14:schemeClr w14:val="tx1"/>
                  </w14:solidFill>
                </w14:textFill>
              </w:rPr>
            </w:pPr>
            <w:r>
              <w:rPr>
                <w:rFonts w:hint="eastAsia" w:cs="Times New Roman"/>
              </w:rPr>
              <w:t>面向机构，农户使用门槛高</w:t>
            </w:r>
          </w:p>
        </w:tc>
        <w:tc>
          <w:tcPr>
            <w:tcW w:w="1889" w:type="dxa"/>
            <w:shd w:val="clear" w:color="auto" w:fill="F2F2F2"/>
            <w:vAlign w:val="center"/>
          </w:tcPr>
          <w:p w14:paraId="06B1C190">
            <w:pPr>
              <w:ind w:firstLine="0" w:firstLineChars="0"/>
              <w:jc w:val="center"/>
              <w:rPr>
                <w:rFonts w:cs="Times New Roman"/>
                <w:color w:val="000000" w:themeColor="text1"/>
                <w14:textFill>
                  <w14:solidFill>
                    <w14:schemeClr w14:val="tx1"/>
                  </w14:solidFill>
                </w14:textFill>
              </w:rPr>
            </w:pPr>
            <w:r>
              <w:rPr>
                <w:rFonts w:cs="Times New Roman"/>
              </w:rPr>
              <w:t>基础</w:t>
            </w:r>
            <w:r>
              <w:rPr>
                <w:rFonts w:hint="eastAsia" w:cs="Times New Roman"/>
              </w:rPr>
              <w:t>性</w:t>
            </w:r>
            <w:r>
              <w:rPr>
                <w:rFonts w:cs="Times New Roman"/>
              </w:rPr>
              <w:t>识别，无</w:t>
            </w:r>
            <w:r>
              <w:rPr>
                <w:rFonts w:hint="eastAsia" w:cs="Times New Roman"/>
              </w:rPr>
              <w:t>具体</w:t>
            </w:r>
            <w:r>
              <w:rPr>
                <w:rFonts w:cs="Times New Roman"/>
              </w:rPr>
              <w:t>分级</w:t>
            </w:r>
          </w:p>
        </w:tc>
      </w:tr>
      <w:tr w14:paraId="47A9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tblHeader/>
        </w:trPr>
        <w:tc>
          <w:tcPr>
            <w:tcW w:w="1939" w:type="dxa"/>
            <w:shd w:val="clear" w:color="auto" w:fill="F2F2F2"/>
            <w:vAlign w:val="center"/>
          </w:tcPr>
          <w:p w14:paraId="0A27E032">
            <w:pPr>
              <w:ind w:firstLine="0" w:firstLineChars="0"/>
              <w:jc w:val="center"/>
              <w:rPr>
                <w:rFonts w:cs="Times New Roman"/>
                <w:color w:val="000000" w:themeColor="text1"/>
                <w14:textFill>
                  <w14:solidFill>
                    <w14:schemeClr w14:val="tx1"/>
                  </w14:solidFill>
                </w14:textFill>
              </w:rPr>
            </w:pPr>
            <w:r>
              <w:rPr>
                <w:rFonts w:hint="eastAsia" w:cs="Times New Roman"/>
              </w:rPr>
              <w:t>YOLO-ESN模型</w:t>
            </w:r>
          </w:p>
        </w:tc>
        <w:tc>
          <w:tcPr>
            <w:tcW w:w="1531" w:type="dxa"/>
            <w:shd w:val="clear" w:color="auto" w:fill="F2F2F2"/>
            <w:vAlign w:val="center"/>
          </w:tcPr>
          <w:p w14:paraId="36D09071">
            <w:pPr>
              <w:ind w:firstLine="0" w:firstLineChars="0"/>
              <w:jc w:val="center"/>
              <w:rPr>
                <w:rFonts w:cs="Times New Roman"/>
                <w:color w:val="000000" w:themeColor="text1"/>
                <w:szCs w:val="20"/>
                <w14:textFill>
                  <w14:solidFill>
                    <w14:schemeClr w14:val="tx1"/>
                  </w14:solidFill>
                </w14:textFill>
              </w:rPr>
            </w:pPr>
            <w:r>
              <w:rPr>
                <w:rFonts w:hint="eastAsia" w:cs="Times New Roman"/>
                <w:szCs w:val="20"/>
              </w:rPr>
              <w:t>玉米螟虫洞检测精度高，无法识别烟草病害</w:t>
            </w:r>
          </w:p>
        </w:tc>
        <w:tc>
          <w:tcPr>
            <w:tcW w:w="1469" w:type="dxa"/>
            <w:shd w:val="clear" w:color="auto" w:fill="F2F2F2"/>
            <w:vAlign w:val="center"/>
          </w:tcPr>
          <w:p w14:paraId="7A421451">
            <w:pPr>
              <w:ind w:firstLine="0" w:firstLineChars="0"/>
              <w:jc w:val="center"/>
              <w:rPr>
                <w:rFonts w:cs="Times New Roman"/>
                <w:color w:val="000000" w:themeColor="text1"/>
                <w14:textFill>
                  <w14:solidFill>
                    <w14:schemeClr w14:val="tx1"/>
                  </w14:solidFill>
                </w14:textFill>
              </w:rPr>
            </w:pPr>
            <w:r>
              <w:rPr>
                <w:rFonts w:cs="Times New Roman"/>
              </w:rPr>
              <w:t>玉米大田优化，不适配烟田场景</w:t>
            </w:r>
          </w:p>
        </w:tc>
        <w:tc>
          <w:tcPr>
            <w:tcW w:w="1469" w:type="dxa"/>
            <w:shd w:val="clear" w:color="auto" w:fill="F2F2F2"/>
            <w:vAlign w:val="center"/>
          </w:tcPr>
          <w:p w14:paraId="54125C63">
            <w:pPr>
              <w:ind w:firstLine="0" w:firstLineChars="0"/>
              <w:jc w:val="center"/>
              <w:rPr>
                <w:rFonts w:cs="Times New Roman"/>
                <w:color w:val="000000" w:themeColor="text1"/>
                <w14:textFill>
                  <w14:solidFill>
                    <w14:schemeClr w14:val="tx1"/>
                  </w14:solidFill>
                </w14:textFill>
              </w:rPr>
            </w:pPr>
            <w:r>
              <w:rPr>
                <w:rFonts w:hint="eastAsia" w:cs="Times New Roman"/>
              </w:rPr>
              <w:t>科研实验级，无农户应用场景</w:t>
            </w:r>
          </w:p>
        </w:tc>
        <w:tc>
          <w:tcPr>
            <w:tcW w:w="1889" w:type="dxa"/>
            <w:shd w:val="clear" w:color="auto" w:fill="F2F2F2"/>
            <w:vAlign w:val="center"/>
          </w:tcPr>
          <w:p w14:paraId="5F6F30A2">
            <w:pPr>
              <w:ind w:firstLine="0" w:firstLineChars="0"/>
              <w:jc w:val="center"/>
              <w:rPr>
                <w:rFonts w:cs="Times New Roman"/>
                <w:color w:val="000000" w:themeColor="text1"/>
                <w14:textFill>
                  <w14:solidFill>
                    <w14:schemeClr w14:val="tx1"/>
                  </w14:solidFill>
                </w14:textFill>
              </w:rPr>
            </w:pPr>
            <w:r>
              <w:rPr>
                <w:rFonts w:cs="Times New Roman"/>
              </w:rPr>
              <w:t>完全不支持</w:t>
            </w:r>
          </w:p>
        </w:tc>
      </w:tr>
      <w:tr w14:paraId="5FA7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tblHeader/>
        </w:trPr>
        <w:tc>
          <w:tcPr>
            <w:tcW w:w="1939" w:type="dxa"/>
            <w:shd w:val="clear" w:color="auto" w:fill="F2F2F2"/>
            <w:vAlign w:val="center"/>
          </w:tcPr>
          <w:p w14:paraId="50C17538">
            <w:pPr>
              <w:ind w:firstLine="0" w:firstLineChars="0"/>
              <w:jc w:val="center"/>
              <w:rPr>
                <w:rFonts w:cs="Times New Roman"/>
              </w:rPr>
            </w:pPr>
            <w:r>
              <w:rPr>
                <w:rFonts w:hint="eastAsia" w:cs="Times New Roman"/>
              </w:rPr>
              <w:t>叶擎慧航</w:t>
            </w:r>
          </w:p>
        </w:tc>
        <w:tc>
          <w:tcPr>
            <w:tcW w:w="1531" w:type="dxa"/>
            <w:shd w:val="clear" w:color="auto" w:fill="F2F2F2"/>
            <w:vAlign w:val="center"/>
          </w:tcPr>
          <w:p w14:paraId="28BACEFF">
            <w:pPr>
              <w:ind w:firstLine="0" w:firstLineChars="0"/>
              <w:jc w:val="center"/>
              <w:rPr>
                <w:rFonts w:cs="Times New Roman"/>
              </w:rPr>
            </w:pPr>
            <w:r>
              <w:rPr>
                <w:rFonts w:hint="eastAsia" w:cs="Times New Roman"/>
              </w:rPr>
              <w:t>能准确检测出缺素及病虫害区域</w:t>
            </w:r>
          </w:p>
        </w:tc>
        <w:tc>
          <w:tcPr>
            <w:tcW w:w="1469" w:type="dxa"/>
            <w:shd w:val="clear" w:color="auto" w:fill="F2F2F2"/>
            <w:vAlign w:val="center"/>
          </w:tcPr>
          <w:p w14:paraId="21A3C476">
            <w:pPr>
              <w:ind w:firstLine="0" w:firstLineChars="0"/>
              <w:jc w:val="center"/>
              <w:rPr>
                <w:rFonts w:cs="Times New Roman"/>
              </w:rPr>
            </w:pPr>
            <w:r>
              <w:rPr>
                <w:rFonts w:cs="Times New Roman"/>
              </w:rPr>
              <w:t>适配烟田复杂场景，鲁棒性强</w:t>
            </w:r>
          </w:p>
        </w:tc>
        <w:tc>
          <w:tcPr>
            <w:tcW w:w="1469" w:type="dxa"/>
            <w:shd w:val="clear" w:color="auto" w:fill="F2F2F2"/>
            <w:vAlign w:val="center"/>
          </w:tcPr>
          <w:p w14:paraId="22B4A2B5">
            <w:pPr>
              <w:ind w:firstLine="0" w:firstLineChars="0"/>
              <w:jc w:val="center"/>
              <w:rPr>
                <w:rFonts w:cs="Times New Roman" w:eastAsiaTheme="minorEastAsia"/>
              </w:rPr>
            </w:pPr>
            <w:r>
              <w:rPr>
                <w:rFonts w:hint="eastAsia" w:cs="Times New Roman"/>
              </w:rPr>
              <w:t>操作简单，用户可操作性强</w:t>
            </w:r>
          </w:p>
        </w:tc>
        <w:tc>
          <w:tcPr>
            <w:tcW w:w="1889" w:type="dxa"/>
            <w:shd w:val="clear" w:color="auto" w:fill="F2F2F2"/>
            <w:vAlign w:val="center"/>
          </w:tcPr>
          <w:p w14:paraId="06D2CA4E">
            <w:pPr>
              <w:ind w:firstLine="0" w:firstLineChars="0"/>
              <w:jc w:val="center"/>
              <w:rPr>
                <w:rFonts w:cs="Times New Roman"/>
              </w:rPr>
            </w:pPr>
            <w:r>
              <w:rPr>
                <w:rFonts w:cs="Times New Roman"/>
              </w:rPr>
              <w:t>支持识别、分级</w:t>
            </w:r>
            <w:r>
              <w:rPr>
                <w:rFonts w:hint="eastAsia" w:cs="Times New Roman"/>
              </w:rPr>
              <w:t>，并能给出施肥打药</w:t>
            </w:r>
            <w:r>
              <w:rPr>
                <w:rFonts w:cs="Times New Roman"/>
              </w:rPr>
              <w:t>建议</w:t>
            </w:r>
          </w:p>
        </w:tc>
      </w:tr>
    </w:tbl>
    <w:p w14:paraId="3277C5EC">
      <w:pPr>
        <w:widowControl/>
        <w:ind w:firstLine="360"/>
        <w:jc w:val="center"/>
        <w:rPr>
          <w:rFonts w:hint="eastAsia" w:ascii="宋体" w:hAnsi="宋体" w:cs="宋体"/>
          <w:kern w:val="0"/>
          <w:sz w:val="18"/>
          <w:szCs w:val="18"/>
          <w:lang w:bidi="ar"/>
        </w:rPr>
      </w:pPr>
      <w:r>
        <w:rPr>
          <w:rFonts w:hint="eastAsia" w:ascii="宋体" w:hAnsi="宋体" w:cs="宋体"/>
          <w:kern w:val="0"/>
          <w:sz w:val="18"/>
          <w:szCs w:val="18"/>
          <w:lang w:bidi="ar"/>
        </w:rPr>
        <w:t>表</w:t>
      </w:r>
      <w:r>
        <w:rPr>
          <w:rFonts w:hint="eastAsia" w:ascii="宋体" w:hAnsi="宋体" w:cs="宋体"/>
          <w:kern w:val="0"/>
          <w:sz w:val="18"/>
          <w:szCs w:val="18"/>
          <w:lang w:val="en-US" w:eastAsia="zh-CN" w:bidi="ar"/>
        </w:rPr>
        <w:t>2</w:t>
      </w:r>
      <w:r>
        <w:rPr>
          <w:rFonts w:hint="eastAsia" w:ascii="宋体" w:hAnsi="宋体" w:cs="宋体"/>
          <w:kern w:val="0"/>
          <w:sz w:val="18"/>
          <w:szCs w:val="18"/>
          <w:lang w:bidi="ar"/>
        </w:rPr>
        <w:t>.1 现有市场成品及实现模型</w:t>
      </w:r>
    </w:p>
    <w:p w14:paraId="051F4FC4">
      <w:pPr>
        <w:pStyle w:val="4"/>
        <w:rPr>
          <w:rFonts w:hint="eastAsia"/>
        </w:rPr>
      </w:pPr>
      <w:bookmarkStart w:id="25" w:name="_Toc28563"/>
      <w:r>
        <w:rPr>
          <w:rFonts w:ascii="黑体" w:hAnsi="黑体" w:cs="黑体"/>
          <w:lang w:bidi="ar"/>
        </w:rPr>
        <w:t>2.3.</w:t>
      </w:r>
      <w:r>
        <w:rPr>
          <w:rFonts w:hint="eastAsia" w:ascii="黑体" w:hAnsi="黑体" w:cs="黑体"/>
          <w:lang w:bidi="ar"/>
        </w:rPr>
        <w:t xml:space="preserve"> </w:t>
      </w:r>
      <w:r>
        <w:rPr>
          <w:rFonts w:hint="eastAsia"/>
        </w:rPr>
        <w:t>项目要解决的痛点问题</w:t>
      </w:r>
      <w:bookmarkEnd w:id="25"/>
    </w:p>
    <w:p w14:paraId="5C33A71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结合烟草种植的实际应用场景、行业发展需求与国内外研究现状，本项目需解决烟草缺素及病虫害检测与精准农资施用领域的四大核心痛点，这些痛点均为烟草种植产业中真实存在、亟待解决的问题，直接制约着烟草产业的智能化、高质量发展。</w:t>
      </w:r>
    </w:p>
    <w:p w14:paraId="1AF2DB94">
      <w:pPr>
        <w:pStyle w:val="5"/>
        <w:numPr>
          <w:ilvl w:val="2"/>
          <w:numId w:val="0"/>
        </w:numPr>
      </w:pPr>
      <w:bookmarkStart w:id="26" w:name="_Toc15433"/>
      <w:r>
        <w:rPr>
          <w:rFonts w:hint="default" w:ascii="黑体" w:hAnsi="黑体" w:cs="黑体"/>
          <w:lang w:bidi="ar"/>
        </w:rPr>
        <w:t>2.3.1.</w:t>
      </w:r>
      <w:r>
        <w:t>缺素及病虫害识别的精准性与实时性不足</w:t>
      </w:r>
      <w:bookmarkEnd w:id="26"/>
    </w:p>
    <w:p w14:paraId="01B4C2C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传统人工识别受经验影响大，误判率高，且仅能识别明显的缺素与病虫害症状，无法实现早期检测；现有技术多采用单一数据源进行烟草检测，受光照、天气、土壤背景等环境因素干扰大，难以同时精准识别八种烟草主要缺素类型与白星病、黄叶病、烟青虫、叶厚病4种病虫害，且不同缺素类型、病虫害之间的混淆率较高。同时，现有烟草检测技术多依赖云端计算，需将无人机采集的数据传输至云端进行模型推理，存在数据传输延迟、云端计算压力大等问题，无法实现田间实时检测与决策，导致缺素问题无法及时处理、病虫害无法快速防控，造成烟草生长损失。</w:t>
      </w:r>
    </w:p>
    <w:p w14:paraId="32BB6D45">
      <w:pPr>
        <w:pStyle w:val="5"/>
        <w:numPr>
          <w:ilvl w:val="2"/>
          <w:numId w:val="0"/>
        </w:numPr>
      </w:pPr>
      <w:bookmarkStart w:id="27" w:name="_Toc25158"/>
      <w:r>
        <w:rPr>
          <w:rFonts w:hint="default" w:ascii="黑体" w:hAnsi="黑体" w:cs="黑体"/>
          <w:lang w:bidi="ar"/>
        </w:rPr>
        <w:t>2.3.2.</w:t>
      </w:r>
      <w:r>
        <w:t>农资施用策略的科学性与个性化欠缺</w:t>
      </w:r>
      <w:bookmarkEnd w:id="27"/>
    </w:p>
    <w:p w14:paraId="5235A9B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现有烟草施肥施药方案多依赖人工经验或单一数据，未充分融合实时缺素与病虫害诊断、生育期营养需求、土壤性状、气象条件等多源信息，施用策略针对性与科学性不足。同时，未兼顾地块内缺素分布、病虫害发生程度与区域差异，仍采用统一施用模式，难以实现按需变量施肥、分区精准施药，易出现局部养分供给失衡、防控不到位或过量用药，影响烟草长势与均匀度，制约烟叶品质提升，还可能造成烟叶农药残留超标。</w:t>
      </w:r>
    </w:p>
    <w:p w14:paraId="3193926C">
      <w:pPr>
        <w:pStyle w:val="5"/>
        <w:numPr>
          <w:ilvl w:val="2"/>
          <w:numId w:val="0"/>
        </w:numPr>
      </w:pPr>
      <w:bookmarkStart w:id="28" w:name="_Toc13616"/>
      <w:r>
        <w:rPr>
          <w:rFonts w:hint="default" w:ascii="黑体" w:hAnsi="黑体" w:cs="黑体"/>
          <w:lang w:bidi="ar"/>
        </w:rPr>
        <w:t>2.3.3.</w:t>
      </w:r>
      <w:r>
        <w:t>复杂地形下的作业适配性差</w:t>
      </w:r>
      <w:bookmarkEnd w:id="28"/>
    </w:p>
    <w:p w14:paraId="5E63FAB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烟草主产区多分布于丘陵、梯田等复杂地形，而现有无人机的路径规划算法多针对平原地块设计，缺乏地形曲率权重考量与动态避障机制，在复杂地形中开展数据采集与施肥施药作业时，存在地块覆盖率低、漏喷率高、飞行安全性差等问题。同时，部分无人机的载重、续航与喷洒精度难以适配复杂地形下的烟草种植管理需求，且多为单一施肥或单一施药设备，缺乏施肥施药一体化作业能力，无法实现全地块的均匀数据采集与精准变量农资施用，成为无人机技术在烟草种植领域落地应用的核心障碍。</w:t>
      </w:r>
    </w:p>
    <w:p w14:paraId="15A7B673">
      <w:pPr>
        <w:pStyle w:val="5"/>
        <w:numPr>
          <w:ilvl w:val="2"/>
          <w:numId w:val="0"/>
        </w:numPr>
      </w:pPr>
      <w:bookmarkStart w:id="29" w:name="_Toc20098"/>
      <w:r>
        <w:rPr>
          <w:rFonts w:hint="default" w:ascii="黑体" w:hAnsi="黑体" w:cs="黑体"/>
          <w:lang w:bidi="ar"/>
        </w:rPr>
        <w:t>2.3.4.</w:t>
      </w:r>
      <w:r>
        <w:t>系统的集成性与易用性不足</w:t>
      </w:r>
      <w:bookmarkEnd w:id="29"/>
    </w:p>
    <w:p w14:paraId="0A7F15B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现有烟草种植相关技术与设备多为分散式设计，缺素检测工具、病虫害识别设备、施肥施药设备、数据管理系统相互独立，缺乏“数据采集—缺素及病虫害检测—农资决策—精准作业—数据管理”的一体化集成，种植户需要操作多套设备与系统，作业流程繁琐，效率低下。同时，部分农业智能化系统的操作界面复杂，对种植户的技术水平要求较高，而烟草种植户以中老年为主，技术接受能力较弱，导致先进技术与设备难以大规模推广应用，无法真正服务于烟草种植产业的智能化转型。</w:t>
      </w:r>
    </w:p>
    <w:p w14:paraId="03AB1C66">
      <w:pPr>
        <w:pStyle w:val="4"/>
        <w:rPr>
          <w:rFonts w:hint="eastAsia"/>
        </w:rPr>
      </w:pPr>
      <w:bookmarkStart w:id="30" w:name="_Toc27214"/>
      <w:r>
        <w:rPr>
          <w:rFonts w:ascii="黑体" w:hAnsi="黑体" w:cs="黑体"/>
          <w:lang w:bidi="ar"/>
        </w:rPr>
        <w:t>2.4.</w:t>
      </w:r>
      <w:r>
        <w:rPr>
          <w:rFonts w:hint="eastAsia" w:ascii="黑体" w:hAnsi="黑体" w:cs="黑体"/>
          <w:lang w:bidi="ar"/>
        </w:rPr>
        <w:t xml:space="preserve"> </w:t>
      </w:r>
      <w:r>
        <w:rPr>
          <w:rFonts w:hint="eastAsia"/>
        </w:rPr>
        <w:t>解决问题的思路</w:t>
      </w:r>
      <w:bookmarkEnd w:id="30"/>
    </w:p>
    <w:p w14:paraId="05B6CA8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针对烟草缺素及病虫害检测与精准农资施用领域的精准性、实时性、科学性、适配性等核心痛点，本项目提出“多维度检测指标体系构建—多模态数据融合技术路径—轻量化边缘计算架构设计—多源信息协同决策—地形自适应路径规划优化”的全链路解决方案，以技术创新构建集检测、决策、施肥施药、管理于一体的烟草缺素及病虫害精准检测与智能农资施用系统，实现烟草种植管理的自动化、精准化、智能化，形成可落地、可复制的烟草精准农业解决方案。</w:t>
      </w:r>
    </w:p>
    <w:p w14:paraId="2EBF768B">
      <w:pPr>
        <w:pStyle w:val="5"/>
        <w:numPr>
          <w:ilvl w:val="2"/>
          <w:numId w:val="0"/>
        </w:numPr>
      </w:pPr>
      <w:bookmarkStart w:id="31" w:name="_Toc17871"/>
      <w:r>
        <w:rPr>
          <w:rFonts w:hint="default" w:ascii="黑体" w:hAnsi="黑体" w:cs="黑体"/>
          <w:lang w:bidi="ar"/>
        </w:rPr>
        <w:t>2.4.1.</w:t>
      </w:r>
      <w:r>
        <w:t>多维度检测指标体系构建</w:t>
      </w:r>
      <w:bookmarkEnd w:id="31"/>
    </w:p>
    <w:p w14:paraId="01C6414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构建涵盖烟草表观形态特征、光谱生化特征、生长状态特征的多维度检测指标体系，同时适配缺素识别与白星病、黄叶病、烟青虫、叶厚病4种病虫害识别需求，突破单一指标检测的局限性，提升检测识别的精准性与全面性，其中包括表观形态、光谱生化和生长状态三个特征：</w:t>
      </w:r>
    </w:p>
    <w:p w14:paraId="3A00E7A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表观形态特征</w:t>
      </w:r>
      <w:r>
        <w:rPr>
          <w:rFonts w:hint="eastAsia" w:ascii="等线" w:hAnsi="等线" w:eastAsia="等线" w:cs="等线"/>
          <w:kern w:val="0"/>
          <w:lang w:bidi="ar"/>
        </w:rPr>
        <w:t>：包括烟草叶片的颜色（叶色深浅、黄化部位、病斑色泽）、纹理（叶片纹路、褶皱、虫孔）、株型（株高、叶面积、分枝情况）、病虫害典型特征（白星病的白色星状病斑、烟青虫的虫蛀痕迹等），通过RGB图像提取，反映烟草缺素与病虫害的外在直观特征。</w:t>
      </w:r>
    </w:p>
    <w:p w14:paraId="0FE2E5F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光谱生化特征</w:t>
      </w:r>
      <w:r>
        <w:rPr>
          <w:rFonts w:hint="eastAsia" w:ascii="等线" w:hAnsi="等线" w:eastAsia="等线" w:cs="等线"/>
          <w:kern w:val="0"/>
          <w:lang w:bidi="ar"/>
        </w:rPr>
        <w:t>：包括不同波段的反射率、植被指数（NDVI、RVI）、叶绿素含量等，通过多光谱传感器采集，反映烟草缺素的内在生化变化，以及病虫害侵袭后烟草的生理生化响应，实现缺素问题与病虫害的早期识别。</w:t>
      </w:r>
    </w:p>
    <w:p w14:paraId="6254670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生长状态特征</w:t>
      </w:r>
      <w:r>
        <w:rPr>
          <w:rFonts w:hint="eastAsia" w:ascii="等线" w:hAnsi="等线" w:eastAsia="等线" w:cs="等线"/>
          <w:kern w:val="0"/>
          <w:lang w:bidi="ar"/>
        </w:rPr>
        <w:t>：包括烟草的生长阶段（苗期、还苗期、伸根期、旺长期、成熟期）、生长速率、叶片数等，结合田间调查与数据采集结果确定，为缺素与病虫害识别、农资施用决策提供生长阶段依据。</w:t>
      </w:r>
    </w:p>
    <w:p w14:paraId="2F8FEE5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通过多维度指标的协同分析，建立烟草八种不同缺素类型，以及4种病虫害与检测指标之间的关联模型，实现对烟草八种主要缺素类型与4种病虫害的精准识别，降低环境因素干扰与误判率。</w:t>
      </w:r>
    </w:p>
    <w:p w14:paraId="2CF89688">
      <w:pPr>
        <w:pStyle w:val="5"/>
        <w:numPr>
          <w:ilvl w:val="2"/>
          <w:numId w:val="0"/>
        </w:numPr>
      </w:pPr>
      <w:bookmarkStart w:id="32" w:name="_Toc13326"/>
      <w:r>
        <w:rPr>
          <w:rFonts w:hint="default" w:ascii="黑体" w:hAnsi="黑体" w:cs="黑体"/>
          <w:lang w:bidi="ar"/>
        </w:rPr>
        <w:t>2.4.2.</w:t>
      </w:r>
      <w:r>
        <w:t>多模态数据融合技术路径</w:t>
      </w:r>
      <w:bookmarkEnd w:id="32"/>
    </w:p>
    <w:p w14:paraId="73FAF7C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采用数据层—特征层—决策层三级融合架构，实现RGB图像数据与多光谱数据的深度融合，充分整合烟草的表观形态特征与生化特征，同时适配缺素与病虫害识别需求，提升检测识别的准确率与稳定性：</w:t>
      </w:r>
    </w:p>
    <w:p w14:paraId="5E841CA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数据层融合</w:t>
      </w:r>
      <w:r>
        <w:rPr>
          <w:rFonts w:hint="eastAsia" w:ascii="等线" w:hAnsi="等线" w:eastAsia="等线" w:cs="等线"/>
          <w:kern w:val="0"/>
          <w:lang w:bidi="ar"/>
        </w:rPr>
        <w:t>：对无人机采集的RGB图像与多光谱数据进行预处理，包括图像去噪、校正、归一化，光谱数据的平滑、滤波、特征提取，以及多源数据的空间配准与格式统一，确保数据的一致性与有效性；同时针对烟草缺素与4种病虫害的特征，进行针对性的数据增强，提升模型的泛化能力。</w:t>
      </w:r>
    </w:p>
    <w:p w14:paraId="25E8D58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特征层融合</w:t>
      </w:r>
      <w:r>
        <w:rPr>
          <w:rFonts w:hint="eastAsia" w:ascii="等线" w:hAnsi="等线" w:eastAsia="等线" w:cs="等线"/>
          <w:kern w:val="0"/>
          <w:lang w:bidi="ar"/>
        </w:rPr>
        <w:t>：通过改进的特征提取算法，分别从RGB图像中提取烟草叶片的形态特征、病虫害典型特征向量，从多光谱数据中提取烟草的生化特征向量，采用特征拼接与注意力加权融合的方式，生成融合特征向量，突出与缺素识别、病虫害识别相关的核心特征，抑制无关特征干扰。</w:t>
      </w:r>
    </w:p>
    <w:p w14:paraId="565434C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决策层融合</w:t>
      </w:r>
      <w:r>
        <w:rPr>
          <w:rFonts w:hint="eastAsia" w:ascii="等线" w:hAnsi="等线" w:eastAsia="等线" w:cs="等线"/>
          <w:kern w:val="0"/>
          <w:lang w:bidi="ar"/>
        </w:rPr>
        <w:t>：将融合特征向量输入至轻量化深度学习模型，通过模型推理同时实现烟草缺素类型，以及病虫害类型、发生区域、危害程度的精准判断，同时进一步提升识别结果的准确性。</w:t>
      </w:r>
    </w:p>
    <w:p w14:paraId="187E7D5D">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通过三级多模态数据融合架构，有效降低光照、天气等环境因素对检测结果的干扰，实现烟草缺素与病虫害的精准、高效一体化识别。</w:t>
      </w:r>
    </w:p>
    <w:p w14:paraId="2371BC57">
      <w:pPr>
        <w:pStyle w:val="5"/>
        <w:numPr>
          <w:ilvl w:val="2"/>
          <w:numId w:val="0"/>
        </w:numPr>
      </w:pPr>
      <w:bookmarkStart w:id="33" w:name="_Toc32443"/>
      <w:r>
        <w:rPr>
          <w:rFonts w:hint="default" w:ascii="黑体" w:hAnsi="黑体" w:cs="黑体"/>
          <w:lang w:bidi="ar"/>
        </w:rPr>
        <w:t>2.4.3.</w:t>
      </w:r>
      <w:r>
        <w:t>轻量化边缘计算架构设计</w:t>
      </w:r>
      <w:bookmarkEnd w:id="33"/>
    </w:p>
    <w:p w14:paraId="1A2C862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针对无人机嵌入式平台的算力、功耗与实时性需求，采用模型轻量化与边缘计算技术，实现烟草缺素及病虫害检测的本地化、实时化处理，解决云端计算的延迟问题：</w:t>
      </w:r>
    </w:p>
    <w:p w14:paraId="10CACD0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模型轻量化优化</w:t>
      </w:r>
      <w:r>
        <w:rPr>
          <w:rFonts w:hint="eastAsia" w:ascii="等线" w:hAnsi="等线" w:eastAsia="等线" w:cs="等线"/>
          <w:kern w:val="0"/>
          <w:lang w:bidi="ar"/>
        </w:rPr>
        <w:t>：以ResNet和YOLOv8n为基础模型，通过通道剪枝、量化压缩、模型蒸馏等技术，去除模型中的冗余参数，将模型体积压缩至35MB以下，在保证缺素与病虫害识别准确率的前提下，大幅降低模型的算力与功耗需求；同时针对烟草4种病虫害与八种缺素类型的识别需求，对模型进行针对性优化，提升一体化识别效率。</w:t>
      </w:r>
    </w:p>
    <w:p w14:paraId="1E27DF2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边缘计算模块部署</w:t>
      </w:r>
      <w:r>
        <w:rPr>
          <w:rFonts w:hint="eastAsia" w:ascii="等线" w:hAnsi="等线" w:eastAsia="等线" w:cs="等线"/>
          <w:kern w:val="0"/>
          <w:lang w:bidi="ar"/>
        </w:rPr>
        <w:t>：在无人机上搭载NVIDIA Jetson Nano等嵌入式计算平台，部署轻量化后的缺素及病虫害识别模型，实现无人机采集数据的本地化预处理、特征提取与模型推理，无需将原始数据传输至云端，减少数据传输延迟，单帧处理时间≤0.8秒，满足田间实时检测需求。</w:t>
      </w:r>
    </w:p>
    <w:p w14:paraId="1F43023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边缘—云端协同</w:t>
      </w:r>
      <w:r>
        <w:rPr>
          <w:rFonts w:hint="eastAsia" w:ascii="等线" w:hAnsi="等线" w:eastAsia="等线" w:cs="等线"/>
          <w:kern w:val="0"/>
          <w:lang w:bidi="ar"/>
        </w:rPr>
        <w:t>：采用“边缘计算为主、云端计算为辅”的协同模式，无人机边缘端实现实时缺素及病虫害检测与初步分析，将脱敏后的检测结果、作业数据上传至云端平台，云端平台实现数据的存储、统计分析与可视化展示，为农资施用决策与种植管理提供数据支撑。</w:t>
      </w:r>
    </w:p>
    <w:p w14:paraId="5DF450E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同时，边缘计算架构避免了原始图像与光谱数据的云端传输，有效保护种植户的田间数据隐私，提升系统的数据安全性。</w:t>
      </w:r>
    </w:p>
    <w:p w14:paraId="74E4D6BA">
      <w:pPr>
        <w:pStyle w:val="5"/>
        <w:numPr>
          <w:ilvl w:val="2"/>
          <w:numId w:val="0"/>
        </w:numPr>
      </w:pPr>
      <w:bookmarkStart w:id="34" w:name="_Toc22376"/>
      <w:r>
        <w:rPr>
          <w:rFonts w:hint="default" w:ascii="黑体" w:hAnsi="黑体" w:cs="黑体"/>
          <w:lang w:bidi="ar"/>
        </w:rPr>
        <w:t>2.4.4.</w:t>
      </w:r>
      <w:r>
        <w:t>多源信息协同的农资施用策略生成</w:t>
      </w:r>
      <w:bookmarkEnd w:id="34"/>
    </w:p>
    <w:p w14:paraId="5252EF2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构建多源信息融合的烟草农资施用决策模型，突破单一数据驱动的农资施用模式，同时实现施肥与施药策略的科学化、个性化与精准化，满足烟草缺素补救与病虫害防控的双重需求：</w:t>
      </w:r>
    </w:p>
    <w:p w14:paraId="65214AC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多源输入参数整合</w:t>
      </w:r>
      <w:r>
        <w:rPr>
          <w:rFonts w:hint="eastAsia" w:ascii="等线" w:hAnsi="等线" w:eastAsia="等线" w:cs="等线"/>
          <w:kern w:val="0"/>
          <w:lang w:bidi="ar"/>
        </w:rPr>
        <w:t>：将无人机缺素及病虫害检测结果（缺素类型、程度、分布区域，病虫害类型、发生区域、危害程度）、烟草生长阶段、土壤数据（质地、养分含量、pH值）、气象数据（温度、湿度、降雨量、风速）、烟草品种特性等多源信息作为模型输入参数，全面考量影响烟草施肥、施药的关键因素。</w:t>
      </w:r>
    </w:p>
    <w:p w14:paraId="40E18D9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农资施用决策模型构建</w:t>
      </w:r>
      <w:r>
        <w:rPr>
          <w:rFonts w:hint="eastAsia" w:ascii="等线" w:hAnsi="等线" w:eastAsia="等线" w:cs="等线"/>
          <w:kern w:val="0"/>
          <w:lang w:bidi="ar"/>
        </w:rPr>
        <w:t>：基于烟草营养需求规律、病虫害防控准则、测土配方施肥理论与农药精准施用规范，分别建立肥料、农药施用决策子模型，科学计算肥料和农药类型、施用量、施药浓度、施用时间与方式；同时，考虑地块内不同区域的缺素分布、病虫害发生差异，生成变量施肥方案与精准施药方案，明确不同区域的施肥量、施药浓度与施用位置。</w:t>
      </w:r>
    </w:p>
    <w:p w14:paraId="3DD9CE7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人工灵活调整机制</w:t>
      </w:r>
      <w:r>
        <w:rPr>
          <w:rFonts w:hint="eastAsia" w:ascii="等线" w:hAnsi="等线" w:eastAsia="等线" w:cs="等线"/>
          <w:kern w:val="0"/>
          <w:lang w:bidi="ar"/>
        </w:rPr>
        <w:t>：系统支持种植户根据田间实际情况，手动调整施肥、施药方案的参数，兼顾模型的科学性与实际作业的灵活性，确保农资施用方案的可操作性；同时针对病虫害防控，预留绿色防控方案接口，适配烟草绿色种植的需求。</w:t>
      </w:r>
    </w:p>
    <w:p w14:paraId="036CAAF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通过多源信息协同决策，实现“缺什么补什么、缺多少补多少、虫病在哪防哪、轻重分级防控”的精准农资施用目标，提升肥料农药利用率，减少化肥农药浪费。</w:t>
      </w:r>
    </w:p>
    <w:p w14:paraId="17F72D1E">
      <w:pPr>
        <w:pStyle w:val="5"/>
        <w:numPr>
          <w:ilvl w:val="2"/>
          <w:numId w:val="0"/>
        </w:numPr>
      </w:pPr>
      <w:bookmarkStart w:id="35" w:name="_Toc30837"/>
      <w:r>
        <w:rPr>
          <w:rFonts w:hint="default" w:ascii="黑体" w:hAnsi="黑体" w:cs="黑体"/>
          <w:lang w:bidi="ar"/>
        </w:rPr>
        <w:t>2.4.5.</w:t>
      </w:r>
      <w:r>
        <w:t>地形自适应路径规划算法优化</w:t>
      </w:r>
      <w:bookmarkEnd w:id="35"/>
    </w:p>
    <w:p w14:paraId="47AB406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基于改进A*算法，引入地形曲率权重模型与动态避障机制，优化无人机的路径规划算法，提升无人机在丘陵、梯田等复杂地形中的作业适配性、覆盖率与安全性，同时适配施肥施药一体化作业需求：</w:t>
      </w:r>
    </w:p>
    <w:p w14:paraId="7B10B91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地形曲率权重模型</w:t>
      </w:r>
      <w:r>
        <w:rPr>
          <w:rFonts w:hint="eastAsia" w:ascii="等线" w:hAnsi="等线" w:eastAsia="等线" w:cs="等线"/>
          <w:kern w:val="0"/>
          <w:lang w:bidi="ar"/>
        </w:rPr>
        <w:t>：通过无人机搭载的LiDAR传感器采集地块的地形数据，分析地块的坡度、曲率、海拔等地形特征，为A*算法的路径搜索引入地形曲率权重，优先规划地形平坦、飞行安全的路径，同时确保路径的全覆盖性，避免检测与作业盲区；针对施肥施药不同作业需求，可动态调整路径密度。</w:t>
      </w:r>
    </w:p>
    <w:p w14:paraId="6BE0482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动态避障机制</w:t>
      </w:r>
      <w:r>
        <w:rPr>
          <w:rFonts w:hint="eastAsia" w:ascii="等线" w:hAnsi="等线" w:eastAsia="等线" w:cs="等线"/>
          <w:kern w:val="0"/>
          <w:lang w:bidi="ar"/>
        </w:rPr>
        <w:t>：利用LiDAR传感器与视觉传感器实时扫描无人机飞行前方的障碍物（树木、电线杆、地形凸起等），当检测到障碍物时，系统自动触发路径动态重规划，快速生成绕障路径，确保无人机飞行安全与作业连续性。</w:t>
      </w:r>
    </w:p>
    <w:p w14:paraId="65CBB74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作业参数动态调整</w:t>
      </w:r>
      <w:r>
        <w:rPr>
          <w:rFonts w:hint="eastAsia" w:ascii="等线" w:hAnsi="等线" w:eastAsia="等线" w:cs="等线"/>
          <w:kern w:val="0"/>
          <w:lang w:bidi="ar"/>
        </w:rPr>
        <w:t>：根据地形特征、缺素分布与病虫害发生情况，动态调整无人机的飞行高度、飞行速度、喷洒流量、施药浓度等作业参数，在复杂地形中保证数据采集的清晰度与施肥施药的精准性，将漏喷率控制在2%以内；同时支持施肥、施药模式的快速切换，满足一体化作业需求。</w:t>
      </w:r>
    </w:p>
    <w:p w14:paraId="3FF3916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同时，算法支持种植户手动规划航线与设置作业参数，适配不同烟草种植地块的实际需求，提升系统的易用性与实用性。</w:t>
      </w:r>
    </w:p>
    <w:p w14:paraId="6B85A25B">
      <w:pPr>
        <w:rPr>
          <w:rFonts w:hint="eastAsia"/>
        </w:rPr>
      </w:pPr>
    </w:p>
    <w:p w14:paraId="7E1E5573">
      <w:pPr>
        <w:pStyle w:val="14"/>
        <w:numPr>
          <w:ilvl w:val="0"/>
          <w:numId w:val="1"/>
        </w:numPr>
        <w:ind w:firstLineChars="0"/>
      </w:pPr>
      <w:r>
        <w:rPr>
          <w:rFonts w:hint="eastAsia"/>
          <w:sz w:val="40"/>
          <w:szCs w:val="40"/>
        </w:rPr>
        <w:t>方案实现</w:t>
      </w:r>
    </w:p>
    <w:p w14:paraId="0B0E5742">
      <w:pPr>
        <w:pStyle w:val="4"/>
        <w:rPr>
          <w:rFonts w:hint="eastAsia"/>
        </w:rPr>
      </w:pPr>
      <w:bookmarkStart w:id="36" w:name="_Toc383"/>
      <w:r>
        <w:rPr>
          <w:rFonts w:ascii="黑体" w:hAnsi="黑体" w:cs="黑体"/>
          <w:lang w:bidi="ar"/>
        </w:rPr>
        <w:t>3.1.</w:t>
      </w:r>
      <w:r>
        <w:rPr>
          <w:rFonts w:hint="eastAsia" w:ascii="黑体" w:hAnsi="黑体" w:cs="黑体"/>
          <w:lang w:bidi="ar"/>
        </w:rPr>
        <w:t xml:space="preserve"> </w:t>
      </w:r>
      <w:r>
        <w:t>总体技术方案与框架</w:t>
      </w:r>
      <w:bookmarkEnd w:id="36"/>
    </w:p>
    <w:p w14:paraId="74A2CA1D">
      <w:pPr>
        <w:pStyle w:val="5"/>
        <w:numPr>
          <w:ilvl w:val="2"/>
          <w:numId w:val="0"/>
        </w:numPr>
      </w:pPr>
      <w:bookmarkStart w:id="37" w:name="_Toc31504"/>
      <w:r>
        <w:rPr>
          <w:rFonts w:ascii="黑体" w:hAnsi="黑体" w:cs="黑体"/>
        </w:rPr>
        <w:t>3.1.1.</w:t>
      </w:r>
      <w:r>
        <w:t>技术路线设计</w:t>
      </w:r>
      <w:bookmarkEnd w:id="37"/>
    </w:p>
    <w:p w14:paraId="2460C572">
      <w:pPr>
        <w:pStyle w:val="6"/>
        <w:ind w:firstLine="482"/>
      </w:pPr>
      <w:r>
        <w:t>(1)需求分析</w:t>
      </w:r>
    </w:p>
    <w:p w14:paraId="0248886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烟草缺素与病害在田间往往表现为症状重叠、发生时期交错、环境因子耦合，因此需求分析不能只停留在“能识别”，还要明确识别粒度（如整株、叶片、病斑级）、可接受的误报漏报代价以及与农艺措施衔接的时效性。调研阶段宜采用田间踏查记录和历史植保档案相结合的方式，梳理氮、磷、钾及其他微量元素缺乏在叶色、叶形上的典型差异，并区分白星病、叶厚病等病害在病斑形态、扩展方式、部位分布上的特征谱，同时归纳山地烟区在地块破碎、坡度大、通行差条件下的作业痛点。</w:t>
      </w:r>
    </w:p>
    <w:p w14:paraId="0F186CE1">
      <w:pPr>
        <w:pStyle w:val="6"/>
        <w:numPr>
          <w:ilvl w:val="3"/>
          <w:numId w:val="0"/>
        </w:numPr>
        <w:tabs>
          <w:tab w:val="clear" w:pos="420"/>
        </w:tabs>
        <w:ind w:firstLine="420" w:firstLineChars="200"/>
      </w:pPr>
      <w:r>
        <w:t>(2)数据预处理与标注</w:t>
      </w:r>
    </w:p>
    <w:p w14:paraId="2AEC1F4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预处理的首要任务是提升跨天、跨地块、跨传感器的可比性。对RGB影像可采用白平衡、去雾/去噪、直方图均衡等手段抑制光照差异；对几何方面进行镜头畸变校正与必要的配准，为多模态融合奠定基础。多光谱数据需完成辐射定标、反射率归一化、波段配准，并对异常波段（云影、眩光）进行掩膜处理，减少“伪特征”进入模型。</w:t>
      </w:r>
    </w:p>
    <w:p w14:paraId="7973A47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对土壤与气象等结构化数据，应建立统一量纲与编码规范，执行缺失值处理、异常值检测与标准化/归一化。同时构建元数据体系，如：时间、地点、品种、生育期、设备参数等，保证样本可追溯与可复现实验。</w:t>
      </w:r>
    </w:p>
    <w:p w14:paraId="54BBDB5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标注环节需要明确任务形态：若以检测为主，可采用边界框并记录困难样本标签；若需要精确定位病斑或缺素区域，可引入实例分割或语义分割标注规范。质量控制上采用双人交叉标注和仲裁机制结合的方式，并用IoU、Dice等指标抽检一致性；类别不均衡时规划重采样策略与类别权重方案。</w:t>
      </w:r>
    </w:p>
    <w:p w14:paraId="3446031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为提升效率，可引入半自动预标注，如先用弱模型生成候选框再人工修正，但必须防止“错误标签自我强化”，因此需要独立验证集与人工复核门槛。最终形成训练/验证/测试划分，并预留域外场景集用于评估泛化，确保数据集不仅干净，而且能代表真实田间复杂性。</w:t>
      </w:r>
    </w:p>
    <w:p w14:paraId="75020333">
      <w:pPr>
        <w:pStyle w:val="6"/>
        <w:numPr>
          <w:ilvl w:val="3"/>
          <w:numId w:val="0"/>
        </w:numPr>
        <w:ind w:firstLine="420" w:firstLineChars="200"/>
      </w:pPr>
      <w:r>
        <w:t>(3)模型训练与优化</w:t>
      </w:r>
    </w:p>
    <w:p w14:paraId="7CF6A61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本项目采用YOLOv8n与ResNet18分工协同的混合架构：病害检测以YOLOv8n为轻量化检测主干，在RGB图像上完成病斑、虫害等目标的定位与分类；缺素识别以ResNet18为特征提取网络，在叶片或整幅图像上输出缺素类别及程度，必要时与多光谱分支特征进行融合，形成“检测—分类”双通路，避免单一网络同时承担异质任务导致的优化冲突。</w:t>
      </w:r>
    </w:p>
    <w:p w14:paraId="4F067BF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训练阶段在公开</w:t>
      </w:r>
      <w:r>
        <w:rPr>
          <w:rFonts w:hint="eastAsia" w:ascii="等线" w:hAnsi="等线" w:eastAsia="等线" w:cs="等线"/>
          <w:kern w:val="0"/>
          <w:lang w:val="en-US" w:eastAsia="zh-CN" w:bidi="ar"/>
        </w:rPr>
        <w:t>与</w:t>
      </w:r>
      <w:r>
        <w:rPr>
          <w:rFonts w:hint="eastAsia" w:ascii="等线" w:hAnsi="等线" w:eastAsia="等线" w:cs="等线"/>
          <w:kern w:val="0"/>
          <w:lang w:bidi="ar"/>
        </w:rPr>
        <w:t>自建烟草数据集上实施迁移学习：检测模型加载官方预训练权重后在烟草病害样本上微调；分类模型加载ImageNet预训练权重后分阶段冻结与解冻残差块，加快收敛并缓解小样本过拟合。数据增强除旋转、缩放、翻转外，还包括Mosaic、HSV色彩扰动、随机擦除、高斯噪声及模拟JPEG压缩等，以覆盖田间光照变化、运动模糊与移动端编解码失真；对光谱数据辅以波长偏移、平滑与噪声注入，提升多模态分支的稳健性。优化过程采用验证集监控、学习率调度与Early Stopping，并引入对抗训练与鲁棒性评测子集，平衡干净精度与复杂成像条件下的稳定性。</w:t>
      </w:r>
    </w:p>
    <w:p w14:paraId="1D6B69B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部署侧面向无人机吊舱、边缘计算盒等资源受限场景，采用模型剪枝、通道裁剪、知识蒸馏等结构轻量化手段，并结合ONNX导出与TensorRT FP16/INT8量化，在可控精度损失下压缩模型体积、提升推理帧率与能效比，满足机载实时检测与航线决策的时延要求。</w:t>
      </w:r>
    </w:p>
    <w:p w14:paraId="3F4D2D74">
      <w:pPr>
        <w:pStyle w:val="6"/>
        <w:numPr>
          <w:ilvl w:val="3"/>
          <w:numId w:val="0"/>
        </w:numPr>
        <w:tabs>
          <w:tab w:val="clear" w:pos="420"/>
        </w:tabs>
        <w:ind w:firstLine="420" w:firstLineChars="200"/>
      </w:pPr>
      <w:r>
        <w:t>(4)路径规划算法开发</w:t>
      </w:r>
    </w:p>
    <w:p w14:paraId="6FD67C2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针对烟草种植区地块边界不规则、丘陵与梯田高差明显、田间障碍物分布不均等特点，路径规划需在全局可达性与作业覆盖率之间取得平衡。项目在改进A*搜索框架上引入地形自适应代价函数：将数字高程或坡度栅格、通行障碍与禁飞区映射为边权或节点代价，使规划路径优先沿坡度缓和、风险较低廊道展开，避免大俯仰角航段带来的喷洒不均匀与飞行安全风险。</w:t>
      </w:r>
    </w:p>
    <w:p w14:paraId="7B12F00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在地块多边形内部，采用栅格化—弓形/往复覆盖—断点连通策略生成植保无人机全覆盖航迹：先按设定喷幅将作业带离散为行带，再在行带端点间以改进A*求取最短安全连接，减少无效折返与漏喷区域；对狭窄田块与凹多边形区域，通过细化栅格与局部重规划降低漏喷率与重复喷洒率。算法输出兼容地面站或机载飞控接口的航迹点序列，并预留与实时障碍信息的动态重规划接口。通过仿真与典型地块实测验证覆盖率、航迹长度与转弯次数等指标，迭代优化网格分辨率与代价权重，支撑丘陵山地等复杂场景下的高效均匀作业。</w:t>
      </w:r>
    </w:p>
    <w:p w14:paraId="39A854E1">
      <w:pPr>
        <w:pStyle w:val="6"/>
        <w:numPr>
          <w:ilvl w:val="3"/>
          <w:numId w:val="0"/>
        </w:numPr>
        <w:tabs>
          <w:tab w:val="clear" w:pos="420"/>
        </w:tabs>
        <w:ind w:firstLine="420" w:firstLineChars="200"/>
      </w:pPr>
      <w:r>
        <w:t>(5)施肥及喷药决策模型构建</w:t>
      </w:r>
    </w:p>
    <w:p w14:paraId="0062204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在感知层输出缺素诊断结果与病害检测结果的基础上，决策层融合土壤肥力等级、地块面积、烟草生育期、气象实况与短期预报、历史施肥与施药记录等多源信息，构建施肥—喷药联合决策模型。模型采用BP神经网络拟合多参数非线性关系，将离散类别特征，如：缺素类型、病害种类、生育期编码、肥力等级等因素与连续特征，如：置信度、温度、湿度、风速、降雨概率、土壤含水率、历史累计施用量等统一映射到同一特征空间，经归一化与缺失值处理后输入网络。网络采用多任务输出结构，同步给出药肥类型倾向、推荐用量区间、适宜作业时间窗口及风险提示等级；各子任务采用加权损失函数联合优化，并通过验证集与交叉验证确定权重与超参数，避免某一任务主导梯度而导致其他任务欠拟合。</w:t>
      </w:r>
    </w:p>
    <w:p w14:paraId="3649975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施肥侧根据胁迫类型与生长阶段调整氮、磷、钾等微量元素配比与基肥、追肥、叶面追肥的组合策略：缺素诊断置信度较高时提高对应养分补给权重并设置复查周期；多缺素并存时按主次胁迫排序，避免一次性过量施用引发拮抗或盐害。追肥与叶面调控可与灌溉、降雨预报联动，降低淋溶与挥发损失；历史施肥记录用于约束本季累计投入，防止重复追肥造成的品质风险与环境负荷。</w:t>
      </w:r>
    </w:p>
    <w:p w14:paraId="31767E7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喷药侧将病害类别映射至推荐药剂方案与施用方式（如叶面喷雾、傍晚施药等），并按单位面积推荐量自动折算至整块地面积，同步给出兑水量或稀释倍数建议，与平台农药记录模块字段一致，支撑台账自动生成与投入品追溯。当病害识别为多种并发时，按防治对象优先级与药剂兼容性生成组合方案或分次施药计划；对检出不明确或置信度偏低的情形，规则层可触发人工确认或现场复核提示，降低误治风险。</w:t>
      </w:r>
    </w:p>
    <w:p w14:paraId="5E5ED1A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决策结果与施肥记录、农药记录、设备任务下发接口联动，实现精准变量作业与农事档案闭环管理。通过田间分区对照试验与年度滚动标定，持续更新网络权重与规则阈值，使药肥投入、病虫害防治效果与烟叶产质量、等级结构之间形成可量化、可复现的平衡关系，为后续示范推广与成本效益分析提供数据支撑。</w:t>
      </w:r>
    </w:p>
    <w:p w14:paraId="3EA1C014">
      <w:pPr>
        <w:pStyle w:val="6"/>
        <w:numPr>
          <w:ilvl w:val="3"/>
          <w:numId w:val="0"/>
        </w:numPr>
        <w:tabs>
          <w:tab w:val="clear" w:pos="420"/>
        </w:tabs>
        <w:ind w:left="40" w:firstLine="420" w:firstLineChars="200"/>
      </w:pPr>
      <w:r>
        <w:t>(6)系统集成与开发</w:t>
      </w:r>
    </w:p>
    <w:p w14:paraId="1E31C77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系统采用前后端分离架构。Web前端基于Vue 3、Vue Router与Axios，实现地块信息维护、施肥与农药记录管理、设备状态展示、缺素与病害数据分析、智能策略（含路径规划可视化）及AI咨询等交互功能；界面层负责表单校验、权限内操作引导与异步请求封装，统一处理Token与会话状态，降低跨页面业务耦合。后端基于Django REST Framework提供统一RESTful API，覆盖用户注册登录与鉴权、地块与设备等业务对象CRUD、施肥与农药记录写入与查询、识别任务提交与结果回传、统计分析数据聚合等；持久化层依托关系型数据库保存结构化业务数据，媒体与静态资源按规范存储与访问控制。模型推理服务可作为独立应用或异步任务挂载，由视图层或任务队列触发，实现“业务请求—推理—结果落库”的一体化调度；气象等第三方接口通过服务端代理调用，避免密钥暴露于前端并便于限流与熔断。</w:t>
      </w:r>
    </w:p>
    <w:p w14:paraId="4FA27DB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传输层对设备、网关与平台之间的机机通信链路采用TLS 1.3与双向证书认证（mTLS）等机制，完成接入身份鉴别与信道加密；记录层完整性保护可降低链路上窃听与篡改风险。人机访问与机机访问可采用分级策略：管理端以HTTPS与账号权限为主，高敏感控制指令与批量数据同步通道优先启用mTLS或等效强认证，形成分层防护。</w:t>
      </w:r>
    </w:p>
    <w:p w14:paraId="6528795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集成工作按数据采集—智能分析—决策生成—执行反馈—数据归档流水线划分功能模块。数据采集侧汇聚无人机、田间传感器及人工上传的图像与环境数据；智能分析侧调用缺素与病害推理服务输出结构化标签与置信度；决策生成侧由药肥策略引擎结合土壤、生育期与气象条件生成推荐方案；执行侧将航迹与喷洒任务下发至飞控或执行终端，并接收执行状态与剂量反馈；归档侧将全过程数据与业务主键关联写入数据库，支撑追溯与报表。各模块通过版本化API契约（路径、请求体、响应体、分页与错误码约定）对接，配套统一错误码、请求ID与结构化日志，便于联调、接口回归与线上排障。</w:t>
      </w:r>
    </w:p>
    <w:p w14:paraId="1B1205D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模型服务采用独立推理进程，与业务Web进程解耦，便于按GPU资源独立扩缩容；高并发场景下可结合消息队列与异步任务削峰，防止推理阻塞用户接口。通过上述架构与集成方式，系统在功能扩展、运维治理与安全合规方面具备可持续演进能力。</w:t>
      </w:r>
    </w:p>
    <w:p w14:paraId="0A88726E">
      <w:pPr>
        <w:pStyle w:val="6"/>
        <w:numPr>
          <w:ilvl w:val="3"/>
          <w:numId w:val="0"/>
        </w:numPr>
        <w:ind w:left="40" w:firstLine="420" w:firstLineChars="200"/>
      </w:pPr>
      <w:r>
        <w:t>(7)系统测试与优化</w:t>
      </w:r>
    </w:p>
    <w:p w14:paraId="1EE4F25C">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测试体系覆盖单元测试、接口测试、集成测试、性能测试与安全测试等层级。单元测试针对关键业务逻辑与工具函数；接口测试验证鉴权、参数校验与返回结构；集成测试模拟端到端流程（登录—选地块—上传图像—推理—写记录—查报表）。性能测试关注并发请求、推理时延、数据库与对象存储吞吐；兼容性测试覆盖主流浏览器与不同分辨率终端，以及典型机载/边缘硬件配置。</w:t>
      </w:r>
    </w:p>
    <w:p w14:paraId="63F8DC7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针对测试暴露的缺陷，建立缺陷分级与回归清单：算法侧调整超参数、增强策略与决策阈值；工程侧优化SQL、缓存、异步队列与CDN；安全侧复查证书配置、权限模型与敏感字段脱敏。通过多轮压测与长稳运行试验，验证系统在峰值上传、连续识别与批量记录场景下的稳定性，形成可归档的测试报告与版本发布说明。</w:t>
      </w:r>
    </w:p>
    <w:p w14:paraId="51BBC367">
      <w:pPr>
        <w:pStyle w:val="6"/>
        <w:numPr>
          <w:ilvl w:val="3"/>
          <w:numId w:val="0"/>
        </w:numPr>
        <w:ind w:left="40" w:firstLine="420" w:firstLineChars="200"/>
      </w:pPr>
      <w:r>
        <w:t>(8)试点部署与推广</w:t>
      </w:r>
    </w:p>
    <w:p w14:paraId="3164BDA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在烟草主产区选择立地条件、种植制度与管理水平具有代表性的示范地块开展试点，部署完整软硬件环境，组织基层技术员与种植户参与试用。试点阶段重点采集作业效率、识别准确率、药肥投入、烟叶产质量及用户满意度等数据，形成前后对照或分区对比评价；同时收集界面易用性、告警合理性、网络与设备故障等反馈，驱动功能迭代与默认参数本地化。</w:t>
      </w:r>
    </w:p>
    <w:p w14:paraId="4A44250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在试点验证可行性与经济性后，明确最低网络条件、硬件清单与数据对接规范，支撑在更大范围内复制推广。推广过程与农技推广体系、合作社或龙头企业协作，探索托管服务、按面积计费或效果分成等可持续运营模式，推动系统在烟草种植领域的规模化应用与持续运维。</w:t>
      </w:r>
    </w:p>
    <w:p w14:paraId="1328E32F">
      <w:pPr>
        <w:ind w:firstLine="0" w:firstLineChars="0"/>
        <w:jc w:val="center"/>
      </w:pPr>
      <w:r>
        <w:drawing>
          <wp:inline distT="0" distB="0" distL="114300" distR="114300">
            <wp:extent cx="5268595" cy="2609850"/>
            <wp:effectExtent l="0" t="0" r="4445" b="11430"/>
            <wp:docPr id="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1"/>
                    <pic:cNvPicPr>
                      <a:picLocks noChangeAspect="1"/>
                    </pic:cNvPicPr>
                  </pic:nvPicPr>
                  <pic:blipFill>
                    <a:blip r:embed="rId8"/>
                    <a:srcRect t="11250"/>
                    <a:stretch>
                      <a:fillRect/>
                    </a:stretch>
                  </pic:blipFill>
                  <pic:spPr>
                    <a:xfrm>
                      <a:off x="0" y="0"/>
                      <a:ext cx="5268595" cy="2609850"/>
                    </a:xfrm>
                    <a:prstGeom prst="rect">
                      <a:avLst/>
                    </a:prstGeom>
                    <a:noFill/>
                    <a:ln>
                      <a:noFill/>
                    </a:ln>
                  </pic:spPr>
                </pic:pic>
              </a:graphicData>
            </a:graphic>
          </wp:inline>
        </w:drawing>
      </w:r>
    </w:p>
    <w:p w14:paraId="7852981B">
      <w:pPr>
        <w:ind w:firstLine="0" w:firstLineChars="0"/>
        <w:jc w:val="center"/>
      </w:pPr>
      <w:r>
        <w:rPr>
          <w:rFonts w:hint="eastAsia" w:ascii="宋体" w:hAnsi="宋体"/>
          <w:sz w:val="18"/>
          <w:szCs w:val="18"/>
        </w:rPr>
        <w:t>图3.1 技术路线图</w:t>
      </w:r>
    </w:p>
    <w:p w14:paraId="07D5B47E">
      <w:pPr>
        <w:pStyle w:val="5"/>
        <w:numPr>
          <w:ilvl w:val="2"/>
          <w:numId w:val="0"/>
        </w:numPr>
      </w:pPr>
      <w:bookmarkStart w:id="38" w:name="_Toc223"/>
      <w:r>
        <w:rPr>
          <w:rFonts w:hint="default" w:ascii="黑体" w:hAnsi="黑体" w:cs="黑体"/>
          <w:lang w:bidi="ar"/>
        </w:rPr>
        <w:t>3.1.</w:t>
      </w:r>
      <w:r>
        <w:rPr>
          <w:rFonts w:ascii="黑体" w:hAnsi="黑体" w:cs="黑体"/>
          <w:lang w:bidi="ar"/>
        </w:rPr>
        <w:t>2</w:t>
      </w:r>
      <w:r>
        <w:rPr>
          <w:rFonts w:hint="default" w:ascii="黑体" w:hAnsi="黑体" w:cs="黑体"/>
          <w:lang w:bidi="ar"/>
        </w:rPr>
        <w:t>.</w:t>
      </w:r>
      <w:r>
        <w:t>核心技术模块</w:t>
      </w:r>
      <w:bookmarkEnd w:id="38"/>
    </w:p>
    <w:p w14:paraId="3210FD33">
      <w:pPr>
        <w:pStyle w:val="6"/>
        <w:numPr>
          <w:ilvl w:val="3"/>
          <w:numId w:val="0"/>
        </w:numPr>
        <w:tabs>
          <w:tab w:val="clear" w:pos="420"/>
        </w:tabs>
        <w:ind w:left="40" w:firstLine="420" w:firstLineChars="200"/>
      </w:pPr>
      <w:r>
        <w:t>(1)多源数据采集模块</w:t>
      </w:r>
    </w:p>
    <w:p w14:paraId="4DB655B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多源数据采集模块面向烟草全生育期构建统一的数据入口，支撑后续识别、决策与追溯。田间侧以RGB可见光为主采集通道，覆盖冠层、叶部与病斑细节，空间分辨率与帧率可根据无人机航速、云台稳定性与地面采样距离进行配置；同步配置多光谱传感器获取叶片与冠层反射率曲线，用于叶绿素相关波段及氮磷钾胁迫敏感波段的辅助判别。地面侧接入土壤检测数据（质地、pH、速效氮磷钾、有机质等）与气象数据（温湿度、风速、降雨量、光照或辐射等），并记录生育期、株高、叶面积或长势等级等生长数据，形成与地块、时间戳绑定的结构化记录。</w:t>
      </w:r>
    </w:p>
    <w:p w14:paraId="0A9C714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无人机平台承担大范围、周期性遥感任务，支持按航线与任务编号回传影像与POS/姿态信息；田间传感器网络（土壤湿度、空气温湿度等）经网关汇聚后上传，弱网条件下支持本地缓存与断点续传，避免数据丢失。模块层对采集任务做元数据管理（设备编号、地块ID、采集时间、坐标系、传感器标定参数），对多模态数据做时空对齐与质量校验（曝光异常、丢帧、光谱异常值标记），为智能识别与决策引擎提供可追溯、可审计的原始数据底座。</w:t>
      </w:r>
    </w:p>
    <w:p w14:paraId="0B747293">
      <w:pPr>
        <w:ind w:firstLine="0" w:firstLineChars="0"/>
        <w:jc w:val="center"/>
      </w:pPr>
      <w:r>
        <w:drawing>
          <wp:inline distT="0" distB="0" distL="114300" distR="114300">
            <wp:extent cx="5264785" cy="2929255"/>
            <wp:effectExtent l="0" t="0" r="8255" b="12065"/>
            <wp:docPr id="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
                    <pic:cNvPicPr>
                      <a:picLocks noChangeAspect="1"/>
                    </pic:cNvPicPr>
                  </pic:nvPicPr>
                  <pic:blipFill>
                    <a:blip r:embed="rId9"/>
                    <a:srcRect t="1326"/>
                    <a:stretch>
                      <a:fillRect/>
                    </a:stretch>
                  </pic:blipFill>
                  <pic:spPr>
                    <a:xfrm>
                      <a:off x="0" y="0"/>
                      <a:ext cx="5264785" cy="2929255"/>
                    </a:xfrm>
                    <a:prstGeom prst="rect">
                      <a:avLst/>
                    </a:prstGeom>
                    <a:noFill/>
                    <a:ln>
                      <a:noFill/>
                    </a:ln>
                  </pic:spPr>
                </pic:pic>
              </a:graphicData>
            </a:graphic>
          </wp:inline>
        </w:drawing>
      </w:r>
    </w:p>
    <w:p w14:paraId="4AE5D845">
      <w:pPr>
        <w:ind w:firstLine="0" w:firstLineChars="0"/>
        <w:jc w:val="center"/>
      </w:pPr>
      <w:r>
        <w:rPr>
          <w:rFonts w:hint="eastAsia" w:ascii="宋体" w:hAnsi="宋体"/>
          <w:sz w:val="18"/>
          <w:szCs w:val="18"/>
        </w:rPr>
        <w:t>图3.2 多源数据采集模块</w:t>
      </w:r>
    </w:p>
    <w:p w14:paraId="49448EE5">
      <w:pPr>
        <w:pStyle w:val="6"/>
        <w:numPr>
          <w:ilvl w:val="3"/>
          <w:numId w:val="0"/>
        </w:numPr>
        <w:tabs>
          <w:tab w:val="clear" w:pos="420"/>
        </w:tabs>
        <w:ind w:left="40" w:firstLine="420" w:firstLineChars="200"/>
      </w:pPr>
      <w:r>
        <w:rPr>
          <w:rFonts w:hint="default" w:cs="宋体"/>
          <w:lang w:bidi="ar"/>
        </w:rPr>
        <w:t>(</w:t>
      </w:r>
      <w:r>
        <w:rPr>
          <w:rFonts w:cs="宋体"/>
          <w:lang w:bidi="ar"/>
        </w:rPr>
        <w:t>2</w:t>
      </w:r>
      <w:r>
        <w:rPr>
          <w:rFonts w:hint="default" w:cs="宋体"/>
          <w:lang w:bidi="ar"/>
        </w:rPr>
        <w:t>)</w:t>
      </w:r>
      <w:r>
        <w:t>智能识别模型模块</w:t>
      </w:r>
    </w:p>
    <w:p w14:paraId="505ABA2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智能识别模型模块采用“检测+分类”联合推理架构，以YOLOv8n承担病害与虫害等目标的目标检测任务，输出类别、置信度与边界框，满足田间定位与多目标并发检出的需求；以ResNet18承担缺素等表型性状的图像分类任务，在整幅或作物ROI上输出缺素类别与程度，并可与多光谱分支特征进行融合，形成互补的生理—形态联合判断。两路模型可独立部署、按需调用，亦可通过统一任务编排在一次推理请求中顺序或并行执行，降低前端与网关的集成复杂度。</w:t>
      </w:r>
    </w:p>
    <w:p w14:paraId="24734FA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训练阶段采用迁移学习、数据增强与验证集早停等策略提升泛化能力；部署阶段结合ONNX/TensorRT与量化等轻量化手段，适配边缘端与机载算力。模块对外以标准化推理接口返回结构化JSON（标签、置信度、可选坐标、耗时与模型版本号），便于决策引擎与业务记录自动落库，支持模型版本管理与灰度发布。</w:t>
      </w:r>
    </w:p>
    <w:p w14:paraId="0F1FB991">
      <w:pPr>
        <w:pStyle w:val="6"/>
        <w:numPr>
          <w:ilvl w:val="3"/>
          <w:numId w:val="0"/>
        </w:numPr>
        <w:tabs>
          <w:tab w:val="clear" w:pos="420"/>
        </w:tabs>
        <w:ind w:left="40" w:firstLine="420" w:firstLineChars="200"/>
        <w:rPr>
          <w:rFonts w:cs="宋体"/>
          <w:lang w:bidi="ar"/>
        </w:rPr>
      </w:pPr>
      <w:r>
        <w:rPr>
          <w:rFonts w:cs="宋体"/>
          <w:lang w:bidi="ar"/>
        </w:rPr>
        <w:t>(3)</w:t>
      </w:r>
      <w:r>
        <w:rPr>
          <w:rFonts w:hint="default" w:cs="宋体"/>
          <w:lang w:bidi="ar"/>
        </w:rPr>
        <w:t>路径规划与作业执行模块</w:t>
      </w:r>
    </w:p>
    <w:p w14:paraId="628EF00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路径规划与作业执行模块面向丘陵、梯田及不规则地块，实现全覆盖植保航迹生成与作业执行闭环。全局层面在改进A*框架下引入地形坡度、障碍分布、禁飞区与喷幅等代价参数，生成地形自适应、可执行的初始航线；在局部层面引入ORCA等局部动态避障方法，对动态障碍进行速度障碍域内的避碰求解，与全局航迹衔接，降低碰撞风险与急转弯导致的喷洒不均。</w:t>
      </w:r>
    </w:p>
    <w:p w14:paraId="3DD08FA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无人机侧支持自主航线规划、飞行状态监测、数据实时回传与本地缓存：航迹文件下发后由飞控执行，实时回传位置、高度、速度、剩余药量与喷洒状态；通信中断时缓存关键帧与作业日志，恢复后补传。执行层支持变量喷洒/施肥：根据决策引擎输出的处方图或分区剂量，在航迹上切换流量与喷幅，实现按地块、按胁迫分区的精准投入；作业完成后回传轨迹、面积、用药量、用时等数据，与地块主键与任务ID关联，形成可核算、可审计的作业档案。</w:t>
      </w:r>
    </w:p>
    <w:p w14:paraId="4E521D09">
      <w:pPr>
        <w:pStyle w:val="6"/>
        <w:numPr>
          <w:ilvl w:val="3"/>
          <w:numId w:val="0"/>
        </w:numPr>
        <w:tabs>
          <w:tab w:val="clear" w:pos="420"/>
        </w:tabs>
        <w:ind w:left="40" w:firstLine="420" w:firstLineChars="200"/>
      </w:pPr>
      <w:r>
        <w:t>(4)药肥决策引擎模块</w:t>
      </w:r>
    </w:p>
    <w:p w14:paraId="14FCF7BD">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药肥决策引擎模块在感知结果之上完成施肥—喷药策略生成，输入包括缺素识别结果、病害检测结果、土壤肥力、地块面积、生育期、气象实况与预报、历史施肥与施药记录等。引擎采用BP神经网络轻量模型拟合多参数非线性关系，多任务输出药肥类型倾向、推荐用量区间、适宜作业时间窗口及风险提示；输出端叠加农艺与气象安全规则（剂量上下限、大风与降雨禁施、生育期禁忌、药剂间隔期等），形成“数据驱动预测协同专家规则约束”的闭环，保证方案可执行、可解释。</w:t>
      </w:r>
    </w:p>
    <w:p w14:paraId="12F0ACF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施肥侧按胁迫类型与生育期调整氮、磷、钾等微量元素配比与追肥策略；喷药侧将病害类别映射至推荐药剂与施用方式，并按单位面积用量折算至整块地，与平台业务记录联动。引擎支持参数标定与分区对照试验迭代，使药肥投入与防治效果、烟叶产质量之间达到可量化平衡。</w:t>
      </w:r>
    </w:p>
    <w:p w14:paraId="4E38574E">
      <w:pPr>
        <w:pStyle w:val="6"/>
        <w:numPr>
          <w:ilvl w:val="3"/>
          <w:numId w:val="0"/>
        </w:numPr>
        <w:tabs>
          <w:tab w:val="clear" w:pos="420"/>
        </w:tabs>
        <w:ind w:firstLine="420" w:firstLineChars="200"/>
      </w:pPr>
      <w:r>
        <w:t>(5)系统安全模块</w:t>
      </w:r>
    </w:p>
    <w:p w14:paraId="06C18E4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系统安全模块从传输与接入、模型鲁棒性、运维与审计三个维度协同建设。传输层对设备与平台之间的机机通信采用TLS 1.3与双向证书认证（mTLS）</w:t>
      </w:r>
      <w:r>
        <w:rPr>
          <w:rFonts w:hint="eastAsia" w:ascii="等线" w:hAnsi="等线" w:eastAsia="等线" w:cs="等线"/>
          <w:kern w:val="0"/>
          <w:vertAlign w:val="superscript"/>
          <w:lang w:bidi="ar"/>
        </w:rPr>
        <w:fldChar w:fldCharType="begin"/>
      </w:r>
      <w:r>
        <w:rPr>
          <w:rFonts w:hint="eastAsia" w:ascii="等线" w:hAnsi="等线" w:eastAsia="等线" w:cs="等线"/>
          <w:kern w:val="0"/>
          <w:vertAlign w:val="superscript"/>
          <w:lang w:bidi="ar"/>
        </w:rPr>
        <w:instrText xml:space="preserve"> REF _Ref225504033 \r \h  \* MERGEFORMAT </w:instrText>
      </w:r>
      <w:r>
        <w:rPr>
          <w:rFonts w:hint="eastAsia" w:ascii="等线" w:hAnsi="等线" w:eastAsia="等线" w:cs="等线"/>
          <w:kern w:val="0"/>
          <w:vertAlign w:val="superscript"/>
          <w:lang w:bidi="ar"/>
        </w:rPr>
        <w:fldChar w:fldCharType="separate"/>
      </w:r>
      <w:r>
        <w:rPr>
          <w:rFonts w:hint="eastAsia" w:ascii="等线" w:hAnsi="等线" w:eastAsia="等线" w:cs="等线"/>
          <w:kern w:val="0"/>
          <w:vertAlign w:val="superscript"/>
          <w:lang w:bidi="ar"/>
        </w:rPr>
        <w:t>[1]</w:t>
      </w:r>
      <w:r>
        <w:rPr>
          <w:rFonts w:hint="eastAsia" w:ascii="等线" w:hAnsi="等线" w:eastAsia="等线" w:cs="等线"/>
          <w:kern w:val="0"/>
          <w:vertAlign w:val="superscript"/>
          <w:lang w:bidi="ar"/>
        </w:rPr>
        <w:fldChar w:fldCharType="end"/>
      </w:r>
      <w:r>
        <w:rPr>
          <w:rFonts w:hint="eastAsia" w:ascii="等线" w:hAnsi="等线" w:eastAsia="等线" w:cs="等线"/>
          <w:kern w:val="0"/>
          <w:lang w:bidi="ar"/>
        </w:rPr>
        <w:t>，完成接入身份鉴别与信道加密，记录层完整性保护可降低窃听与篡改风险；设备证书与设备标识、地块或网关绑定，配套证书生命周期管理与吊销策略，保障只有可信硬件接入。</w:t>
      </w:r>
    </w:p>
    <w:p w14:paraId="11E0FBB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模型侧引入对抗训练与鲁棒性增强：在范数约束下构造对抗扰动，并与噪声、模糊、JPEG压缩等增强结合，提升在逆光、弱光、压缩失真等条件下的识别稳定性，降低误报漏报对农艺决策的传导风险。应用层配合接口鉴权、限流、审计日志与密钥集中管理，形成覆盖链路、算法与平台的安全防护体系。</w:t>
      </w:r>
    </w:p>
    <w:p w14:paraId="6CA5CFC6">
      <w:pPr>
        <w:pStyle w:val="4"/>
        <w:rPr>
          <w:rFonts w:hint="eastAsia"/>
        </w:rPr>
      </w:pPr>
      <w:bookmarkStart w:id="39" w:name="_Toc31580"/>
      <w:r>
        <w:rPr>
          <w:rFonts w:hint="eastAsia" w:ascii="黑体" w:hAnsi="黑体" w:cs="黑体"/>
        </w:rPr>
        <w:t>3.2.</w:t>
      </w:r>
      <w:r>
        <w:t xml:space="preserve"> 多模态融合架构与抗干扰设计</w:t>
      </w:r>
      <w:bookmarkEnd w:id="39"/>
    </w:p>
    <w:p w14:paraId="5E22BB1E">
      <w:pPr>
        <w:pStyle w:val="5"/>
        <w:numPr>
          <w:ilvl w:val="2"/>
          <w:numId w:val="0"/>
        </w:numPr>
      </w:pPr>
      <w:bookmarkStart w:id="40" w:name="_Toc32215"/>
      <w:r>
        <w:rPr>
          <w:rFonts w:ascii="黑体" w:hAnsi="黑体" w:cs="黑体"/>
        </w:rPr>
        <w:t>3.2.1.</w:t>
      </w:r>
      <w:r>
        <w:t>多模态融合架构</w:t>
      </w:r>
      <w:bookmarkEnd w:id="40"/>
    </w:p>
    <w:p w14:paraId="525A41D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采用“特征级融合+决策级融合”的混合融合架构，整体实现为“双分支编码+中间层注意力融合+决策层加权修正”：在特征级阶段，YOLOv8n backbone</w:t>
      </w:r>
      <w:r>
        <w:rPr>
          <w:rFonts w:hint="eastAsia" w:ascii="等线" w:hAnsi="等线" w:eastAsia="等线" w:cs="等线"/>
          <w:kern w:val="0"/>
          <w:lang w:val="en-US" w:eastAsia="zh-CN" w:bidi="ar"/>
        </w:rPr>
        <w:t>与</w:t>
      </w:r>
      <w:r>
        <w:rPr>
          <w:rFonts w:hint="eastAsia" w:ascii="等线" w:hAnsi="等线" w:eastAsia="等线" w:cs="等线"/>
          <w:kern w:val="0"/>
          <w:lang w:bidi="ar"/>
        </w:rPr>
        <w:t>ResNet提取颜色、纹理等形态特征</w:t>
      </w:r>
      <w:r>
        <w:rPr>
          <w:rFonts w:hint="eastAsia" w:ascii="等线" w:hAnsi="等线" w:eastAsia="等线" w:cs="等线"/>
          <w:kern w:val="0"/>
          <w:lang w:eastAsia="zh-CN" w:bidi="ar"/>
        </w:rPr>
        <w:t>、</w:t>
      </w:r>
      <w:r>
        <w:rPr>
          <w:rFonts w:hint="eastAsia" w:ascii="等线" w:hAnsi="等线" w:eastAsia="等线" w:cs="等线"/>
          <w:kern w:val="0"/>
          <w:lang w:bidi="ar"/>
        </w:rPr>
        <w:t>光谱反射率、叶绿素含量等生化特征，并将两类特征映射到统一特征空间；随后在中间特征融合层中通过cross-attention完成中间层融合，生成融合特征向量。进入决策级阶段后，先由轻量分类模型输出病害/缺素类型的初步结果，再融合烟草生长阶段、土壤数据等先验信息进行加权修正，最终联合输出病害/缺素识别结果及置信度，从而提升复杂田间环境下的识别准确率与稳定性。</w:t>
      </w:r>
    </w:p>
    <w:p w14:paraId="5BFBD501">
      <w:pPr>
        <w:pStyle w:val="5"/>
        <w:numPr>
          <w:ilvl w:val="2"/>
          <w:numId w:val="0"/>
        </w:numPr>
      </w:pPr>
      <w:bookmarkStart w:id="41" w:name="_Toc8063"/>
      <w:r>
        <w:rPr>
          <w:rFonts w:ascii="黑体" w:hAnsi="黑体" w:cs="黑体"/>
        </w:rPr>
        <w:t>3.2.2.</w:t>
      </w:r>
      <w:r>
        <w:t>减少环境因素干扰</w:t>
      </w:r>
      <w:bookmarkEnd w:id="41"/>
    </w:p>
    <w:p w14:paraId="5FFD5CC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围绕复杂田间环境下的稳定识别，系统采用“数据抗扰+特征抗扰+模型抗扰+决策抗扰+实时自适应”的一体化抗干扰方案：在数据层面，通过高斯滤波、中值滤波去噪，并结合直方图均衡化、光照补偿、颜色标准化及雨雾/模糊/遮挡增强，降低光照、天气和成像质量波动影响；在特征层面，提取颜色矩、LBP、红边反射率等对环境变化不敏感的鲁棒特征，同时采用频域去噪与模态dropout提升多模态特征稳定性；在模型训练层面，引入不同光照、天气、背景条件样本并进行随机裁剪、旋转、翻转、亮度扰动等增强，配合Focal Loss</w:t>
      </w:r>
      <w:r>
        <w:rPr>
          <w:rFonts w:hint="eastAsia" w:ascii="等线" w:hAnsi="等线" w:eastAsia="等线" w:cs="等线"/>
          <w:kern w:val="0"/>
          <w:vertAlign w:val="superscript"/>
          <w:lang w:bidi="ar"/>
        </w:rPr>
        <w:fldChar w:fldCharType="begin"/>
      </w:r>
      <w:r>
        <w:rPr>
          <w:rFonts w:hint="eastAsia" w:ascii="等线" w:hAnsi="等线" w:eastAsia="等线" w:cs="等线"/>
          <w:kern w:val="0"/>
          <w:vertAlign w:val="superscript"/>
          <w:lang w:bidi="ar"/>
        </w:rPr>
        <w:instrText xml:space="preserve"> REF _Ref225504062 \r \h  \* MERGEFORMAT </w:instrText>
      </w:r>
      <w:r>
        <w:rPr>
          <w:rFonts w:hint="eastAsia" w:ascii="等线" w:hAnsi="等线" w:eastAsia="等线" w:cs="等线"/>
          <w:kern w:val="0"/>
          <w:vertAlign w:val="superscript"/>
          <w:lang w:bidi="ar"/>
        </w:rPr>
        <w:fldChar w:fldCharType="separate"/>
      </w:r>
      <w:r>
        <w:rPr>
          <w:rFonts w:hint="eastAsia" w:ascii="等线" w:hAnsi="等线" w:eastAsia="等线" w:cs="等线"/>
          <w:kern w:val="0"/>
          <w:vertAlign w:val="superscript"/>
          <w:lang w:bidi="ar"/>
        </w:rPr>
        <w:t>[2]</w:t>
      </w:r>
      <w:r>
        <w:rPr>
          <w:rFonts w:hint="eastAsia" w:ascii="等线" w:hAnsi="等线" w:eastAsia="等线" w:cs="等线"/>
          <w:kern w:val="0"/>
          <w:vertAlign w:val="superscript"/>
          <w:lang w:bidi="ar"/>
        </w:rPr>
        <w:fldChar w:fldCharType="end"/>
      </w:r>
      <w:r>
        <w:rPr>
          <w:rFonts w:hint="eastAsia" w:ascii="等线" w:hAnsi="等线" w:eastAsia="等线" w:cs="等线"/>
          <w:kern w:val="0"/>
          <w:lang w:bidi="ar"/>
        </w:rPr>
        <w:t>与Label Smoothing</w:t>
      </w:r>
      <w:r>
        <w:rPr>
          <w:rFonts w:hint="eastAsia" w:ascii="等线" w:hAnsi="等线" w:eastAsia="等线" w:cs="等线"/>
          <w:kern w:val="0"/>
          <w:vertAlign w:val="superscript"/>
          <w:lang w:bidi="ar"/>
        </w:rPr>
        <w:fldChar w:fldCharType="begin"/>
      </w:r>
      <w:r>
        <w:rPr>
          <w:rFonts w:hint="eastAsia" w:ascii="等线" w:hAnsi="等线" w:eastAsia="等线" w:cs="等线"/>
          <w:kern w:val="0"/>
          <w:vertAlign w:val="superscript"/>
          <w:lang w:bidi="ar"/>
        </w:rPr>
        <w:instrText xml:space="preserve"> REF _Ref225504087 \r \h  \* MERGEFORMAT </w:instrText>
      </w:r>
      <w:r>
        <w:rPr>
          <w:rFonts w:hint="eastAsia" w:ascii="等线" w:hAnsi="等线" w:eastAsia="等线" w:cs="等线"/>
          <w:kern w:val="0"/>
          <w:vertAlign w:val="superscript"/>
          <w:lang w:bidi="ar"/>
        </w:rPr>
        <w:fldChar w:fldCharType="separate"/>
      </w:r>
      <w:r>
        <w:rPr>
          <w:rFonts w:hint="eastAsia" w:ascii="等线" w:hAnsi="等线" w:eastAsia="等线" w:cs="等线"/>
          <w:kern w:val="0"/>
          <w:vertAlign w:val="superscript"/>
          <w:lang w:bidi="ar"/>
        </w:rPr>
        <w:t>[3]</w:t>
      </w:r>
      <w:r>
        <w:rPr>
          <w:rFonts w:hint="eastAsia" w:ascii="等线" w:hAnsi="等线" w:eastAsia="等线" w:cs="等线"/>
          <w:kern w:val="0"/>
          <w:vertAlign w:val="superscript"/>
          <w:lang w:bidi="ar"/>
        </w:rPr>
        <w:fldChar w:fldCharType="end"/>
      </w:r>
      <w:r>
        <w:rPr>
          <w:rFonts w:hint="eastAsia" w:ascii="等线" w:hAnsi="等线" w:eastAsia="等线" w:cs="等线"/>
          <w:kern w:val="0"/>
          <w:lang w:bidi="ar"/>
        </w:rPr>
        <w:t>提高泛化能力；在决策层面，使用MC Dropout进行不确定性估计，结合低置信拒识与OOD检测抑制异常场景误判；同时依托无人机环境传感器实时采集光照、温湿度等信息，动态调整曝光、白平衡与推理阈值，实现在线环境自适应，从而显著降低环境因素对病害/缺素识别结果的干扰。</w:t>
      </w:r>
    </w:p>
    <w:p w14:paraId="2BC0944A">
      <w:pPr>
        <w:ind w:firstLine="0" w:firstLineChars="0"/>
        <w:jc w:val="center"/>
        <w:rPr>
          <w:rFonts w:hint="eastAsia" w:eastAsia="宋体"/>
          <w:lang w:eastAsia="zh-CN"/>
        </w:rPr>
      </w:pPr>
      <w:r>
        <w:rPr>
          <w:rFonts w:hint="eastAsia" w:eastAsia="宋体"/>
          <w:lang w:eastAsia="zh-CN"/>
        </w:rPr>
        <w:drawing>
          <wp:inline distT="0" distB="0" distL="114300" distR="114300">
            <wp:extent cx="5273040" cy="2362200"/>
            <wp:effectExtent l="0" t="0" r="0" b="0"/>
            <wp:docPr id="6" name="图片 6" descr="85b235ac10a45eda0d336497ea029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5b235ac10a45eda0d336497ea029b9f"/>
                    <pic:cNvPicPr>
                      <a:picLocks noChangeAspect="1"/>
                    </pic:cNvPicPr>
                  </pic:nvPicPr>
                  <pic:blipFill>
                    <a:blip r:embed="rId10"/>
                    <a:stretch>
                      <a:fillRect/>
                    </a:stretch>
                  </pic:blipFill>
                  <pic:spPr>
                    <a:xfrm>
                      <a:off x="0" y="0"/>
                      <a:ext cx="5273040" cy="2362200"/>
                    </a:xfrm>
                    <a:prstGeom prst="rect">
                      <a:avLst/>
                    </a:prstGeom>
                  </pic:spPr>
                </pic:pic>
              </a:graphicData>
            </a:graphic>
          </wp:inline>
        </w:drawing>
      </w:r>
    </w:p>
    <w:p w14:paraId="5790B7E9">
      <w:pPr>
        <w:widowControl/>
        <w:ind w:firstLine="360"/>
        <w:jc w:val="center"/>
      </w:pPr>
      <w:r>
        <w:rPr>
          <w:rFonts w:hint="eastAsia" w:ascii="宋体" w:hAnsi="宋体"/>
          <w:sz w:val="18"/>
          <w:szCs w:val="18"/>
        </w:rPr>
        <w:t>图3.3 多模态融合架构与抗干扰设计</w:t>
      </w:r>
    </w:p>
    <w:p w14:paraId="34C8BF02">
      <w:pPr>
        <w:pStyle w:val="4"/>
        <w:rPr>
          <w:rFonts w:hint="eastAsia" w:ascii="黑体" w:hAnsi="黑体"/>
        </w:rPr>
      </w:pPr>
      <w:bookmarkStart w:id="42" w:name="_Toc626"/>
      <w:r>
        <w:rPr>
          <w:rFonts w:hint="eastAsia" w:ascii="黑体" w:hAnsi="黑体"/>
        </w:rPr>
        <w:t>3</w:t>
      </w:r>
      <w:r>
        <w:rPr>
          <w:rFonts w:ascii="黑体" w:hAnsi="黑体" w:cs="黑体"/>
        </w:rPr>
        <w:t>.</w:t>
      </w:r>
      <w:r>
        <w:rPr>
          <w:rFonts w:hint="eastAsia" w:ascii="黑体" w:hAnsi="黑体"/>
        </w:rPr>
        <w:t>3</w:t>
      </w:r>
      <w:r>
        <w:rPr>
          <w:rFonts w:ascii="黑体" w:hAnsi="黑体" w:cs="黑体"/>
        </w:rPr>
        <w:t>.</w:t>
      </w:r>
      <w:r>
        <w:rPr>
          <w:rFonts w:ascii="黑体" w:hAnsi="黑体"/>
        </w:rPr>
        <w:t xml:space="preserve"> 算法模型模块</w:t>
      </w:r>
      <w:bookmarkEnd w:id="42"/>
    </w:p>
    <w:p w14:paraId="66260521">
      <w:pPr>
        <w:pStyle w:val="5"/>
      </w:pPr>
      <w:bookmarkStart w:id="43" w:name="_Toc30792"/>
      <w:r>
        <w:rPr>
          <w:rFonts w:ascii="黑体" w:hAnsi="黑体"/>
        </w:rPr>
        <w:t>3.3.1.</w:t>
      </w:r>
      <w:r>
        <w:t>轻量化模型优化</w:t>
      </w:r>
      <w:bookmarkEnd w:id="43"/>
    </w:p>
    <w:p w14:paraId="7C20D5B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针对边缘端算力受限、功耗敏感的特点，模型以“低延迟、低功耗、可部署”为优化目标。采用轻量化骨干网络替代重型网络。通过剪枝、量化、知识蒸馏等方式压缩模型体积并提升推理速度。使用算子融合与推理引擎加速实现实时响应。在精度与速度之间建立任务级权衡策略，保证关键作业精度优先。</w:t>
      </w:r>
    </w:p>
    <w:p w14:paraId="20537079">
      <w:pPr>
        <w:pStyle w:val="5"/>
      </w:pPr>
      <w:bookmarkStart w:id="44" w:name="_Toc5992"/>
      <w:r>
        <w:rPr>
          <w:rFonts w:ascii="黑体" w:hAnsi="黑体"/>
        </w:rPr>
        <w:t>3.3.2.</w:t>
      </w:r>
      <w:r>
        <w:t>地形自适应路径规划算法</w:t>
      </w:r>
      <w:bookmarkEnd w:id="44"/>
    </w:p>
    <w:p w14:paraId="2D35107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农业地块存在坡度变化、障碍分布不规则等问题，路径规划需具备环境自适应能力。全局层采用A*算法生成覆盖式路径规划（行走带覆盖+最小重复率）提高作业完整性。局部层结合动态避障算法ORCA应对临时障碍。引入地形代价地图（坡度、可通行性），实现风险感知路径选择，适配不同地块和作业阶段。</w:t>
      </w:r>
    </w:p>
    <w:p w14:paraId="24571012">
      <w:pPr>
        <w:pStyle w:val="5"/>
      </w:pPr>
      <w:bookmarkStart w:id="45" w:name="_Toc25106"/>
      <w:r>
        <w:rPr>
          <w:rFonts w:ascii="黑体" w:hAnsi="黑体"/>
        </w:rPr>
        <w:t>3.3.3.</w:t>
      </w:r>
      <w:r>
        <w:t>施肥决策模型</w:t>
      </w:r>
      <w:bookmarkEnd w:id="45"/>
    </w:p>
    <w:p w14:paraId="524D5DD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施肥模块以“按需供肥、减量增效”为目标，基于作物状态和土壤信息进行变量施肥。输入要素包括缺素类型、土壤养分、作物生育期、历史施肥记录。采用神经网络对多源输入参数进行特征融合，学习参数间的非线性关系，构建施肥推荐模型，输出施肥种类、剂量与施用时机。通过作业后效果反馈（长势、品质、肥效）持续修正参数，实现闭环优化。</w:t>
      </w:r>
    </w:p>
    <w:p w14:paraId="114F5B7A">
      <w:pPr>
        <w:pStyle w:val="5"/>
      </w:pPr>
      <w:bookmarkStart w:id="46" w:name="_Toc19490"/>
      <w:r>
        <w:rPr>
          <w:rFonts w:ascii="黑体" w:hAnsi="黑体"/>
        </w:rPr>
        <w:t>3.3.4.</w:t>
      </w:r>
      <w:r>
        <w:t>农药决策模型</w:t>
      </w:r>
      <w:bookmarkEnd w:id="46"/>
    </w:p>
    <w:p w14:paraId="288E310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农药决策重点解决病虫害早发现、精准防控和药量控制问题。基于病虫害识别模型结果、地块面积、药剂理化特性、推荐浓度区间、喷施窗口期及安全间隔等约束，构建多目标优化推荐模型，联合优化防治效果、药量强度与作业安全边界，生成“药剂类型—剂量配比—作业时间”一体化施药处方。与喷施执行系统联动，实现变量喷药和区域精准防治。</w:t>
      </w:r>
    </w:p>
    <w:p w14:paraId="3DC1DE04">
      <w:pPr>
        <w:pStyle w:val="4"/>
        <w:rPr>
          <w:rFonts w:hint="eastAsia" w:ascii="黑体" w:hAnsi="黑体"/>
          <w:lang w:val="en-US" w:eastAsia="zh-CN"/>
        </w:rPr>
      </w:pPr>
      <w:r>
        <w:rPr>
          <w:rFonts w:hint="eastAsia" w:ascii="黑体" w:hAnsi="黑体"/>
          <w:lang w:val="en-US" w:eastAsia="zh-CN"/>
        </w:rPr>
        <w:t>3.4. 数据来源</w:t>
      </w:r>
    </w:p>
    <w:p w14:paraId="22CDED9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本项目的数据覆盖图像</w:t>
      </w:r>
      <w:r>
        <w:rPr>
          <w:rFonts w:hint="eastAsia" w:ascii="等线" w:hAnsi="等线" w:eastAsia="等线" w:cs="等线"/>
          <w:kern w:val="0"/>
          <w:lang w:val="en-US" w:eastAsia="zh-CN" w:bidi="ar"/>
        </w:rPr>
        <w:t>与</w:t>
      </w:r>
      <w:r>
        <w:rPr>
          <w:rFonts w:hint="eastAsia" w:ascii="等线" w:hAnsi="等线" w:eastAsia="等线" w:cs="等线"/>
          <w:kern w:val="0"/>
          <w:lang w:bidi="ar"/>
        </w:rPr>
        <w:t>光谱、土壤、气象、生长状态</w:t>
      </w:r>
      <w:r>
        <w:rPr>
          <w:rFonts w:hint="eastAsia" w:ascii="等线" w:hAnsi="等线" w:eastAsia="等线" w:cs="等线"/>
          <w:kern w:val="0"/>
          <w:lang w:eastAsia="zh-CN" w:bidi="ar"/>
        </w:rPr>
        <w:t>、</w:t>
      </w:r>
      <w:r>
        <w:rPr>
          <w:rFonts w:hint="eastAsia" w:ascii="等线" w:hAnsi="等线" w:eastAsia="等线" w:cs="等线"/>
          <w:kern w:val="0"/>
          <w:lang w:bidi="ar"/>
        </w:rPr>
        <w:t>标注数据</w:t>
      </w:r>
      <w:r>
        <w:rPr>
          <w:rFonts w:hint="eastAsia" w:ascii="等线" w:hAnsi="等线" w:eastAsia="等线" w:cs="等线"/>
          <w:kern w:val="0"/>
          <w:lang w:val="en-US" w:eastAsia="zh-CN" w:bidi="ar"/>
        </w:rPr>
        <w:t>与</w:t>
      </w:r>
      <w:r>
        <w:rPr>
          <w:rFonts w:hint="default" w:ascii="等线" w:hAnsi="等线" w:eastAsia="等线" w:cs="等线"/>
          <w:kern w:val="0"/>
          <w:lang w:bidi="ar"/>
        </w:rPr>
        <w:t>历史数据</w:t>
      </w:r>
      <w:r>
        <w:rPr>
          <w:rFonts w:hint="eastAsia" w:ascii="等线" w:hAnsi="等线" w:eastAsia="等线" w:cs="等线"/>
          <w:kern w:val="0"/>
          <w:lang w:bidi="ar"/>
        </w:rPr>
        <w:t>六大类别，采用“多终端采集+多渠道对接+专家标注”的方式构建完整数据体系，为模型训练与智能决策提供可靠的数据支撑。</w:t>
      </w:r>
    </w:p>
    <w:p w14:paraId="119D4B2C">
      <w:pPr>
        <w:pStyle w:val="6"/>
        <w:ind w:firstLine="482"/>
        <w:rPr>
          <w:sz w:val="18"/>
          <w:szCs w:val="18"/>
        </w:rPr>
      </w:pPr>
      <w:r>
        <w:rPr>
          <w:lang w:bidi="ar"/>
        </w:rPr>
        <w:t>（1）</w:t>
      </w:r>
      <w:r>
        <w:rPr>
          <w:rFonts w:hint="default"/>
          <w:lang w:bidi="ar"/>
        </w:rPr>
        <w:t>图像与光谱数据</w:t>
      </w:r>
    </w:p>
    <w:p w14:paraId="44F0A83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通过无人机搭载RGB相机（2000万像素）与多光谱传感器（400-1000nm波段）进行遥感采集，覆盖烟草苗期、还苗期、伸根期、旺长期、成熟期五个关键生长阶段，涵盖缺氮、缺磷、缺钾等不同缺素类型及健康对照样本。同时，平台前端支持通过田间固定摄像头或手持终端实时拍照上传，自动进入后端识别流程。此外，针对烟草叶部病害（白星病、黄叶病、烟青虫、叶厚病），建立专项病害图像数据集，采集包含不同光照、不同背景复杂度、不同病害程度的样本。所有图像按统一命名规范存储并在数据库中建立索引，支持按时间、地块、类别检索与导出。</w:t>
      </w:r>
    </w:p>
    <w:p w14:paraId="6C4AB779">
      <w:pPr>
        <w:pStyle w:val="6"/>
        <w:ind w:firstLine="482"/>
        <w:rPr>
          <w:sz w:val="18"/>
          <w:szCs w:val="18"/>
        </w:rPr>
      </w:pPr>
      <w:r>
        <w:rPr>
          <w:lang w:bidi="ar"/>
        </w:rPr>
        <w:t>（2）</w:t>
      </w:r>
      <w:r>
        <w:rPr>
          <w:rFonts w:hint="default"/>
          <w:lang w:bidi="ar"/>
        </w:rPr>
        <w:t>土壤数据</w:t>
      </w:r>
    </w:p>
    <w:p w14:paraId="4D37641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通过田间土壤检测设备与传感器（经ESP8266上报云端）采集土壤关键指标，包括：土壤质地类型（高肥力/中肥力/低肥力）、pH值、微量元素含量、土壤含水率等。同时支持对接第三方土壤检测机构的化验报告数据，以补充传感器难以覆盖的深层理化指标。各地块土壤数据按地块编号关联存储，支持历史变化追踪与跨地块对比分析，为施肥推荐算法提供地力基础参数。</w:t>
      </w:r>
    </w:p>
    <w:p w14:paraId="2B93303C">
      <w:pPr>
        <w:pStyle w:val="6"/>
        <w:ind w:firstLine="482"/>
        <w:rPr>
          <w:sz w:val="18"/>
          <w:szCs w:val="18"/>
        </w:rPr>
      </w:pPr>
      <w:r>
        <w:rPr>
          <w:lang w:bidi="ar"/>
        </w:rPr>
        <w:t>（3）</w:t>
      </w:r>
      <w:r>
        <w:rPr>
          <w:rFonts w:hint="default"/>
          <w:lang w:bidi="ar"/>
        </w:rPr>
        <w:t>气象数据</w:t>
      </w:r>
    </w:p>
    <w:p w14:paraId="42BA432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系统对接两个气象数据源实现互补：一是通过Open-Meteo开放气象API，基于用户设备GPS定位实时获取当前温度、湿度、风速、天气类型编码等数据；二是对接和风天气API，获取当前天气状况文本描述与短期预报。气象数据在用户首页实时展示，同时作为施肥推荐与喷药决策的环境修正因子（如降雨时自动降低施肥推荐量，大风条件下延迟喷药），并持久化存储至数据库用于历史分析与趋势可视化。</w:t>
      </w:r>
    </w:p>
    <w:p w14:paraId="370BE411">
      <w:pPr>
        <w:pStyle w:val="6"/>
        <w:ind w:firstLine="482"/>
        <w:rPr>
          <w:sz w:val="18"/>
          <w:szCs w:val="18"/>
        </w:rPr>
      </w:pPr>
      <w:r>
        <w:rPr>
          <w:lang w:bidi="ar"/>
        </w:rPr>
        <w:t>（4）</w:t>
      </w:r>
      <w:r>
        <w:rPr>
          <w:rFonts w:hint="default"/>
          <w:lang w:bidi="ar"/>
        </w:rPr>
        <w:t>烟草生长数据</w:t>
      </w:r>
    </w:p>
    <w:p w14:paraId="716FC4B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通过无人机搭载测距模块、田间传感器及人工巡查等方式，采集烟草株高、叶面积、冠层覆盖度、叶色指数等生长状态指标。系统将烟草全生育期划分为苗期、还苗期、伸根期、旺长期、成熟期五个阶段，生长阶段信息作为施肥记录、追肥计算与智能策略推荐的核心输入变量。用户在新建施肥记录时选择当前生长阶段，系统据此自动调整氮磷钾推荐配比系数（如苗期×0.8、旺长期×1.2），实现阶段化精准施肥。</w:t>
      </w:r>
    </w:p>
    <w:p w14:paraId="75961081">
      <w:pPr>
        <w:pStyle w:val="6"/>
        <w:ind w:firstLine="482"/>
        <w:rPr>
          <w:sz w:val="18"/>
          <w:szCs w:val="18"/>
        </w:rPr>
      </w:pPr>
      <w:r>
        <w:rPr>
          <w:lang w:bidi="ar"/>
        </w:rPr>
        <w:t>（5）</w:t>
      </w:r>
      <w:r>
        <w:rPr>
          <w:rFonts w:hint="default"/>
          <w:lang w:bidi="ar"/>
        </w:rPr>
        <w:t>标注数据</w:t>
      </w:r>
    </w:p>
    <w:p w14:paraId="2BE6AFD4">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由专人对采集的图像数据进行人工标注，构建高质量训练数据集：</w:t>
      </w:r>
    </w:p>
    <w:p w14:paraId="33000A9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缺素标注：标注缺素类型（缺氮、缺磷、缺钾等八种元素）及缺素区域，用于训练ResNet缺素分类模型；</w:t>
      </w:r>
    </w:p>
    <w:p w14:paraId="61BD7AB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病害标注：采用YOLO格式对病害叶片进行目标框标注，标注四种病害类别（白星病、黄叶病、烟青虫和叶厚病）与位置坐标，用于训练YOLOv8n目标检测模型；</w:t>
      </w:r>
    </w:p>
    <w:p w14:paraId="7E57C97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数据集划分：按7:2:1比例划分训练集、验证集与测试集，确保各类别在三个子集中分布均衡；</w:t>
      </w:r>
    </w:p>
    <w:p w14:paraId="3FE51D8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质量控制：标注完成后由他人进行交叉复核，对标注一致性低于阈值的样本重新标注，保证数据集标注质量。</w:t>
      </w:r>
    </w:p>
    <w:p w14:paraId="4F7F6E6B">
      <w:pPr>
        <w:pStyle w:val="6"/>
        <w:ind w:firstLine="482"/>
        <w:rPr>
          <w:sz w:val="18"/>
          <w:szCs w:val="18"/>
        </w:rPr>
      </w:pPr>
      <w:r>
        <w:rPr>
          <w:lang w:bidi="ar"/>
        </w:rPr>
        <w:t>（6）</w:t>
      </w:r>
      <w:r>
        <w:rPr>
          <w:rFonts w:hint="default"/>
          <w:lang w:bidi="ar"/>
        </w:rPr>
        <w:t>施肥与施药历史数据</w:t>
      </w:r>
    </w:p>
    <w:p w14:paraId="4DB6E41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系统自身运行过程中持续积累施肥记录（地块、生长阶段、N/P/K等化肥用量、施肥时间）与农药施用记录（病害种类、农药名称、用量、施药时间），构成“作业—反馈”闭环数据。这些历史数据可用于训练施肥与喷药决策模型，优化推荐算法参数，并为数据分析模块提供缺素趋势图、病害分布图、施肥效果对比图等可视化数据源。</w:t>
      </w:r>
    </w:p>
    <w:p w14:paraId="4F16BBFD">
      <w:pPr>
        <w:pStyle w:val="4"/>
        <w:rPr>
          <w:rFonts w:hint="eastAsia" w:ascii="黑体" w:hAnsi="黑体"/>
          <w:lang w:val="en-US" w:eastAsia="zh-CN"/>
        </w:rPr>
      </w:pPr>
      <w:r>
        <w:rPr>
          <w:rFonts w:hint="eastAsia" w:ascii="黑体" w:hAnsi="黑体"/>
          <w:lang w:val="en-US" w:eastAsia="zh-CN"/>
        </w:rPr>
        <w:t>3.</w:t>
      </w:r>
      <w:r>
        <w:rPr>
          <w:rFonts w:hint="eastAsia" w:ascii="黑体" w:hAnsi="黑体"/>
          <w:lang w:val="en-US" w:eastAsia="zh-CN"/>
        </w:rPr>
        <w:t>5. 模型训练</w:t>
      </w:r>
    </w:p>
    <w:p w14:paraId="3BE13410">
      <w:pPr>
        <w:pStyle w:val="5"/>
      </w:pPr>
      <w:bookmarkStart w:id="47" w:name="_Toc11786"/>
      <w:r>
        <w:rPr>
          <w:rFonts w:hint="eastAsia" w:ascii="黑体" w:hAnsi="黑体"/>
          <w:lang w:val="en-US" w:eastAsia="zh-CN"/>
        </w:rPr>
        <w:t>3</w:t>
      </w:r>
      <w:r>
        <w:rPr>
          <w:rFonts w:ascii="黑体" w:hAnsi="黑体"/>
        </w:rPr>
        <w:t>.</w:t>
      </w:r>
      <w:r>
        <w:rPr>
          <w:rFonts w:hint="eastAsia" w:ascii="黑体" w:hAnsi="黑体"/>
          <w:lang w:val="en-US" w:eastAsia="zh-CN"/>
        </w:rPr>
        <w:t>5</w:t>
      </w:r>
      <w:r>
        <w:rPr>
          <w:rFonts w:ascii="黑体" w:hAnsi="黑体"/>
        </w:rPr>
        <w:t>.1.</w:t>
      </w:r>
      <w:r>
        <w:t>数据集构建</w:t>
      </w:r>
      <w:bookmarkEnd w:id="47"/>
    </w:p>
    <w:p w14:paraId="49C0A09D">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构建烟草多模态识别数据集，覆盖缺素识别与病害检测两大任务。</w:t>
      </w:r>
    </w:p>
    <w:p w14:paraId="2A11AB1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缺素识别数据集：包含10000+张RGB图像与5000+条光谱数据，涵盖缺氮、缺磷、缺钾、缺镁、缺硼等8种缺素类型，每种类型包含轻度、中度、重度3个等级，另设健康对照组。图像采集覆盖烟草苗期、还苗期、伸根期、旺长期、成熟期五个生长阶段，包含不同光照、不同背景复杂度的田间实拍样本。</w:t>
      </w:r>
    </w:p>
    <w:p w14:paraId="75C2A08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病害检测数据集：采集白星病、黄叶病、烟青虫、叶厚病四类烟草典型病害图像，每类不少于1000张，按YOLO格式进行目标框标注（类别+中心坐标+宽高），存储于标准化目录结构（images/ + labels/），通过data.yaml配置文件统一管理类别映射与路径。</w:t>
      </w:r>
    </w:p>
    <w:p w14:paraId="09D5B5A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数据增强：对训练集实施随机裁剪、旋转（0-360°）、水平/垂直翻转、亮度调整（±20%）、对比度调整（±20%）、Mosaic拼接、HSV色彩扰动、高斯噪声注入（方差0.01-0.05）等增强策略，有效扩充样本量并提升模型对田间复杂环境的适应能力。</w:t>
      </w:r>
    </w:p>
    <w:p w14:paraId="7BA2BC49">
      <w:pPr>
        <w:pStyle w:val="5"/>
        <w:rPr>
          <w:rFonts w:ascii="黑体" w:hAnsi="黑体"/>
        </w:rPr>
      </w:pPr>
      <w:bookmarkStart w:id="48" w:name="_Toc26525"/>
      <w:r>
        <w:rPr>
          <w:rFonts w:hint="eastAsia" w:ascii="黑体" w:hAnsi="黑体"/>
          <w:lang w:val="en-US" w:eastAsia="zh-CN"/>
        </w:rPr>
        <w:t>3</w:t>
      </w:r>
      <w:r>
        <w:rPr>
          <w:rFonts w:ascii="黑体" w:hAnsi="黑体"/>
        </w:rPr>
        <w:t>.</w:t>
      </w:r>
      <w:r>
        <w:rPr>
          <w:rFonts w:hint="eastAsia" w:ascii="黑体" w:hAnsi="黑体"/>
          <w:lang w:val="en-US" w:eastAsia="zh-CN"/>
        </w:rPr>
        <w:t>5</w:t>
      </w:r>
      <w:r>
        <w:rPr>
          <w:rFonts w:ascii="黑体" w:hAnsi="黑体"/>
        </w:rPr>
        <w:t>.2.数据集划分</w:t>
      </w:r>
      <w:bookmarkEnd w:id="48"/>
    </w:p>
    <w:tbl>
      <w:tblPr>
        <w:tblStyle w:val="11"/>
        <w:tblW w:w="74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33"/>
        <w:gridCol w:w="1051"/>
        <w:gridCol w:w="5175"/>
      </w:tblGrid>
      <w:tr w14:paraId="76537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0" w:hRule="atLeast"/>
          <w:tblHeader/>
          <w:jc w:val="center"/>
        </w:trPr>
        <w:tc>
          <w:tcPr>
            <w:tcW w:w="0" w:type="auto"/>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6930E4A0">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子集</w:t>
            </w:r>
          </w:p>
        </w:tc>
        <w:tc>
          <w:tcPr>
            <w:tcW w:w="0" w:type="auto"/>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56222405">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比例</w:t>
            </w:r>
          </w:p>
        </w:tc>
        <w:tc>
          <w:tcPr>
            <w:tcW w:w="5175"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10EB8DB">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用途</w:t>
            </w:r>
          </w:p>
        </w:tc>
      </w:tr>
      <w:tr w14:paraId="073377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51" w:hRule="atLeast"/>
          <w:jc w:val="center"/>
        </w:trPr>
        <w:tc>
          <w:tcPr>
            <w:tcW w:w="0" w:type="auto"/>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2FC10EB">
            <w:pPr>
              <w:widowControl/>
              <w:snapToGrid w:val="0"/>
              <w:ind w:firstLine="0" w:firstLineChars="0"/>
              <w:jc w:val="center"/>
              <w:rPr>
                <w:sz w:val="20"/>
                <w:szCs w:val="20"/>
              </w:rPr>
            </w:pPr>
            <w:r>
              <w:rPr>
                <w:rFonts w:hint="eastAsia"/>
                <w:sz w:val="20"/>
                <w:szCs w:val="20"/>
              </w:rPr>
              <w:t>训练集</w:t>
            </w:r>
          </w:p>
        </w:tc>
        <w:tc>
          <w:tcPr>
            <w:tcW w:w="0" w:type="auto"/>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DB598CA">
            <w:pPr>
              <w:widowControl/>
              <w:snapToGrid w:val="0"/>
              <w:ind w:firstLine="0" w:firstLineChars="0"/>
              <w:jc w:val="center"/>
              <w:rPr>
                <w:sz w:val="20"/>
                <w:szCs w:val="20"/>
              </w:rPr>
            </w:pPr>
            <w:r>
              <w:rPr>
                <w:rFonts w:hint="eastAsia"/>
                <w:sz w:val="20"/>
                <w:szCs w:val="20"/>
              </w:rPr>
              <w:t>70%</w:t>
            </w:r>
          </w:p>
        </w:tc>
        <w:tc>
          <w:tcPr>
            <w:tcW w:w="5175"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28492A6">
            <w:pPr>
              <w:widowControl/>
              <w:snapToGrid w:val="0"/>
              <w:ind w:firstLine="0" w:firstLineChars="0"/>
              <w:jc w:val="center"/>
              <w:rPr>
                <w:sz w:val="20"/>
                <w:szCs w:val="20"/>
              </w:rPr>
            </w:pPr>
            <w:r>
              <w:rPr>
                <w:rFonts w:hint="eastAsia"/>
                <w:sz w:val="20"/>
                <w:szCs w:val="20"/>
              </w:rPr>
              <w:t>模型参数学习与梯度更新</w:t>
            </w:r>
          </w:p>
        </w:tc>
      </w:tr>
      <w:tr w14:paraId="1945E9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51" w:hRule="atLeast"/>
          <w:jc w:val="center"/>
        </w:trPr>
        <w:tc>
          <w:tcPr>
            <w:tcW w:w="0" w:type="auto"/>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83C3EFC">
            <w:pPr>
              <w:widowControl/>
              <w:snapToGrid w:val="0"/>
              <w:ind w:firstLine="0" w:firstLineChars="0"/>
              <w:jc w:val="center"/>
              <w:rPr>
                <w:sz w:val="20"/>
                <w:szCs w:val="20"/>
              </w:rPr>
            </w:pPr>
            <w:r>
              <w:rPr>
                <w:rFonts w:hint="eastAsia"/>
                <w:sz w:val="20"/>
                <w:szCs w:val="20"/>
              </w:rPr>
              <w:t>验证集</w:t>
            </w:r>
          </w:p>
        </w:tc>
        <w:tc>
          <w:tcPr>
            <w:tcW w:w="0" w:type="auto"/>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5FFA966">
            <w:pPr>
              <w:widowControl/>
              <w:snapToGrid w:val="0"/>
              <w:ind w:firstLine="0" w:firstLineChars="0"/>
              <w:jc w:val="center"/>
              <w:rPr>
                <w:sz w:val="20"/>
                <w:szCs w:val="20"/>
              </w:rPr>
            </w:pPr>
            <w:r>
              <w:rPr>
                <w:rFonts w:hint="eastAsia"/>
                <w:sz w:val="20"/>
                <w:szCs w:val="20"/>
              </w:rPr>
              <w:t>20%</w:t>
            </w:r>
          </w:p>
        </w:tc>
        <w:tc>
          <w:tcPr>
            <w:tcW w:w="5175"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5E54500">
            <w:pPr>
              <w:widowControl/>
              <w:snapToGrid w:val="0"/>
              <w:ind w:firstLine="0" w:firstLineChars="0"/>
              <w:jc w:val="center"/>
              <w:rPr>
                <w:sz w:val="20"/>
                <w:szCs w:val="20"/>
              </w:rPr>
            </w:pPr>
            <w:r>
              <w:rPr>
                <w:rFonts w:hint="eastAsia"/>
                <w:sz w:val="20"/>
                <w:szCs w:val="20"/>
              </w:rPr>
              <w:t>训练过程中超参数调优与早停判定</w:t>
            </w:r>
          </w:p>
        </w:tc>
      </w:tr>
      <w:tr w14:paraId="0D10A8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61" w:hRule="atLeast"/>
          <w:jc w:val="center"/>
        </w:trPr>
        <w:tc>
          <w:tcPr>
            <w:tcW w:w="123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9442128">
            <w:pPr>
              <w:widowControl/>
              <w:snapToGrid w:val="0"/>
              <w:ind w:firstLine="0" w:firstLineChars="0"/>
              <w:jc w:val="center"/>
              <w:rPr>
                <w:sz w:val="20"/>
                <w:szCs w:val="20"/>
              </w:rPr>
            </w:pPr>
            <w:r>
              <w:rPr>
                <w:rFonts w:hint="eastAsia"/>
                <w:sz w:val="20"/>
                <w:szCs w:val="20"/>
              </w:rPr>
              <w:t>测试集</w:t>
            </w:r>
          </w:p>
        </w:tc>
        <w:tc>
          <w:tcPr>
            <w:tcW w:w="105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FE48B80">
            <w:pPr>
              <w:widowControl/>
              <w:snapToGrid w:val="0"/>
              <w:ind w:firstLine="0" w:firstLineChars="0"/>
              <w:jc w:val="center"/>
              <w:rPr>
                <w:sz w:val="20"/>
                <w:szCs w:val="20"/>
              </w:rPr>
            </w:pPr>
            <w:r>
              <w:rPr>
                <w:rFonts w:hint="eastAsia"/>
                <w:sz w:val="20"/>
                <w:szCs w:val="20"/>
              </w:rPr>
              <w:t>10%</w:t>
            </w:r>
          </w:p>
        </w:tc>
        <w:tc>
          <w:tcPr>
            <w:tcW w:w="5175"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96E0E2F">
            <w:pPr>
              <w:widowControl/>
              <w:snapToGrid w:val="0"/>
              <w:ind w:firstLine="0" w:firstLineChars="0"/>
              <w:jc w:val="center"/>
              <w:rPr>
                <w:sz w:val="20"/>
                <w:szCs w:val="20"/>
              </w:rPr>
            </w:pPr>
            <w:r>
              <w:rPr>
                <w:rFonts w:hint="eastAsia"/>
                <w:sz w:val="20"/>
                <w:szCs w:val="20"/>
              </w:rPr>
              <w:t>最终模型性能评估，不参与训练过程</w:t>
            </w:r>
          </w:p>
        </w:tc>
      </w:tr>
    </w:tbl>
    <w:p w14:paraId="10C9595D">
      <w:pPr>
        <w:widowControl/>
        <w:ind w:firstLine="360"/>
        <w:jc w:val="center"/>
        <w:rPr>
          <w:rFonts w:hint="eastAsia" w:ascii="宋体" w:hAnsi="宋体" w:cs="宋体"/>
          <w:kern w:val="0"/>
          <w:sz w:val="18"/>
          <w:szCs w:val="18"/>
          <w:lang w:bidi="ar"/>
        </w:rPr>
      </w:pPr>
      <w:r>
        <w:rPr>
          <w:rFonts w:hint="eastAsia"/>
          <w:sz w:val="18"/>
          <w:szCs w:val="18"/>
        </w:rPr>
        <w:t>表</w:t>
      </w:r>
      <w:r>
        <w:rPr>
          <w:rFonts w:hint="eastAsia"/>
          <w:sz w:val="18"/>
          <w:szCs w:val="18"/>
          <w:lang w:val="en-US" w:eastAsia="zh-CN"/>
        </w:rPr>
        <w:t>3</w:t>
      </w:r>
      <w:r>
        <w:rPr>
          <w:rFonts w:hint="eastAsia"/>
          <w:sz w:val="18"/>
          <w:szCs w:val="18"/>
        </w:rPr>
        <w:t>.1 数据集划分情况</w:t>
      </w:r>
    </w:p>
    <w:p w14:paraId="34AB33C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划分时采用分层抽样策略，确保各缺素类型、病害类别在三个子集中分布均衡，避免类别偏移导致评估失真。</w:t>
      </w:r>
    </w:p>
    <w:p w14:paraId="037CC981">
      <w:pPr>
        <w:pStyle w:val="5"/>
      </w:pPr>
      <w:bookmarkStart w:id="49" w:name="_Toc25406"/>
      <w:r>
        <w:rPr>
          <w:rFonts w:hint="eastAsia" w:ascii="黑体" w:hAnsi="黑体"/>
          <w:lang w:val="en-US" w:eastAsia="zh-CN"/>
        </w:rPr>
        <w:t>3</w:t>
      </w:r>
      <w:r>
        <w:rPr>
          <w:rFonts w:ascii="黑体" w:hAnsi="黑体"/>
        </w:rPr>
        <w:t>.</w:t>
      </w:r>
      <w:r>
        <w:rPr>
          <w:rFonts w:hint="eastAsia" w:ascii="黑体" w:hAnsi="黑体"/>
          <w:lang w:val="en-US" w:eastAsia="zh-CN"/>
        </w:rPr>
        <w:t>5</w:t>
      </w:r>
      <w:r>
        <w:rPr>
          <w:rFonts w:ascii="黑体" w:hAnsi="黑体"/>
        </w:rPr>
        <w:t>.3.</w:t>
      </w:r>
      <w:r>
        <w:t>模型训练环境</w:t>
      </w:r>
      <w:bookmarkEnd w:id="49"/>
    </w:p>
    <w:p w14:paraId="4583AF5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硬件采用Intel Xeon 8核CPU、32GB内存、NVIDIA RTX 3090 GPU（24GB）；软件采用Python 3.8、PyTorch 1.10、OpenCV 4.5等。</w:t>
      </w:r>
    </w:p>
    <w:p w14:paraId="2348E950">
      <w:pPr>
        <w:pStyle w:val="5"/>
      </w:pPr>
      <w:bookmarkStart w:id="50" w:name="_Toc8319"/>
      <w:r>
        <w:rPr>
          <w:rFonts w:hint="eastAsia" w:ascii="黑体" w:hAnsi="黑体"/>
          <w:lang w:val="en-US" w:eastAsia="zh-CN"/>
        </w:rPr>
        <w:t>3</w:t>
      </w:r>
      <w:r>
        <w:rPr>
          <w:rFonts w:ascii="黑体" w:hAnsi="黑体"/>
        </w:rPr>
        <w:t>.</w:t>
      </w:r>
      <w:r>
        <w:rPr>
          <w:rFonts w:hint="eastAsia" w:ascii="黑体" w:hAnsi="黑体"/>
          <w:lang w:val="en-US" w:eastAsia="zh-CN"/>
        </w:rPr>
        <w:t>5</w:t>
      </w:r>
      <w:r>
        <w:rPr>
          <w:rFonts w:ascii="黑体" w:hAnsi="黑体"/>
        </w:rPr>
        <w:t>.4.</w:t>
      </w:r>
      <w:r>
        <w:t>训练过程</w:t>
      </w:r>
      <w:bookmarkEnd w:id="50"/>
    </w:p>
    <w:p w14:paraId="6AB53E76">
      <w:pPr>
        <w:pStyle w:val="6"/>
        <w:ind w:firstLine="482"/>
        <w:rPr>
          <w:sz w:val="18"/>
          <w:szCs w:val="18"/>
          <w:lang w:bidi="ar"/>
        </w:rPr>
      </w:pPr>
      <w:r>
        <w:rPr>
          <w:lang w:bidi="ar"/>
        </w:rPr>
        <w:t>（1）病害检测模型（YOLOv8n）训练</w:t>
      </w:r>
    </w:p>
    <w:p w14:paraId="14AA203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基于Ultralytics框架加载YOLOv8n官方预训练权重（yolov8n.pt），在烟草病害数据集上进行迁移学习微调，检测目标包括白星病、黄叶病、烟青虫、叶厚病等。</w:t>
      </w:r>
    </w:p>
    <w:p w14:paraId="46F6F32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lang w:bidi="ar"/>
        </w:rPr>
      </w:pPr>
      <w:r>
        <w:rPr>
          <w:rFonts w:hint="eastAsia" w:ascii="等线" w:hAnsi="等线" w:eastAsia="等线" w:cs="等线"/>
          <w:b/>
          <w:bCs/>
          <w:kern w:val="0"/>
          <w:lang w:bidi="ar"/>
        </w:rPr>
        <w:t>损失函数设计</w:t>
      </w:r>
      <w:r>
        <w:rPr>
          <w:rFonts w:hint="eastAsia" w:ascii="等线" w:hAnsi="等线" w:eastAsia="等线" w:cs="等线"/>
          <w:kern w:val="0"/>
          <w:lang w:bidi="ar"/>
        </w:rPr>
        <w:t>：YOLOv8n采用多任务联合损失进行端到端训练，总损失由分类损失、定位损失与置信度损失三部分加权组成</w:t>
      </w:r>
      <w:r>
        <w:rPr>
          <w:rFonts w:hint="eastAsia" w:ascii="等线" w:hAnsi="等线" w:eastAsia="等线" w:cs="等线"/>
          <w:kern w:val="0"/>
          <w:vertAlign w:val="superscript"/>
          <w:lang w:bidi="ar"/>
        </w:rPr>
        <w:fldChar w:fldCharType="begin"/>
      </w:r>
      <w:r>
        <w:rPr>
          <w:rFonts w:hint="eastAsia" w:ascii="等线" w:hAnsi="等线" w:eastAsia="等线" w:cs="等线"/>
          <w:kern w:val="0"/>
          <w:vertAlign w:val="superscript"/>
          <w:lang w:bidi="ar"/>
        </w:rPr>
        <w:instrText xml:space="preserve"> REF _Ref225504136 \r \h  \* MERGEFORMAT </w:instrText>
      </w:r>
      <w:r>
        <w:rPr>
          <w:rFonts w:hint="eastAsia" w:ascii="等线" w:hAnsi="等线" w:eastAsia="等线" w:cs="等线"/>
          <w:kern w:val="0"/>
          <w:vertAlign w:val="superscript"/>
          <w:lang w:bidi="ar"/>
        </w:rPr>
        <w:fldChar w:fldCharType="separate"/>
      </w:r>
      <w:r>
        <w:rPr>
          <w:rFonts w:hint="eastAsia" w:ascii="等线" w:hAnsi="等线" w:eastAsia="等线" w:cs="等线"/>
          <w:kern w:val="0"/>
          <w:vertAlign w:val="superscript"/>
          <w:lang w:bidi="ar"/>
        </w:rPr>
        <w:t>[</w:t>
      </w:r>
      <w:r>
        <w:rPr>
          <w:rFonts w:hint="eastAsia" w:ascii="等线" w:hAnsi="等线" w:eastAsia="等线" w:cs="等线"/>
          <w:kern w:val="0"/>
          <w:vertAlign w:val="superscript"/>
          <w:lang w:val="en-US" w:eastAsia="zh-CN" w:bidi="ar"/>
        </w:rPr>
        <w:t>4</w:t>
      </w:r>
      <w:r>
        <w:rPr>
          <w:rFonts w:hint="eastAsia" w:ascii="等线" w:hAnsi="等线" w:eastAsia="等线" w:cs="等线"/>
          <w:kern w:val="0"/>
          <w:vertAlign w:val="superscript"/>
          <w:lang w:bidi="ar"/>
        </w:rPr>
        <w:t>]</w:t>
      </w:r>
      <w:r>
        <w:rPr>
          <w:rFonts w:hint="eastAsia" w:ascii="等线" w:hAnsi="等线" w:eastAsia="等线" w:cs="等线"/>
          <w:kern w:val="0"/>
          <w:vertAlign w:val="superscript"/>
          <w:lang w:bidi="ar"/>
        </w:rPr>
        <w:fldChar w:fldCharType="end"/>
      </w:r>
      <w:r>
        <w:rPr>
          <w:rFonts w:hint="eastAsia" w:ascii="等线" w:hAnsi="等线" w:eastAsia="等线" w:cs="等线"/>
          <w:kern w:val="0"/>
          <w:lang w:bidi="ar"/>
        </w:rPr>
        <w:t>：</w:t>
      </w:r>
    </w:p>
    <w:p w14:paraId="24A6CEC4">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47" o:spt="75" type="#_x0000_t75" style="height:18.8pt;width:187.2pt;" o:ole="t" filled="f" o:preferrelative="t" stroked="f" coordsize="21600,21600">
            <v:path/>
            <v:fill on="f" focussize="0,0"/>
            <v:stroke on="f" joinstyle="miter"/>
            <v:imagedata r:id="rId12" o:title=""/>
            <o:lock v:ext="edit" aspectratio="t"/>
            <w10:wrap type="none"/>
            <w10:anchorlock/>
          </v:shape>
          <o:OLEObject Type="Embed" ProgID="Equation.KSEE3" ShapeID="_x0000_i1047" DrawAspect="Content" ObjectID="_1468075725" r:id="rId11">
            <o:LockedField>false</o:LockedField>
          </o:OLEObject>
        </w:object>
      </w:r>
    </w:p>
    <w:p w14:paraId="6B61129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其中：</w:t>
      </w:r>
    </w:p>
    <w:p w14:paraId="3B9049B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48" o:spt="75" type="#_x0000_t75" style="height:18.15pt;width:18.8pt;" o:ole="t" filled="f" o:preferrelative="t" stroked="f" coordsize="21600,21600">
            <v:path/>
            <v:fill on="f" focussize="0,0"/>
            <v:stroke on="f" joinstyle="miter"/>
            <v:imagedata r:id="rId14" o:title=""/>
            <o:lock v:ext="edit" aspectratio="t"/>
            <w10:wrap type="none"/>
            <w10:anchorlock/>
          </v:shape>
          <o:OLEObject Type="Embed" ProgID="Equation.KSEE3" ShapeID="_x0000_i1048" DrawAspect="Content" ObjectID="_1468075726" r:id="rId13">
            <o:LockedField>false</o:LockedField>
          </o:OLEObject>
        </w:object>
      </w:r>
      <w:r>
        <w:rPr>
          <w:rFonts w:hint="eastAsia" w:ascii="等线" w:hAnsi="等线" w:eastAsia="等线" w:cs="等线"/>
          <w:kern w:val="0"/>
          <w:lang w:bidi="ar"/>
        </w:rPr>
        <w:t>为分类损失，采用Binary Cross-Entropy（BCE）计算各类别预测概率与真实标签之间的偏差；</w:t>
      </w:r>
    </w:p>
    <w:p w14:paraId="1BBECEA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49" o:spt="75" type="#_x0000_t75" style="height:18.15pt;width:21.3pt;" o:ole="t" filled="f" o:preferrelative="t" stroked="f" coordsize="21600,21600">
            <v:path/>
            <v:fill on="f" focussize="0,0"/>
            <v:stroke on="f" joinstyle="miter"/>
            <v:imagedata r:id="rId16" o:title=""/>
            <o:lock v:ext="edit" aspectratio="t"/>
            <w10:wrap type="none"/>
            <w10:anchorlock/>
          </v:shape>
          <o:OLEObject Type="Embed" ProgID="Equation.KSEE3" ShapeID="_x0000_i1049" DrawAspect="Content" ObjectID="_1468075727" r:id="rId15">
            <o:LockedField>false</o:LockedField>
          </o:OLEObject>
        </w:object>
      </w:r>
      <w:r>
        <w:rPr>
          <w:rFonts w:hint="eastAsia" w:ascii="等线" w:hAnsi="等线" w:eastAsia="等线" w:cs="等线"/>
          <w:kern w:val="0"/>
          <w:lang w:bidi="ar"/>
        </w:rPr>
        <w:t>为边框回归损失，采用CIoU Loss衡量预测框与真实框的重叠度、中心距离与宽高比一致性；</w:t>
      </w:r>
    </w:p>
    <w:p w14:paraId="4A35826E">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50" o:spt="75" type="#_x0000_t75" style="height:18.8pt;width:20.05pt;" o:ole="t" filled="f" o:preferrelative="t" stroked="f" coordsize="21600,21600">
            <v:path/>
            <v:fill on="f" focussize="0,0"/>
            <v:stroke on="f" joinstyle="miter"/>
            <v:imagedata r:id="rId18" o:title=""/>
            <o:lock v:ext="edit" aspectratio="t"/>
            <w10:wrap type="none"/>
            <w10:anchorlock/>
          </v:shape>
          <o:OLEObject Type="Embed" ProgID="Equation.KSEE3" ShapeID="_x0000_i1050" DrawAspect="Content" ObjectID="_1468075728" r:id="rId17">
            <o:LockedField>false</o:LockedField>
          </o:OLEObject>
        </w:object>
      </w:r>
      <w:r>
        <w:rPr>
          <w:rFonts w:hint="eastAsia" w:ascii="等线" w:hAnsi="等线" w:eastAsia="等线" w:cs="等线"/>
          <w:kern w:val="0"/>
          <w:lang w:bidi="ar"/>
        </w:rPr>
        <w:t>为目标置信度损失，采用BCE判断候选区域是否存在目标；</w:t>
      </w:r>
    </w:p>
    <w:p w14:paraId="50368F4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51" o:spt="75" type="#_x0000_t75" style="height:18.15pt;width:18.15pt;" o:ole="t" filled="f" o:preferrelative="t" stroked="f" coordsize="21600,21600">
            <v:path/>
            <v:fill on="f" focussize="0,0"/>
            <v:stroke on="f" joinstyle="miter"/>
            <v:imagedata r:id="rId20" o:title=""/>
            <o:lock v:ext="edit" aspectratio="t"/>
            <w10:wrap type="none"/>
            <w10:anchorlock/>
          </v:shape>
          <o:OLEObject Type="Embed" ProgID="Equation.KSEE3" ShapeID="_x0000_i1051" DrawAspect="Content" ObjectID="_1468075729" r:id="rId19">
            <o:LockedField>false</o:LockedField>
          </o:OLEObject>
        </w:object>
      </w:r>
      <w:r>
        <w:rPr>
          <w:rFonts w:hint="eastAsia" w:ascii="等线" w:hAnsi="等线" w:eastAsia="等线" w:cs="等线"/>
          <w:kern w:val="0"/>
          <w:lang w:bidi="ar"/>
        </w:rPr>
        <w:t>、</w:t>
      </w:r>
      <w:r>
        <w:rPr>
          <w:rFonts w:hint="eastAsia" w:ascii="等线" w:hAnsi="等线" w:eastAsia="等线" w:cs="等线"/>
          <w:kern w:val="0"/>
          <w:lang w:bidi="ar"/>
        </w:rPr>
        <w:object>
          <v:shape id="_x0000_i1052" o:spt="75" type="#_x0000_t75" style="height:18.15pt;width:20.05pt;" o:ole="t" filled="f" o:preferrelative="t" stroked="f" coordsize="21600,21600">
            <v:path/>
            <v:fill on="f" focussize="0,0"/>
            <v:stroke on="f" joinstyle="miter"/>
            <v:imagedata r:id="rId22" o:title=""/>
            <o:lock v:ext="edit" aspectratio="t"/>
            <w10:wrap type="none"/>
            <w10:anchorlock/>
          </v:shape>
          <o:OLEObject Type="Embed" ProgID="Equation.KSEE3" ShapeID="_x0000_i1052" DrawAspect="Content" ObjectID="_1468075730" r:id="rId21">
            <o:LockedField>false</o:LockedField>
          </o:OLEObject>
        </w:object>
      </w:r>
      <w:r>
        <w:rPr>
          <w:rFonts w:hint="eastAsia" w:ascii="等线" w:hAnsi="等线" w:eastAsia="等线" w:cs="等线"/>
          <w:kern w:val="0"/>
          <w:lang w:bidi="ar"/>
        </w:rPr>
        <w:t>、</w:t>
      </w:r>
      <w:r>
        <w:rPr>
          <w:rFonts w:hint="eastAsia" w:ascii="等线" w:hAnsi="等线" w:eastAsia="等线" w:cs="等线"/>
          <w:kern w:val="0"/>
          <w:lang w:bidi="ar"/>
        </w:rPr>
        <w:object>
          <v:shape id="_x0000_i1053" o:spt="75" type="#_x0000_t75" style="height:18.8pt;width:20.05pt;" o:ole="t" filled="f" o:preferrelative="t" stroked="f" coordsize="21600,21600">
            <v:path/>
            <v:fill on="f" focussize="0,0"/>
            <v:stroke on="f" joinstyle="miter"/>
            <v:imagedata r:id="rId24" o:title=""/>
            <o:lock v:ext="edit" aspectratio="t"/>
            <w10:wrap type="none"/>
            <w10:anchorlock/>
          </v:shape>
          <o:OLEObject Type="Embed" ProgID="Equation.KSEE3" ShapeID="_x0000_i1053" DrawAspect="Content" ObjectID="_1468075731" r:id="rId23">
            <o:LockedField>false</o:LockedField>
          </o:OLEObject>
        </w:object>
      </w:r>
      <w:r>
        <w:rPr>
          <w:rFonts w:hint="eastAsia" w:ascii="等线" w:hAnsi="等线" w:eastAsia="等线" w:cs="等线"/>
          <w:kern w:val="0"/>
          <w:lang w:bidi="ar"/>
        </w:rPr>
        <w:t>为各损失项权重系数，默认取</w:t>
      </w:r>
      <w:r>
        <w:rPr>
          <w:rFonts w:hint="eastAsia" w:ascii="等线" w:hAnsi="等线" w:eastAsia="等线" w:cs="等线"/>
          <w:kern w:val="0"/>
          <w:lang w:bidi="ar"/>
        </w:rPr>
        <w:object>
          <v:shape id="_x0000_i1054" o:spt="75" type="#_x0000_t75" style="height:18.15pt;width:45.7pt;" o:ole="t" filled="f" o:preferrelative="t" stroked="f" coordsize="21600,21600">
            <v:path/>
            <v:fill on="f" focussize="0,0"/>
            <v:stroke on="f" joinstyle="miter"/>
            <v:imagedata r:id="rId26" o:title=""/>
            <o:lock v:ext="edit" aspectratio="t"/>
            <w10:wrap type="none"/>
            <w10:anchorlock/>
          </v:shape>
          <o:OLEObject Type="Embed" ProgID="Equation.KSEE3" ShapeID="_x0000_i1054" DrawAspect="Content" ObjectID="_1468075732" r:id="rId25">
            <o:LockedField>false</o:LockedField>
          </o:OLEObject>
        </w:object>
      </w:r>
      <w:r>
        <w:rPr>
          <w:rFonts w:hint="eastAsia" w:ascii="等线" w:hAnsi="等线" w:eastAsia="等线" w:cs="等线"/>
          <w:kern w:val="0"/>
          <w:lang w:bidi="ar"/>
        </w:rPr>
        <w:t>，</w:t>
      </w:r>
      <w:r>
        <w:rPr>
          <w:rFonts w:hint="eastAsia" w:ascii="等线" w:hAnsi="等线" w:eastAsia="等线" w:cs="等线"/>
          <w:kern w:val="0"/>
          <w:lang w:bidi="ar"/>
        </w:rPr>
        <w:object>
          <v:shape id="_x0000_i1055" o:spt="75" type="#_x0000_t75" style="height:18.15pt;width:48.2pt;" o:ole="t" filled="f" o:preferrelative="t" stroked="f" coordsize="21600,21600">
            <v:path/>
            <v:fill on="f" focussize="0,0"/>
            <v:stroke on="f" joinstyle="miter"/>
            <v:imagedata r:id="rId28" o:title=""/>
            <o:lock v:ext="edit" aspectratio="t"/>
            <w10:wrap type="none"/>
            <w10:anchorlock/>
          </v:shape>
          <o:OLEObject Type="Embed" ProgID="Equation.KSEE3" ShapeID="_x0000_i1055" DrawAspect="Content" ObjectID="_1468075733" r:id="rId27">
            <o:LockedField>false</o:LockedField>
          </o:OLEObject>
        </w:object>
      </w:r>
      <w:r>
        <w:rPr>
          <w:rFonts w:hint="eastAsia" w:ascii="等线" w:hAnsi="等线" w:eastAsia="等线" w:cs="等线"/>
          <w:kern w:val="0"/>
          <w:lang w:bidi="ar"/>
        </w:rPr>
        <w:t>，</w:t>
      </w:r>
      <w:r>
        <w:rPr>
          <w:rFonts w:hint="eastAsia" w:ascii="等线" w:hAnsi="等线" w:eastAsia="等线" w:cs="等线"/>
          <w:kern w:val="0"/>
          <w:lang w:bidi="ar"/>
        </w:rPr>
        <w:object>
          <v:shape id="_x0000_i1056" o:spt="75" type="#_x0000_t75" style="height:18.8pt;width:45.7pt;" o:ole="t" filled="f" o:preferrelative="t" stroked="f" coordsize="21600,21600">
            <v:path/>
            <v:fill on="f" focussize="0,0"/>
            <v:stroke on="f" joinstyle="miter"/>
            <v:imagedata r:id="rId30" o:title=""/>
            <o:lock v:ext="edit" aspectratio="t"/>
            <w10:wrap type="none"/>
            <w10:anchorlock/>
          </v:shape>
          <o:OLEObject Type="Embed" ProgID="Equation.KSEE3" ShapeID="_x0000_i1056" DrawAspect="Content" ObjectID="_1468075734" r:id="rId29">
            <o:LockedField>false</o:LockedField>
          </o:OLEObject>
        </w:object>
      </w:r>
      <w:r>
        <w:rPr>
          <w:rFonts w:hint="eastAsia" w:ascii="等线" w:hAnsi="等线" w:eastAsia="等线" w:cs="等线"/>
          <w:kern w:val="0"/>
          <w:lang w:bidi="ar"/>
        </w:rPr>
        <w:t>。</w:t>
      </w:r>
    </w:p>
    <w:p w14:paraId="09E05BF1">
      <w:pPr>
        <w:ind w:firstLine="482"/>
        <w:rPr>
          <w:rFonts w:hint="eastAsia" w:ascii="宋体" w:hAnsi="宋体"/>
          <w:b/>
          <w:bCs/>
          <w:sz w:val="18"/>
          <w:szCs w:val="18"/>
          <w:lang w:bidi="ar"/>
        </w:rPr>
      </w:pPr>
      <w:r>
        <w:rPr>
          <w:rFonts w:hint="eastAsia" w:ascii="宋体" w:hAnsi="宋体"/>
          <w:b/>
          <w:bCs/>
          <w:lang w:bidi="ar"/>
        </w:rPr>
        <w:t>CIoU Loss定义：</w:t>
      </w:r>
    </w:p>
    <w:p w14:paraId="10DBA313">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57" o:spt="75" type="#_x0000_t75" style="height:20.05pt;width:179.05pt;" o:ole="t" filled="f" o:preferrelative="t" stroked="f" coordsize="21600,21600">
            <v:path/>
            <v:fill on="f" focussize="0,0"/>
            <v:stroke on="f" joinstyle="miter"/>
            <v:imagedata r:id="rId32" o:title=""/>
            <o:lock v:ext="edit" aspectratio="t"/>
            <w10:wrap type="none"/>
            <w10:anchorlock/>
          </v:shape>
          <o:OLEObject Type="Embed" ProgID="Equation.KSEE3" ShapeID="_x0000_i1057" DrawAspect="Content" ObjectID="_1468075735" r:id="rId31">
            <o:LockedField>false</o:LockedField>
          </o:OLEObject>
        </w:object>
      </w:r>
    </w:p>
    <w:p w14:paraId="55E0487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其中：</w:t>
      </w:r>
    </w:p>
    <w:p w14:paraId="1EC2E27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58" o:spt="75" type="#_x0000_t75" style="height:13.75pt;width:23.8pt;" o:ole="t" filled="f" o:preferrelative="t" stroked="f" coordsize="21600,21600">
            <v:path/>
            <v:fill on="f" focussize="0,0"/>
            <v:stroke on="f" joinstyle="miter"/>
            <v:imagedata r:id="rId34" o:title=""/>
            <o:lock v:ext="edit" aspectratio="t"/>
            <w10:wrap type="none"/>
            <w10:anchorlock/>
          </v:shape>
          <o:OLEObject Type="Embed" ProgID="Equation.KSEE3" ShapeID="_x0000_i1058" DrawAspect="Content" ObjectID="_1468075736" r:id="rId33">
            <o:LockedField>false</o:LockedField>
          </o:OLEObject>
        </w:object>
      </w:r>
      <w:r>
        <w:rPr>
          <w:rFonts w:hint="eastAsia" w:ascii="等线" w:hAnsi="等线" w:eastAsia="等线" w:cs="等线"/>
          <w:kern w:val="0"/>
          <w:lang w:bidi="ar"/>
        </w:rPr>
        <w:t>为预测框与真实框的交并比；</w:t>
      </w:r>
    </w:p>
    <w:p w14:paraId="68E36E0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59" o:spt="75" type="#_x0000_t75" style="height:18.8pt;width:40.7pt;" o:ole="t" filled="f" o:preferrelative="t" stroked="f" coordsize="21600,21600">
            <v:path/>
            <v:fill on="f" focussize="0,0"/>
            <v:stroke on="f" joinstyle="miter"/>
            <v:imagedata r:id="rId36" o:title=""/>
            <o:lock v:ext="edit" aspectratio="t"/>
            <w10:wrap type="none"/>
            <w10:anchorlock/>
          </v:shape>
          <o:OLEObject Type="Embed" ProgID="Equation.KSEE3" ShapeID="_x0000_i1059" DrawAspect="Content" ObjectID="_1468075737" r:id="rId35">
            <o:LockedField>false</o:LockedField>
          </o:OLEObject>
        </w:object>
      </w:r>
      <w:r>
        <w:rPr>
          <w:rFonts w:hint="eastAsia" w:ascii="等线" w:hAnsi="等线" w:eastAsia="等线" w:cs="等线"/>
          <w:kern w:val="0"/>
          <w:lang w:bidi="ar"/>
        </w:rPr>
        <w:t>为预测框中心与真实框中心的欧氏距离；</w:t>
      </w:r>
    </w:p>
    <w:p w14:paraId="0D058CD5">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60" o:spt="75" type="#_x0000_t75" style="height:11.25pt;width:8.75pt;" o:ole="t" filled="f" o:preferrelative="t" stroked="f" coordsize="21600,21600">
            <v:path/>
            <v:fill on="f" focussize="0,0"/>
            <v:stroke on="f" joinstyle="miter"/>
            <v:imagedata r:id="rId38" o:title=""/>
            <o:lock v:ext="edit" aspectratio="t"/>
            <w10:wrap type="none"/>
            <w10:anchorlock/>
          </v:shape>
          <o:OLEObject Type="Embed" ProgID="Equation.KSEE3" ShapeID="_x0000_i1060" DrawAspect="Content" ObjectID="_1468075738" r:id="rId37">
            <o:LockedField>false</o:LockedField>
          </o:OLEObject>
        </w:object>
      </w:r>
      <w:r>
        <w:rPr>
          <w:rFonts w:hint="eastAsia" w:ascii="等线" w:hAnsi="等线" w:eastAsia="等线" w:cs="等线"/>
          <w:kern w:val="0"/>
          <w:lang w:bidi="ar"/>
        </w:rPr>
        <w:t>为能同时包含预测框与真实框的最小闭合矩形对角线长度；</w:t>
      </w:r>
    </w:p>
    <w:p w14:paraId="7C8663E2">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61" o:spt="75" type="#_x0000_t75" style="height:21.3pt;width:214.1pt;" o:ole="t" filled="f" o:preferrelative="t" stroked="f" coordsize="21600,21600">
            <v:path/>
            <v:fill on="f" focussize="0,0"/>
            <v:stroke on="f" joinstyle="miter"/>
            <v:imagedata r:id="rId40" o:title=""/>
            <o:lock v:ext="edit" aspectratio="t"/>
            <w10:wrap type="none"/>
            <w10:anchorlock/>
          </v:shape>
          <o:OLEObject Type="Embed" ProgID="Equation.KSEE3" ShapeID="_x0000_i1061" DrawAspect="Content" ObjectID="_1468075739" r:id="rId39">
            <o:LockedField>false</o:LockedField>
          </o:OLEObject>
        </w:object>
      </w:r>
      <w:r>
        <w:rPr>
          <w:rFonts w:hint="eastAsia" w:ascii="等线" w:hAnsi="等线" w:eastAsia="等线" w:cs="等线"/>
          <w:kern w:val="0"/>
          <w:lang w:bidi="ar"/>
        </w:rPr>
        <w:t>，衡量宽高比一致性；</w:t>
      </w:r>
    </w:p>
    <w:p w14:paraId="039580D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object>
          <v:shape id="_x0000_i1062" o:spt="75" type="#_x0000_t75" style="height:16.9pt;width:93.3pt;" o:ole="t" filled="f" o:preferrelative="t" stroked="f" coordsize="21600,21600">
            <v:path/>
            <v:fill on="f" focussize="0,0"/>
            <v:stroke on="f" joinstyle="miter"/>
            <v:imagedata r:id="rId42" o:title=""/>
            <o:lock v:ext="edit" aspectratio="t"/>
            <w10:wrap type="none"/>
            <w10:anchorlock/>
          </v:shape>
          <o:OLEObject Type="Embed" ProgID="Equation.KSEE3" ShapeID="_x0000_i1062" DrawAspect="Content" ObjectID="_1468075740" r:id="rId41">
            <o:LockedField>false</o:LockedField>
          </o:OLEObject>
        </w:object>
      </w:r>
      <w:r>
        <w:rPr>
          <w:rFonts w:hint="eastAsia" w:ascii="等线" w:hAnsi="等线" w:eastAsia="等线" w:cs="等线"/>
          <w:kern w:val="0"/>
          <w:lang w:bidi="ar"/>
        </w:rPr>
        <w:t>，自适应平衡系数。</w:t>
      </w:r>
    </w:p>
    <w:p w14:paraId="62CFC372">
      <w:pPr>
        <w:ind w:firstLine="482"/>
        <w:rPr>
          <w:b/>
          <w:bCs/>
          <w:lang w:bidi="ar"/>
        </w:rPr>
      </w:pPr>
      <w:r>
        <w:rPr>
          <w:rFonts w:hint="eastAsia"/>
          <w:b/>
          <w:bCs/>
          <w:lang w:bidi="ar"/>
        </w:rPr>
        <w:t>训练参数配置：</w:t>
      </w:r>
    </w:p>
    <w:tbl>
      <w:tblPr>
        <w:tblStyle w:val="11"/>
        <w:tblW w:w="614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47"/>
        <w:gridCol w:w="4493"/>
      </w:tblGrid>
      <w:tr w14:paraId="232679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334" w:hRule="atLeast"/>
          <w:tblHeader/>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3464BCC2">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4493"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2DC02DE3">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取值</w:t>
            </w:r>
          </w:p>
        </w:tc>
      </w:tr>
      <w:tr w14:paraId="44056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2153DD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输入分辨率</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F8EC068">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640×640</w:t>
            </w:r>
          </w:p>
        </w:tc>
      </w:tr>
      <w:tr w14:paraId="020E2D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F3A9F0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优化器</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11AF7802">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SGD(momentum=0.937，weight_decay=5×10</w:t>
            </w:r>
            <w:r>
              <w:rPr>
                <w:rFonts w:hint="eastAsia" w:ascii="宋体" w:hAnsi="宋体" w:cs="宋体"/>
                <w:sz w:val="20"/>
                <w:szCs w:val="20"/>
                <w:vertAlign w:val="superscript"/>
              </w:rPr>
              <w:t>-4</w:t>
            </w:r>
            <w:r>
              <w:rPr>
                <w:rFonts w:hint="eastAsia" w:ascii="宋体" w:hAnsi="宋体" w:cs="宋体"/>
                <w:sz w:val="20"/>
                <w:szCs w:val="20"/>
              </w:rPr>
              <w:t>)</w:t>
            </w:r>
          </w:p>
        </w:tc>
      </w:tr>
      <w:tr w14:paraId="23F5FC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4221B7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初始学习率</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0663BED">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0.01</w:t>
            </w:r>
          </w:p>
        </w:tc>
      </w:tr>
      <w:tr w14:paraId="05A5F9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1896EF02">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Batch Size</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5D7EF83C">
            <w:pPr>
              <w:widowControl/>
              <w:snapToGrid w:val="0"/>
              <w:ind w:firstLine="0" w:firstLineChars="0"/>
              <w:jc w:val="center"/>
              <w:rPr>
                <w:rFonts w:hint="default" w:ascii="宋体" w:hAnsi="宋体" w:eastAsia="宋体" w:cs="宋体"/>
                <w:sz w:val="20"/>
                <w:szCs w:val="20"/>
                <w:lang w:val="en-US" w:eastAsia="zh-CN"/>
              </w:rPr>
            </w:pPr>
            <w:r>
              <w:rPr>
                <w:rFonts w:hint="eastAsia" w:ascii="宋体" w:hAnsi="宋体" w:cs="宋体"/>
                <w:sz w:val="20"/>
                <w:szCs w:val="20"/>
                <w:lang w:val="en-US" w:eastAsia="zh-CN"/>
              </w:rPr>
              <w:t>32</w:t>
            </w:r>
          </w:p>
        </w:tc>
      </w:tr>
      <w:tr w14:paraId="55096B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0CD975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训练轮次</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F8E3E28">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100 epochs</w:t>
            </w:r>
          </w:p>
        </w:tc>
      </w:tr>
      <w:tr w14:paraId="4DAE86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2775EAF">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NMS置信度阈值</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17B72BE">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0.25</w:t>
            </w:r>
          </w:p>
        </w:tc>
      </w:tr>
      <w:tr w14:paraId="5BF205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62F85D2">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NMS IoU阈值</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1F7598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0.45</w:t>
            </w:r>
          </w:p>
        </w:tc>
      </w:tr>
      <w:tr w14:paraId="4F64E7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FA577C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增强策略</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604C90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Mosaic、HSV扰动、随机翻转、MixUp</w:t>
            </w:r>
          </w:p>
        </w:tc>
      </w:tr>
      <w:tr w14:paraId="2CBCB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E7FB75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早停策略</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347EBD3">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验证集mAP@0.5连续15轮无提升则终止</w:t>
            </w:r>
          </w:p>
        </w:tc>
      </w:tr>
    </w:tbl>
    <w:p w14:paraId="0A6DEB47">
      <w:pPr>
        <w:widowControl/>
        <w:ind w:firstLine="360"/>
        <w:jc w:val="center"/>
        <w:rPr>
          <w:rFonts w:hint="eastAsia" w:ascii="宋体" w:hAnsi="宋体" w:cs="宋体"/>
          <w:kern w:val="0"/>
          <w:sz w:val="18"/>
          <w:szCs w:val="18"/>
          <w:lang w:bidi="ar"/>
        </w:rPr>
      </w:pPr>
      <w:r>
        <w:rPr>
          <w:rFonts w:hint="eastAsia"/>
          <w:sz w:val="18"/>
          <w:szCs w:val="18"/>
        </w:rPr>
        <w:t>表</w:t>
      </w:r>
      <w:r>
        <w:rPr>
          <w:rFonts w:hint="eastAsia"/>
          <w:sz w:val="18"/>
          <w:szCs w:val="18"/>
          <w:lang w:val="en-US" w:eastAsia="zh-CN"/>
        </w:rPr>
        <w:t>3</w:t>
      </w:r>
      <w:r>
        <w:rPr>
          <w:rFonts w:hint="eastAsia"/>
          <w:sz w:val="18"/>
          <w:szCs w:val="18"/>
        </w:rPr>
        <w:t>.2 YOLOv8n训练参数</w:t>
      </w:r>
    </w:p>
    <w:p w14:paraId="408F5569">
      <w:pPr>
        <w:ind w:firstLine="480"/>
        <w:rPr>
          <w:lang w:bidi="ar"/>
        </w:rPr>
      </w:pPr>
      <w:r>
        <w:rPr>
          <w:rFonts w:hint="eastAsia"/>
          <w:lang w:bidi="ar"/>
        </w:rPr>
        <w:t>为方便展示各项参数，将训练轮次设置为30 epochs，得到以下数据：</w:t>
      </w:r>
    </w:p>
    <w:p w14:paraId="43361D35">
      <w:pPr>
        <w:widowControl/>
        <w:ind w:firstLine="0" w:firstLineChars="0"/>
        <w:jc w:val="left"/>
        <w:rPr>
          <w:rFonts w:hint="eastAsia" w:ascii="宋体" w:hAnsi="宋体" w:cs="宋体"/>
          <w:kern w:val="0"/>
          <w:sz w:val="18"/>
          <w:szCs w:val="18"/>
          <w:lang w:bidi="ar"/>
        </w:rPr>
      </w:pPr>
      <w:r>
        <w:rPr>
          <w:rFonts w:ascii="宋体" w:hAnsi="宋体" w:cs="宋体"/>
          <w:kern w:val="0"/>
          <w:sz w:val="18"/>
          <w:szCs w:val="18"/>
          <w:lang w:bidi="ar"/>
        </w:rPr>
        <w:drawing>
          <wp:inline distT="0" distB="0" distL="114300" distR="114300">
            <wp:extent cx="5266690" cy="2633345"/>
            <wp:effectExtent l="0" t="0" r="6350" b="3175"/>
            <wp:docPr id="15" name="图片 15"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esults"/>
                    <pic:cNvPicPr>
                      <a:picLocks noChangeAspect="1"/>
                    </pic:cNvPicPr>
                  </pic:nvPicPr>
                  <pic:blipFill>
                    <a:blip r:embed="rId43"/>
                    <a:stretch>
                      <a:fillRect/>
                    </a:stretch>
                  </pic:blipFill>
                  <pic:spPr>
                    <a:xfrm>
                      <a:off x="0" y="0"/>
                      <a:ext cx="5266690" cy="2633345"/>
                    </a:xfrm>
                    <a:prstGeom prst="rect">
                      <a:avLst/>
                    </a:prstGeom>
                  </pic:spPr>
                </pic:pic>
              </a:graphicData>
            </a:graphic>
          </wp:inline>
        </w:drawing>
      </w:r>
    </w:p>
    <w:p w14:paraId="2A6BEDF2">
      <w:pPr>
        <w:widowControl/>
        <w:ind w:firstLine="360"/>
        <w:jc w:val="center"/>
        <w:rPr>
          <w:sz w:val="18"/>
          <w:szCs w:val="18"/>
        </w:rPr>
      </w:pPr>
      <w:r>
        <w:rPr>
          <w:rFonts w:hint="eastAsia"/>
          <w:sz w:val="18"/>
          <w:szCs w:val="18"/>
        </w:rPr>
        <w:t>图</w:t>
      </w:r>
      <w:r>
        <w:rPr>
          <w:rFonts w:hint="eastAsia"/>
          <w:sz w:val="18"/>
          <w:szCs w:val="18"/>
          <w:lang w:val="en-US" w:eastAsia="zh-CN"/>
        </w:rPr>
        <w:t>3</w:t>
      </w:r>
      <w:r>
        <w:rPr>
          <w:rFonts w:hint="eastAsia"/>
          <w:sz w:val="18"/>
          <w:szCs w:val="18"/>
        </w:rPr>
        <w:t>.</w:t>
      </w:r>
      <w:r>
        <w:rPr>
          <w:rFonts w:hint="eastAsia"/>
          <w:sz w:val="18"/>
          <w:szCs w:val="18"/>
          <w:lang w:val="en-US" w:eastAsia="zh-CN"/>
        </w:rPr>
        <w:t>4</w:t>
      </w:r>
      <w:r>
        <w:rPr>
          <w:rFonts w:hint="eastAsia"/>
          <w:sz w:val="18"/>
          <w:szCs w:val="18"/>
        </w:rPr>
        <w:t xml:space="preserve"> 病害检测模型顺序参数</w:t>
      </w:r>
    </w:p>
    <w:p w14:paraId="12EF4595">
      <w:pPr>
        <w:pStyle w:val="6"/>
        <w:ind w:firstLine="482"/>
        <w:rPr>
          <w:lang w:bidi="ar"/>
        </w:rPr>
      </w:pPr>
      <w:r>
        <w:rPr>
          <w:lang w:bidi="ar"/>
        </w:rPr>
        <w:t>（2）缺素识别模型（ResNet）训练</w:t>
      </w:r>
    </w:p>
    <w:p w14:paraId="550E446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基于ImageNet预训练的ResNet18权重进行迁移学习，采用"冻结—解冻"两阶段训练策略，最终输出缺素类别概率分布。</w:t>
      </w:r>
    </w:p>
    <w:p w14:paraId="0FEBBF01">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阶段一（特征提取阶段）：冻结ResNet18前3个残差块（conv1 ~ layer3）的全部参数，仅训练layer4与新增的全连接分类头，快速适配烟草缺素特征分布，训练10个epoch。</w:t>
      </w:r>
    </w:p>
    <w:p w14:paraId="727B127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阶段二（全量微调阶段）：解冻全部参数，以较低学习率对整个网络进行端到端微调，训练50个epoch，使浅层特征也适应烟草叶片纹理与色彩特征。</w:t>
      </w:r>
    </w:p>
    <w:p w14:paraId="409E38B3">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损失函数</w:t>
      </w:r>
      <w:r>
        <w:rPr>
          <w:rFonts w:hint="eastAsia" w:ascii="等线" w:hAnsi="等线" w:eastAsia="等线" w:cs="等线"/>
          <w:kern w:val="0"/>
          <w:lang w:bidi="ar"/>
        </w:rPr>
        <w:t>：采用交叉熵损失（Cross-Entropy Loss）度量模型预测概率分布与真实标签的差距</w:t>
      </w:r>
      <w:r>
        <w:rPr>
          <w:rFonts w:hint="eastAsia" w:ascii="等线" w:hAnsi="等线" w:eastAsia="等线" w:cs="等线"/>
          <w:kern w:val="0"/>
          <w:vertAlign w:val="superscript"/>
          <w:lang w:bidi="ar"/>
        </w:rPr>
        <w:fldChar w:fldCharType="begin"/>
      </w:r>
      <w:r>
        <w:rPr>
          <w:rFonts w:hint="eastAsia" w:ascii="等线" w:hAnsi="等线" w:eastAsia="等线" w:cs="等线"/>
          <w:kern w:val="0"/>
          <w:vertAlign w:val="superscript"/>
          <w:lang w:bidi="ar"/>
        </w:rPr>
        <w:instrText xml:space="preserve"> REF _Ref225504175 \r \h  \* MERGEFORMAT </w:instrText>
      </w:r>
      <w:r>
        <w:rPr>
          <w:rFonts w:hint="eastAsia" w:ascii="等线" w:hAnsi="等线" w:eastAsia="等线" w:cs="等线"/>
          <w:kern w:val="0"/>
          <w:vertAlign w:val="superscript"/>
          <w:lang w:bidi="ar"/>
        </w:rPr>
        <w:fldChar w:fldCharType="separate"/>
      </w:r>
      <w:r>
        <w:rPr>
          <w:rFonts w:hint="eastAsia" w:ascii="等线" w:hAnsi="等线" w:eastAsia="等线" w:cs="等线"/>
          <w:kern w:val="0"/>
          <w:vertAlign w:val="superscript"/>
          <w:lang w:bidi="ar"/>
        </w:rPr>
        <w:t>[</w:t>
      </w:r>
      <w:r>
        <w:rPr>
          <w:rFonts w:hint="eastAsia" w:ascii="等线" w:hAnsi="等线" w:eastAsia="等线" w:cs="等线"/>
          <w:kern w:val="0"/>
          <w:vertAlign w:val="superscript"/>
          <w:lang w:val="en-US" w:eastAsia="zh-CN" w:bidi="ar"/>
        </w:rPr>
        <w:t>5</w:t>
      </w:r>
      <w:r>
        <w:rPr>
          <w:rFonts w:hint="eastAsia" w:ascii="等线" w:hAnsi="等线" w:eastAsia="等线" w:cs="等线"/>
          <w:kern w:val="0"/>
          <w:vertAlign w:val="superscript"/>
          <w:lang w:bidi="ar"/>
        </w:rPr>
        <w:t>]</w:t>
      </w:r>
      <w:r>
        <w:rPr>
          <w:rFonts w:hint="eastAsia" w:ascii="等线" w:hAnsi="等线" w:eastAsia="等线" w:cs="等线"/>
          <w:kern w:val="0"/>
          <w:vertAlign w:val="superscript"/>
          <w:lang w:bidi="ar"/>
        </w:rPr>
        <w:fldChar w:fldCharType="end"/>
      </w:r>
      <w:r>
        <w:rPr>
          <w:rFonts w:hint="eastAsia" w:ascii="等线" w:hAnsi="等线" w:eastAsia="等线" w:cs="等线"/>
          <w:kern w:val="0"/>
          <w:lang w:bidi="ar"/>
        </w:rPr>
        <w:t>：</w:t>
      </w:r>
    </w:p>
    <w:p w14:paraId="2A43AE3E">
      <w:pPr>
        <w:widowControl/>
        <w:ind w:firstLine="360"/>
        <w:jc w:val="center"/>
        <w:rPr>
          <w:rFonts w:hint="eastAsia" w:ascii="宋体" w:hAnsi="宋体" w:cs="宋体"/>
          <w:kern w:val="0"/>
          <w:sz w:val="18"/>
          <w:szCs w:val="18"/>
          <w:lang w:bidi="ar"/>
        </w:rPr>
      </w:pPr>
      <w:r>
        <w:rPr>
          <w:rFonts w:ascii="宋体" w:hAnsi="宋体" w:cs="宋体"/>
          <w:kern w:val="0"/>
          <w:position w:val="-18"/>
          <w:sz w:val="18"/>
          <w:szCs w:val="18"/>
          <w:lang w:bidi="ar"/>
        </w:rPr>
        <w:object>
          <v:shape id="_x0000_i1063" o:spt="75" type="#_x0000_t75" style="height:23.8pt;width:182.2pt;" o:ole="t" filled="f" o:preferrelative="t" stroked="f" coordsize="21600,21600">
            <v:path/>
            <v:fill on="f" focussize="0,0"/>
            <v:stroke on="f" joinstyle="miter"/>
            <v:imagedata r:id="rId45" o:title=""/>
            <o:lock v:ext="edit" aspectratio="t"/>
            <w10:wrap type="none"/>
            <w10:anchorlock/>
          </v:shape>
          <o:OLEObject Type="Embed" ProgID="Equation.KSEE3" ShapeID="_x0000_i1063" DrawAspect="Content" ObjectID="_1468075741" r:id="rId44">
            <o:LockedField>false</o:LockedField>
          </o:OLEObject>
        </w:object>
      </w:r>
    </w:p>
    <w:p w14:paraId="2AE21116">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其中：</w:t>
      </w:r>
      <w:r>
        <w:rPr>
          <w:rFonts w:hint="eastAsia" w:ascii="等线" w:hAnsi="等线" w:eastAsia="等线" w:cs="等线"/>
          <w:kern w:val="0"/>
          <w:lang w:bidi="ar"/>
        </w:rPr>
        <w:object>
          <v:shape id="_x0000_i1064" o:spt="75" type="#_x0000_t75" style="height:13.75pt;width:13.75pt;" o:ole="t" filled="f" o:preferrelative="t" stroked="f" coordsize="21600,21600">
            <v:path/>
            <v:fill on="f" focussize="0,0"/>
            <v:stroke on="f" joinstyle="miter"/>
            <v:imagedata r:id="rId47" o:title=""/>
            <o:lock v:ext="edit" aspectratio="t"/>
            <w10:wrap type="none"/>
            <w10:anchorlock/>
          </v:shape>
          <o:OLEObject Type="Embed" ProgID="Equation.KSEE3" ShapeID="_x0000_i1064" DrawAspect="Content" ObjectID="_1468075742" r:id="rId46">
            <o:LockedField>false</o:LockedField>
          </o:OLEObject>
        </w:object>
      </w:r>
      <w:r>
        <w:rPr>
          <w:rFonts w:hint="eastAsia" w:ascii="等线" w:hAnsi="等线" w:eastAsia="等线" w:cs="等线"/>
          <w:kern w:val="0"/>
          <w:lang w:bidi="ar"/>
        </w:rPr>
        <w:t>为样本数，</w:t>
      </w:r>
      <w:r>
        <w:rPr>
          <w:rFonts w:hint="eastAsia" w:ascii="等线" w:hAnsi="等线" w:eastAsia="等线" w:cs="等线"/>
          <w:kern w:val="0"/>
          <w:lang w:bidi="ar"/>
        </w:rPr>
        <w:object>
          <v:shape id="_x0000_i1065" o:spt="75" type="#_x0000_t75" style="height:13.75pt;width:11.9pt;" o:ole="t" filled="f" o:preferrelative="t" stroked="f" coordsize="21600,21600">
            <v:path/>
            <v:fill on="f" focussize="0,0"/>
            <v:stroke on="f" joinstyle="miter"/>
            <v:imagedata r:id="rId49" o:title=""/>
            <o:lock v:ext="edit" aspectratio="t"/>
            <w10:wrap type="none"/>
            <w10:anchorlock/>
          </v:shape>
          <o:OLEObject Type="Embed" ProgID="Equation.KSEE3" ShapeID="_x0000_i1065" DrawAspect="Content" ObjectID="_1468075743" r:id="rId48">
            <o:LockedField>false</o:LockedField>
          </o:OLEObject>
        </w:object>
      </w:r>
      <w:r>
        <w:rPr>
          <w:rFonts w:hint="eastAsia" w:ascii="等线" w:hAnsi="等线" w:eastAsia="等线" w:cs="等线"/>
          <w:kern w:val="0"/>
          <w:lang w:bidi="ar"/>
        </w:rPr>
        <w:t>为类别数，</w:t>
      </w:r>
      <w:r>
        <w:rPr>
          <w:rFonts w:hint="eastAsia" w:ascii="等线" w:hAnsi="等线" w:eastAsia="等线" w:cs="等线"/>
          <w:kern w:val="0"/>
          <w:lang w:bidi="ar"/>
        </w:rPr>
        <w:object>
          <v:shape id="_x0000_i1066" o:spt="75" type="#_x0000_t75" style="height:18.8pt;width:15.05pt;" o:ole="t" filled="f" o:preferrelative="t" stroked="f" coordsize="21600,21600">
            <v:path/>
            <v:fill on="f" focussize="0,0"/>
            <v:stroke on="f" joinstyle="miter"/>
            <v:imagedata r:id="rId51" o:title=""/>
            <o:lock v:ext="edit" aspectratio="t"/>
            <w10:wrap type="none"/>
            <w10:anchorlock/>
          </v:shape>
          <o:OLEObject Type="Embed" ProgID="Equation.KSEE3" ShapeID="_x0000_i1066" DrawAspect="Content" ObjectID="_1468075744" r:id="rId50">
            <o:LockedField>false</o:LockedField>
          </o:OLEObject>
        </w:object>
      </w:r>
      <w:r>
        <w:rPr>
          <w:rFonts w:hint="eastAsia" w:ascii="等线" w:hAnsi="等线" w:eastAsia="等线" w:cs="等线"/>
          <w:kern w:val="0"/>
          <w:lang w:bidi="ar"/>
        </w:rPr>
        <w:t>为样本</w:t>
      </w:r>
      <w:r>
        <w:rPr>
          <w:rFonts w:hint="eastAsia" w:ascii="等线" w:hAnsi="等线" w:eastAsia="等线" w:cs="等线"/>
          <w:kern w:val="0"/>
          <w:lang w:bidi="ar"/>
        </w:rPr>
        <w:object>
          <v:shape id="_x0000_i1067" o:spt="75" type="#_x0000_t75" style="height:13.15pt;width:6.9pt;" o:ole="t" filled="f" o:preferrelative="t" stroked="f" coordsize="21600,21600">
            <v:path/>
            <v:fill on="f" focussize="0,0"/>
            <v:stroke on="f" joinstyle="miter"/>
            <v:imagedata r:id="rId53" o:title=""/>
            <o:lock v:ext="edit" aspectratio="t"/>
            <w10:wrap type="none"/>
            <w10:anchorlock/>
          </v:shape>
          <o:OLEObject Type="Embed" ProgID="Equation.KSEE3" ShapeID="_x0000_i1067" DrawAspect="Content" ObjectID="_1468075745" r:id="rId52">
            <o:LockedField>false</o:LockedField>
          </o:OLEObject>
        </w:object>
      </w:r>
      <w:r>
        <w:rPr>
          <w:rFonts w:hint="eastAsia" w:ascii="等线" w:hAnsi="等线" w:eastAsia="等线" w:cs="等线"/>
          <w:kern w:val="0"/>
          <w:lang w:bidi="ar"/>
        </w:rPr>
        <w:t>属于类别</w:t>
      </w:r>
      <w:r>
        <w:rPr>
          <w:rFonts w:hint="eastAsia" w:ascii="等线" w:hAnsi="等线" w:eastAsia="等线" w:cs="等线"/>
          <w:kern w:val="0"/>
          <w:lang w:bidi="ar"/>
        </w:rPr>
        <w:object>
          <v:shape id="_x0000_i1068" o:spt="75" type="#_x0000_t75" style="height:15.05pt;width:10pt;" o:ole="t" filled="f" o:preferrelative="t" stroked="f" coordsize="21600,21600">
            <v:path/>
            <v:fill on="f" focussize="0,0"/>
            <v:stroke on="f" joinstyle="miter"/>
            <v:imagedata r:id="rId55" o:title=""/>
            <o:lock v:ext="edit" aspectratio="t"/>
            <w10:wrap type="none"/>
            <w10:anchorlock/>
          </v:shape>
          <o:OLEObject Type="Embed" ProgID="Equation.KSEE3" ShapeID="_x0000_i1068" DrawAspect="Content" ObjectID="_1468075746" r:id="rId54">
            <o:LockedField>false</o:LockedField>
          </o:OLEObject>
        </w:object>
      </w:r>
      <w:r>
        <w:rPr>
          <w:rFonts w:hint="eastAsia" w:ascii="等线" w:hAnsi="等线" w:eastAsia="等线" w:cs="等线"/>
          <w:kern w:val="0"/>
          <w:lang w:bidi="ar"/>
        </w:rPr>
        <w:t>的真实标签（0或1），</w:t>
      </w:r>
      <w:r>
        <w:rPr>
          <w:rFonts w:hint="eastAsia" w:ascii="等线" w:hAnsi="等线" w:eastAsia="等线" w:cs="等线"/>
          <w:kern w:val="0"/>
          <w:lang w:bidi="ar"/>
        </w:rPr>
        <w:object>
          <v:shape id="_x0000_i1069" o:spt="75" type="#_x0000_t75" style="height:18.8pt;width:16.3pt;" o:ole="t" filled="f" o:preferrelative="t" stroked="f" coordsize="21600,21600">
            <v:path/>
            <v:fill on="f" focussize="0,0"/>
            <v:stroke on="f" joinstyle="miter"/>
            <v:imagedata r:id="rId57" o:title=""/>
            <o:lock v:ext="edit" aspectratio="t"/>
            <w10:wrap type="none"/>
            <w10:anchorlock/>
          </v:shape>
          <o:OLEObject Type="Embed" ProgID="Equation.KSEE3" ShapeID="_x0000_i1069" DrawAspect="Content" ObjectID="_1468075747" r:id="rId56">
            <o:LockedField>false</o:LockedField>
          </o:OLEObject>
        </w:object>
      </w:r>
      <w:r>
        <w:rPr>
          <w:rFonts w:hint="eastAsia" w:ascii="等线" w:hAnsi="等线" w:eastAsia="等线" w:cs="等线"/>
          <w:kern w:val="0"/>
          <w:lang w:bidi="ar"/>
        </w:rPr>
        <w:t>为模型预测样本</w:t>
      </w:r>
      <w:r>
        <w:rPr>
          <w:rFonts w:hint="eastAsia" w:ascii="等线" w:hAnsi="等线" w:eastAsia="等线" w:cs="等线"/>
          <w:kern w:val="0"/>
          <w:lang w:bidi="ar"/>
        </w:rPr>
        <w:object>
          <v:shape id="_x0000_i1070" o:spt="75" type="#_x0000_t75" style="height:13.15pt;width:6.9pt;" o:ole="t" filled="f" o:preferrelative="t" stroked="f" coordsize="21600,21600">
            <v:path/>
            <v:fill on="f" focussize="0,0"/>
            <v:stroke on="f" joinstyle="miter"/>
            <v:imagedata r:id="rId53" o:title=""/>
            <o:lock v:ext="edit" aspectratio="t"/>
            <w10:wrap type="none"/>
            <w10:anchorlock/>
          </v:shape>
          <o:OLEObject Type="Embed" ProgID="Equation.KSEE3" ShapeID="_x0000_i1070" DrawAspect="Content" ObjectID="_1468075748" r:id="rId58">
            <o:LockedField>false</o:LockedField>
          </o:OLEObject>
        </w:object>
      </w:r>
      <w:r>
        <w:rPr>
          <w:rFonts w:hint="eastAsia" w:ascii="等线" w:hAnsi="等线" w:eastAsia="等线" w:cs="等线"/>
          <w:kern w:val="0"/>
          <w:lang w:bidi="ar"/>
        </w:rPr>
        <w:t>属于类别</w:t>
      </w:r>
      <w:r>
        <w:rPr>
          <w:rFonts w:hint="eastAsia" w:ascii="等线" w:hAnsi="等线" w:eastAsia="等线" w:cs="等线"/>
          <w:kern w:val="0"/>
          <w:lang w:bidi="ar"/>
        </w:rPr>
        <w:object>
          <v:shape id="_x0000_i1071" o:spt="75" type="#_x0000_t75" style="height:15.05pt;width:10pt;" o:ole="t" filled="f" o:preferrelative="t" stroked="f" coordsize="21600,21600">
            <v:path/>
            <v:fill on="f" focussize="0,0"/>
            <v:stroke on="f" joinstyle="miter"/>
            <v:imagedata r:id="rId55" o:title=""/>
            <o:lock v:ext="edit" aspectratio="t"/>
            <w10:wrap type="none"/>
            <w10:anchorlock/>
          </v:shape>
          <o:OLEObject Type="Embed" ProgID="Equation.KSEE3" ShapeID="_x0000_i1071" DrawAspect="Content" ObjectID="_1468075749" r:id="rId59">
            <o:LockedField>false</o:LockedField>
          </o:OLEObject>
        </w:object>
      </w:r>
      <w:r>
        <w:rPr>
          <w:rFonts w:hint="eastAsia" w:ascii="等线" w:hAnsi="等线" w:eastAsia="等线" w:cs="等线"/>
          <w:kern w:val="0"/>
          <w:lang w:bidi="ar"/>
        </w:rPr>
        <w:t>的概率。</w:t>
      </w:r>
    </w:p>
    <w:p w14:paraId="0CC678C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lang w:bidi="ar"/>
        </w:rPr>
      </w:pPr>
      <w:r>
        <w:rPr>
          <w:rFonts w:hint="eastAsia" w:ascii="等线" w:hAnsi="等线" w:eastAsia="等线" w:cs="等线"/>
          <w:b/>
          <w:bCs/>
          <w:kern w:val="0"/>
          <w:lang w:bidi="ar"/>
        </w:rPr>
        <w:t>Softmax输出层</w:t>
      </w:r>
      <w:r>
        <w:rPr>
          <w:rFonts w:hint="eastAsia" w:ascii="等线" w:hAnsi="等线" w:eastAsia="等线" w:cs="等线"/>
          <w:kern w:val="0"/>
          <w:lang w:bidi="ar"/>
        </w:rPr>
        <w:t>：分类头最后一层采用Softmax函数将原始输出转换为归一化概率：</w:t>
      </w:r>
    </w:p>
    <w:p w14:paraId="5C22D457">
      <w:pPr>
        <w:widowControl/>
        <w:ind w:firstLine="360"/>
        <w:jc w:val="center"/>
        <w:rPr>
          <w:rFonts w:hint="eastAsia" w:ascii="宋体" w:hAnsi="宋体" w:cs="宋体"/>
          <w:kern w:val="0"/>
          <w:sz w:val="18"/>
          <w:szCs w:val="18"/>
          <w:lang w:bidi="ar"/>
        </w:rPr>
      </w:pPr>
      <w:r>
        <w:rPr>
          <w:rFonts w:ascii="宋体" w:hAnsi="宋体" w:cs="宋体"/>
          <w:kern w:val="0"/>
          <w:position w:val="-16"/>
          <w:sz w:val="18"/>
          <w:szCs w:val="18"/>
          <w:lang w:bidi="ar"/>
        </w:rPr>
        <w:object>
          <v:shape id="_x0000_i1072" o:spt="75" type="#_x0000_t75" style="height:23.15pt;width:130.25pt;" o:ole="t" filled="f" o:preferrelative="t" stroked="f" coordsize="21600,21600">
            <v:path/>
            <v:fill on="f" focussize="0,0"/>
            <v:stroke on="f" joinstyle="miter"/>
            <v:imagedata r:id="rId61" o:title=""/>
            <o:lock v:ext="edit" aspectratio="t"/>
            <w10:wrap type="none"/>
            <w10:anchorlock/>
          </v:shape>
          <o:OLEObject Type="Embed" ProgID="Equation.KSEE3" ShapeID="_x0000_i1072" DrawAspect="Content" ObjectID="_1468075750" r:id="rId60">
            <o:LockedField>false</o:LockedField>
          </o:OLEObject>
        </w:object>
      </w:r>
    </w:p>
    <w:p w14:paraId="720703B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其中</w:t>
      </w:r>
      <w:r>
        <w:rPr>
          <w:rFonts w:hint="eastAsia" w:ascii="等线" w:hAnsi="等线" w:eastAsia="等线" w:cs="等线"/>
          <w:kern w:val="0"/>
          <w:lang w:bidi="ar"/>
        </w:rPr>
        <w:object>
          <v:shape id="_x0000_i1073" o:spt="75" type="#_x0000_t75" style="height:18.8pt;width:13.15pt;" o:ole="t" filled="f" o:preferrelative="t" stroked="f" coordsize="21600,21600">
            <v:path/>
            <v:fill on="f" focussize="0,0"/>
            <v:stroke on="f" joinstyle="miter"/>
            <v:imagedata r:id="rId63" o:title=""/>
            <o:lock v:ext="edit" aspectratio="t"/>
            <w10:wrap type="none"/>
            <w10:anchorlock/>
          </v:shape>
          <o:OLEObject Type="Embed" ProgID="Equation.KSEE3" ShapeID="_x0000_i1073" DrawAspect="Content" ObjectID="_1468075751" r:id="rId62">
            <o:LockedField>false</o:LockedField>
          </o:OLEObject>
        </w:object>
      </w:r>
      <w:r>
        <w:rPr>
          <w:rFonts w:hint="eastAsia" w:ascii="等线" w:hAnsi="等线" w:eastAsia="等线" w:cs="等线"/>
          <w:kern w:val="0"/>
          <w:lang w:bidi="ar"/>
        </w:rPr>
        <w:t>为全连接层对类别</w:t>
      </w:r>
      <w:r>
        <w:rPr>
          <w:rFonts w:hint="eastAsia" w:ascii="等线" w:hAnsi="等线" w:eastAsia="等线" w:cs="等线"/>
          <w:kern w:val="0"/>
          <w:lang w:bidi="ar"/>
        </w:rPr>
        <w:object>
          <v:shape id="_x0000_i1074" o:spt="75" type="#_x0000_t75" style="height:15.05pt;width:10pt;" o:ole="t" filled="f" o:preferrelative="t" stroked="f" coordsize="21600,21600">
            <v:path/>
            <v:fill on="f" focussize="0,0"/>
            <v:stroke on="f" joinstyle="miter"/>
            <v:imagedata r:id="rId65" o:title=""/>
            <o:lock v:ext="edit" aspectratio="t"/>
            <w10:wrap type="none"/>
            <w10:anchorlock/>
          </v:shape>
          <o:OLEObject Type="Embed" ProgID="Equation.KSEE3" ShapeID="_x0000_i1074" DrawAspect="Content" ObjectID="_1468075752" r:id="rId64">
            <o:LockedField>false</o:LockedField>
          </o:OLEObject>
        </w:object>
      </w:r>
      <w:r>
        <w:rPr>
          <w:rFonts w:hint="eastAsia" w:ascii="等线" w:hAnsi="等线" w:eastAsia="等线" w:cs="等线"/>
          <w:kern w:val="0"/>
          <w:lang w:bidi="ar"/>
        </w:rPr>
        <w:t>的原始输出值。</w:t>
      </w:r>
    </w:p>
    <w:p w14:paraId="14082B58">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数据预处理流程</w:t>
      </w:r>
      <w:r>
        <w:rPr>
          <w:rFonts w:hint="eastAsia" w:ascii="等线" w:hAnsi="等线" w:eastAsia="等线" w:cs="等线"/>
          <w:kern w:val="0"/>
          <w:lang w:bidi="ar"/>
        </w:rPr>
        <w:t>：</w:t>
      </w:r>
    </w:p>
    <w:p w14:paraId="6B553B4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Resize：将输入图像缩放至256×256；</w:t>
      </w:r>
    </w:p>
    <w:p w14:paraId="6F0007E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CenterCrop：中心裁剪224×224；</w:t>
      </w:r>
    </w:p>
    <w:p w14:paraId="21D4FE3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ToTensor：像素值归一化至[0,1]；</w:t>
      </w:r>
    </w:p>
    <w:p w14:paraId="2C4962CA">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Normalize：按ImageNet统计参数标准化，mean=[0.485,0.456,0.406]，std=[0.229,0.224,0.225]。</w:t>
      </w:r>
    </w:p>
    <w:p w14:paraId="2773E807">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学习率配置</w:t>
      </w:r>
      <w:r>
        <w:rPr>
          <w:rFonts w:hint="eastAsia" w:ascii="等线" w:hAnsi="等线" w:eastAsia="等线" w:cs="等线"/>
          <w:kern w:val="0"/>
          <w:lang w:bidi="ar"/>
        </w:rPr>
        <w:t>：采用分阶段衰减策略，阶段一：</w:t>
      </w:r>
      <w:r>
        <w:rPr>
          <w:rFonts w:hint="eastAsia" w:ascii="等线" w:hAnsi="等线" w:eastAsia="等线" w:cs="等线"/>
          <w:kern w:val="0"/>
          <w:lang w:bidi="ar"/>
        </w:rPr>
        <w:object>
          <v:shape id="_x0000_i1075" o:spt="75" type="#_x0000_t75" style="height:18.15pt;width:53.85pt;" o:ole="t" filled="f" o:preferrelative="t" stroked="f" coordsize="21600,21600">
            <v:path/>
            <v:fill on="f" focussize="0,0"/>
            <v:stroke on="f" joinstyle="miter"/>
            <v:imagedata r:id="rId67" o:title=""/>
            <o:lock v:ext="edit" aspectratio="t"/>
            <w10:wrap type="none"/>
            <w10:anchorlock/>
          </v:shape>
          <o:OLEObject Type="Embed" ProgID="Equation.KSEE3" ShapeID="_x0000_i1075" DrawAspect="Content" ObjectID="_1468075753" r:id="rId66">
            <o:LockedField>false</o:LockedField>
          </o:OLEObject>
        </w:object>
      </w:r>
      <w:r>
        <w:rPr>
          <w:rFonts w:hint="eastAsia" w:ascii="等线" w:hAnsi="等线" w:eastAsia="等线" w:cs="等线"/>
          <w:kern w:val="0"/>
          <w:lang w:bidi="ar"/>
        </w:rPr>
        <w:t>（仅分类头参数更新）；阶段二：</w:t>
      </w:r>
      <w:r>
        <w:rPr>
          <w:rFonts w:hint="eastAsia" w:ascii="等线" w:hAnsi="等线" w:eastAsia="等线" w:cs="等线"/>
          <w:kern w:val="0"/>
          <w:lang w:bidi="ar"/>
        </w:rPr>
        <w:object>
          <v:shape id="_x0000_i1076" o:spt="75" type="#_x0000_t75" style="height:18.15pt;width:53.85pt;" o:ole="t" filled="f" o:preferrelative="t" stroked="f" coordsize="21600,21600">
            <v:path/>
            <v:fill on="f" focussize="0,0"/>
            <v:stroke on="f" joinstyle="miter"/>
            <v:imagedata r:id="rId69" o:title=""/>
            <o:lock v:ext="edit" aspectratio="t"/>
            <w10:wrap type="none"/>
            <w10:anchorlock/>
          </v:shape>
          <o:OLEObject Type="Embed" ProgID="Equation.KSEE3" ShapeID="_x0000_i1076" DrawAspect="Content" ObjectID="_1468075754" r:id="rId68">
            <o:LockedField>false</o:LockedField>
          </o:OLEObject>
        </w:object>
      </w:r>
      <w:r>
        <w:rPr>
          <w:rFonts w:hint="eastAsia" w:ascii="等线" w:hAnsi="等线" w:eastAsia="等线" w:cs="等线"/>
          <w:kern w:val="0"/>
          <w:lang w:bidi="ar"/>
        </w:rPr>
        <w:t>（全网络参数更新）。配合StepLR调度器，每15个epoch学习率衰减为原来的0.1倍：</w:t>
      </w:r>
    </w:p>
    <w:p w14:paraId="7FEF61AC">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77" o:spt="75" type="#_x0000_t75" style="height:18.15pt;width:68.25pt;" o:ole="t" filled="f" o:preferrelative="t" stroked="f" coordsize="21600,21600">
            <v:path/>
            <v:fill on="f" focussize="0,0"/>
            <v:stroke on="f" joinstyle="miter"/>
            <v:imagedata r:id="rId71" o:title=""/>
            <o:lock v:ext="edit" aspectratio="t"/>
            <w10:wrap type="none"/>
            <w10:anchorlock/>
          </v:shape>
          <o:OLEObject Type="Embed" ProgID="Equation.KSEE3" ShapeID="_x0000_i1077" DrawAspect="Content" ObjectID="_1468075755" r:id="rId70">
            <o:LockedField>false</o:LockedField>
          </o:OLEObject>
        </w:object>
      </w:r>
      <w:r>
        <w:rPr>
          <w:rFonts w:hint="eastAsia" w:ascii="宋体" w:hAnsi="宋体" w:cs="宋体"/>
          <w:kern w:val="0"/>
          <w:sz w:val="18"/>
          <w:szCs w:val="18"/>
          <w:lang w:bidi="ar"/>
        </w:rPr>
        <w:t>，</w:t>
      </w:r>
      <w:r>
        <w:rPr>
          <w:rFonts w:ascii="宋体" w:hAnsi="宋体" w:cs="宋体"/>
          <w:kern w:val="0"/>
          <w:position w:val="-10"/>
          <w:sz w:val="18"/>
          <w:szCs w:val="18"/>
          <w:lang w:bidi="ar"/>
        </w:rPr>
        <w:object>
          <v:shape id="_x0000_i1078" o:spt="75" type="#_x0000_t75" style="height:16.3pt;width:36.3pt;" o:ole="t" filled="f" o:preferrelative="t" stroked="f" coordsize="21600,21600">
            <v:path/>
            <v:fill on="f" focussize="0,0"/>
            <v:stroke on="f" joinstyle="miter"/>
            <v:imagedata r:id="rId73" o:title=""/>
            <o:lock v:ext="edit" aspectratio="t"/>
            <w10:wrap type="none"/>
            <w10:anchorlock/>
          </v:shape>
          <o:OLEObject Type="Embed" ProgID="Equation.KSEE3" ShapeID="_x0000_i1078" DrawAspect="Content" ObjectID="_1468075756" r:id="rId72">
            <o:LockedField>false</o:LockedField>
          </o:OLEObject>
        </w:object>
      </w:r>
    </w:p>
    <w:p w14:paraId="77EB182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cs="宋体"/>
          <w:b/>
          <w:bCs/>
          <w:kern w:val="0"/>
          <w:lang w:bidi="ar"/>
        </w:rPr>
      </w:pPr>
      <w:r>
        <w:rPr>
          <w:rFonts w:ascii="宋体" w:hAnsi="宋体" w:cs="宋体"/>
          <w:b/>
          <w:bCs/>
          <w:kern w:val="0"/>
          <w:lang w:bidi="ar"/>
        </w:rPr>
        <w:t>正则化策略：</w:t>
      </w:r>
    </w:p>
    <w:p w14:paraId="21A672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Dropout：分类头全连接层设置Dropout=0.5，随机丢弃神经元防止过拟合；</w:t>
      </w:r>
    </w:p>
    <w:p w14:paraId="18775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权重衰减：Adam优化器设置</w:t>
      </w:r>
      <w:r>
        <w:rPr>
          <w:rFonts w:hint="eastAsia"/>
          <w:position w:val="-10"/>
          <w:vertAlign w:val="superscript"/>
          <w:lang w:bidi="ar"/>
        </w:rPr>
        <w:object>
          <v:shape id="_x0000_i1079" o:spt="75" type="#_x0000_t75" style="height:18.15pt;width:118.95pt;" o:ole="t" filled="f" o:preferrelative="t" stroked="f" coordsize="21600,21600">
            <v:path/>
            <v:fill on="f" focussize="0,0"/>
            <v:stroke on="f" joinstyle="miter"/>
            <v:imagedata r:id="rId75" o:title=""/>
            <o:lock v:ext="edit" aspectratio="t"/>
            <w10:wrap type="none"/>
            <w10:anchorlock/>
          </v:shape>
          <o:OLEObject Type="Embed" ProgID="Equation.KSEE3" ShapeID="_x0000_i1079" DrawAspect="Content" ObjectID="_1468075757" r:id="rId74">
            <o:LockedField>false</o:LockedField>
          </o:OLEObject>
        </w:object>
      </w:r>
      <w:r>
        <w:rPr>
          <w:lang w:bidi="ar"/>
        </w:rPr>
        <w:t>，对参数施加L2正则化；</w:t>
      </w:r>
    </w:p>
    <w:p w14:paraId="57369F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早停：验证集准确率连续12轮无提升则终止训练，恢复最优权重。</w:t>
      </w:r>
    </w:p>
    <w:p w14:paraId="487005F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cs="宋体"/>
          <w:b/>
          <w:bCs/>
          <w:kern w:val="0"/>
          <w:lang w:bidi="ar"/>
        </w:rPr>
      </w:pPr>
      <w:r>
        <w:rPr>
          <w:rFonts w:ascii="宋体" w:hAnsi="宋体" w:cs="宋体"/>
          <w:b/>
          <w:bCs/>
          <w:kern w:val="0"/>
          <w:lang w:bidi="ar"/>
        </w:rPr>
        <w:t>训练参数配置：</w:t>
      </w:r>
      <w:r>
        <w:rPr>
          <w:rFonts w:ascii="宋体" w:hAnsi="宋体" w:cs="宋体"/>
          <w:kern w:val="0"/>
          <w:lang w:bidi="ar"/>
        </w:rPr>
        <w:t xml:space="preserve"> </w:t>
      </w:r>
    </w:p>
    <w:tbl>
      <w:tblPr>
        <w:tblStyle w:val="11"/>
        <w:tblW w:w="830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86"/>
        <w:gridCol w:w="3508"/>
        <w:gridCol w:w="3508"/>
      </w:tblGrid>
      <w:tr w14:paraId="001D29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00DE9F7">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3508"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9FEF307">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阶段一</w:t>
            </w:r>
          </w:p>
        </w:tc>
        <w:tc>
          <w:tcPr>
            <w:tcW w:w="3508"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29B1C301">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阶段二</w:t>
            </w:r>
          </w:p>
        </w:tc>
      </w:tr>
      <w:tr w14:paraId="488246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C1891CF">
            <w:pPr>
              <w:widowControl/>
              <w:snapToGrid w:val="0"/>
              <w:ind w:firstLine="0" w:firstLineChars="0"/>
              <w:jc w:val="center"/>
              <w:rPr>
                <w:sz w:val="20"/>
                <w:szCs w:val="20"/>
              </w:rPr>
            </w:pPr>
            <w:r>
              <w:rPr>
                <w:rFonts w:hint="eastAsia"/>
                <w:sz w:val="20"/>
                <w:szCs w:val="20"/>
              </w:rPr>
              <w:t>可训练层</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527F7BA">
            <w:pPr>
              <w:widowControl/>
              <w:snapToGrid w:val="0"/>
              <w:ind w:firstLine="0" w:firstLineChars="0"/>
              <w:jc w:val="center"/>
              <w:rPr>
                <w:sz w:val="20"/>
                <w:szCs w:val="20"/>
              </w:rPr>
            </w:pPr>
            <w:r>
              <w:rPr>
                <w:rFonts w:hint="eastAsia"/>
                <w:sz w:val="20"/>
                <w:szCs w:val="20"/>
              </w:rPr>
              <w:t>Layer4+FC</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C26C5E5">
            <w:pPr>
              <w:widowControl/>
              <w:snapToGrid w:val="0"/>
              <w:ind w:firstLine="0" w:firstLineChars="0"/>
              <w:jc w:val="center"/>
              <w:rPr>
                <w:sz w:val="20"/>
                <w:szCs w:val="20"/>
              </w:rPr>
            </w:pPr>
            <w:r>
              <w:rPr>
                <w:rFonts w:hint="eastAsia"/>
                <w:sz w:val="20"/>
                <w:szCs w:val="20"/>
              </w:rPr>
              <w:t>全部参数</w:t>
            </w:r>
          </w:p>
        </w:tc>
      </w:tr>
      <w:tr w14:paraId="300A56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24A39BA">
            <w:pPr>
              <w:widowControl/>
              <w:snapToGrid w:val="0"/>
              <w:ind w:firstLine="0" w:firstLineChars="0"/>
              <w:jc w:val="center"/>
              <w:rPr>
                <w:sz w:val="20"/>
                <w:szCs w:val="20"/>
              </w:rPr>
            </w:pPr>
            <w:r>
              <w:rPr>
                <w:rFonts w:hint="eastAsia"/>
                <w:sz w:val="20"/>
                <w:szCs w:val="20"/>
              </w:rPr>
              <w:t>优化器</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67A8107">
            <w:pPr>
              <w:widowControl/>
              <w:snapToGrid w:val="0"/>
              <w:ind w:firstLine="0" w:firstLineChars="0"/>
              <w:jc w:val="center"/>
              <w:rPr>
                <w:sz w:val="20"/>
                <w:szCs w:val="20"/>
              </w:rPr>
            </w:pPr>
            <w:r>
              <w:rPr>
                <w:rFonts w:hint="eastAsia"/>
                <w:sz w:val="20"/>
                <w:szCs w:val="20"/>
              </w:rPr>
              <w:t>Adam</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ADE4FCF">
            <w:pPr>
              <w:widowControl/>
              <w:snapToGrid w:val="0"/>
              <w:ind w:firstLine="0" w:firstLineChars="0"/>
              <w:jc w:val="center"/>
              <w:rPr>
                <w:sz w:val="20"/>
                <w:szCs w:val="20"/>
              </w:rPr>
            </w:pPr>
            <w:r>
              <w:rPr>
                <w:rFonts w:hint="eastAsia"/>
                <w:sz w:val="20"/>
                <w:szCs w:val="20"/>
              </w:rPr>
              <w:t>Adam</w:t>
            </w:r>
          </w:p>
        </w:tc>
      </w:tr>
      <w:tr w14:paraId="13E649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A3106C8">
            <w:pPr>
              <w:widowControl/>
              <w:snapToGrid w:val="0"/>
              <w:ind w:firstLine="0" w:firstLineChars="0"/>
              <w:jc w:val="center"/>
              <w:rPr>
                <w:sz w:val="20"/>
                <w:szCs w:val="20"/>
              </w:rPr>
            </w:pPr>
            <w:r>
              <w:rPr>
                <w:rFonts w:hint="eastAsia"/>
                <w:sz w:val="20"/>
                <w:szCs w:val="20"/>
              </w:rPr>
              <w:t>学习率</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C0ED2BD">
            <w:pPr>
              <w:widowControl/>
              <w:snapToGrid w:val="0"/>
              <w:ind w:firstLine="0" w:firstLineChars="0"/>
              <w:jc w:val="center"/>
              <w:rPr>
                <w:sz w:val="20"/>
                <w:szCs w:val="20"/>
                <w:vertAlign w:val="superscript"/>
              </w:rPr>
            </w:pPr>
            <w:r>
              <w:rPr>
                <w:rFonts w:hint="eastAsia"/>
                <w:sz w:val="20"/>
                <w:szCs w:val="20"/>
              </w:rPr>
              <w:t>1×10</w:t>
            </w:r>
            <w:r>
              <w:rPr>
                <w:rFonts w:hint="eastAsia"/>
                <w:sz w:val="20"/>
                <w:szCs w:val="20"/>
                <w:vertAlign w:val="superscript"/>
              </w:rPr>
              <w:t>-3</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91AAF43">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r>
      <w:tr w14:paraId="5A2999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4F578F6">
            <w:pPr>
              <w:widowControl/>
              <w:snapToGrid w:val="0"/>
              <w:ind w:firstLine="0" w:firstLineChars="0"/>
              <w:jc w:val="center"/>
              <w:rPr>
                <w:sz w:val="20"/>
                <w:szCs w:val="20"/>
              </w:rPr>
            </w:pPr>
            <w:r>
              <w:rPr>
                <w:rFonts w:hint="eastAsia"/>
                <w:sz w:val="20"/>
                <w:szCs w:val="20"/>
              </w:rPr>
              <w:t>权重衰减</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D07DBF0">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74866A6">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r>
      <w:tr w14:paraId="480C72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9198B1D">
            <w:pPr>
              <w:widowControl/>
              <w:snapToGrid w:val="0"/>
              <w:ind w:firstLine="0" w:firstLineChars="0"/>
              <w:jc w:val="center"/>
              <w:rPr>
                <w:sz w:val="20"/>
                <w:szCs w:val="20"/>
              </w:rPr>
            </w:pPr>
            <w:r>
              <w:rPr>
                <w:rFonts w:hint="eastAsia"/>
                <w:sz w:val="20"/>
                <w:szCs w:val="20"/>
              </w:rPr>
              <w:t>Batch Size</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35374BD">
            <w:pPr>
              <w:widowControl/>
              <w:snapToGrid w:val="0"/>
              <w:ind w:firstLine="0" w:firstLineChars="0"/>
              <w:jc w:val="center"/>
              <w:rPr>
                <w:sz w:val="20"/>
                <w:szCs w:val="20"/>
              </w:rPr>
            </w:pPr>
            <w:r>
              <w:rPr>
                <w:rFonts w:hint="eastAsia"/>
                <w:sz w:val="20"/>
                <w:szCs w:val="20"/>
              </w:rPr>
              <w:t>32</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6CFBF85">
            <w:pPr>
              <w:widowControl/>
              <w:snapToGrid w:val="0"/>
              <w:ind w:firstLine="0" w:firstLineChars="0"/>
              <w:jc w:val="center"/>
              <w:rPr>
                <w:sz w:val="20"/>
                <w:szCs w:val="20"/>
              </w:rPr>
            </w:pPr>
            <w:r>
              <w:rPr>
                <w:rFonts w:hint="eastAsia"/>
                <w:sz w:val="20"/>
                <w:szCs w:val="20"/>
              </w:rPr>
              <w:t>32</w:t>
            </w:r>
          </w:p>
        </w:tc>
      </w:tr>
      <w:tr w14:paraId="7CAE1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128A801">
            <w:pPr>
              <w:widowControl/>
              <w:snapToGrid w:val="0"/>
              <w:ind w:firstLine="0" w:firstLineChars="0"/>
              <w:jc w:val="center"/>
              <w:rPr>
                <w:sz w:val="20"/>
                <w:szCs w:val="20"/>
              </w:rPr>
            </w:pPr>
            <w:r>
              <w:rPr>
                <w:rFonts w:hint="eastAsia"/>
                <w:sz w:val="20"/>
                <w:szCs w:val="20"/>
              </w:rPr>
              <w:t>训练轮次</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A70A7A5">
            <w:pPr>
              <w:widowControl/>
              <w:snapToGrid w:val="0"/>
              <w:ind w:firstLine="0" w:firstLineChars="0"/>
              <w:jc w:val="center"/>
              <w:rPr>
                <w:sz w:val="20"/>
                <w:szCs w:val="20"/>
              </w:rPr>
            </w:pPr>
            <w:r>
              <w:rPr>
                <w:rFonts w:hint="eastAsia"/>
                <w:sz w:val="20"/>
                <w:szCs w:val="20"/>
              </w:rPr>
              <w:t>10 epochs</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5CB60E5">
            <w:pPr>
              <w:widowControl/>
              <w:snapToGrid w:val="0"/>
              <w:ind w:firstLine="0" w:firstLineChars="0"/>
              <w:jc w:val="center"/>
              <w:rPr>
                <w:sz w:val="20"/>
                <w:szCs w:val="20"/>
              </w:rPr>
            </w:pPr>
            <w:r>
              <w:rPr>
                <w:rFonts w:hint="eastAsia"/>
                <w:sz w:val="20"/>
                <w:szCs w:val="20"/>
              </w:rPr>
              <w:t>50 epochs</w:t>
            </w:r>
          </w:p>
        </w:tc>
      </w:tr>
      <w:tr w14:paraId="0388A0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E9845AD">
            <w:pPr>
              <w:widowControl/>
              <w:snapToGrid w:val="0"/>
              <w:ind w:firstLine="0" w:firstLineChars="0"/>
              <w:jc w:val="center"/>
              <w:rPr>
                <w:sz w:val="20"/>
                <w:szCs w:val="20"/>
              </w:rPr>
            </w:pPr>
            <w:r>
              <w:rPr>
                <w:rFonts w:hint="eastAsia"/>
                <w:sz w:val="20"/>
                <w:szCs w:val="20"/>
              </w:rPr>
              <w:t>Dropout</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8C4BC0C">
            <w:pPr>
              <w:widowControl/>
              <w:snapToGrid w:val="0"/>
              <w:ind w:firstLine="0" w:firstLineChars="0"/>
              <w:jc w:val="center"/>
              <w:rPr>
                <w:sz w:val="20"/>
                <w:szCs w:val="20"/>
              </w:rPr>
            </w:pPr>
            <w:r>
              <w:rPr>
                <w:rFonts w:hint="eastAsia"/>
                <w:sz w:val="20"/>
                <w:szCs w:val="20"/>
              </w:rPr>
              <w:t>0.5</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93436FA">
            <w:pPr>
              <w:widowControl/>
              <w:snapToGrid w:val="0"/>
              <w:ind w:firstLine="0" w:firstLineChars="0"/>
              <w:jc w:val="center"/>
              <w:rPr>
                <w:sz w:val="20"/>
                <w:szCs w:val="20"/>
              </w:rPr>
            </w:pPr>
            <w:r>
              <w:rPr>
                <w:rFonts w:hint="eastAsia"/>
                <w:sz w:val="20"/>
                <w:szCs w:val="20"/>
              </w:rPr>
              <w:t>0.5</w:t>
            </w:r>
          </w:p>
        </w:tc>
      </w:tr>
    </w:tbl>
    <w:p w14:paraId="4B8FDD4C">
      <w:pPr>
        <w:widowControl/>
        <w:ind w:firstLine="0" w:firstLineChars="0"/>
        <w:jc w:val="center"/>
        <w:rPr>
          <w:rFonts w:hint="eastAsia" w:ascii="宋体" w:hAnsi="宋体" w:cs="宋体"/>
          <w:b/>
          <w:bCs/>
          <w:kern w:val="0"/>
          <w:sz w:val="21"/>
          <w:szCs w:val="21"/>
          <w:lang w:bidi="ar"/>
        </w:rPr>
      </w:pPr>
      <w:r>
        <w:rPr>
          <w:rFonts w:hint="eastAsia"/>
          <w:sz w:val="18"/>
          <w:szCs w:val="18"/>
        </w:rPr>
        <w:t>表</w:t>
      </w:r>
      <w:r>
        <w:rPr>
          <w:rFonts w:hint="eastAsia"/>
          <w:sz w:val="18"/>
          <w:szCs w:val="18"/>
          <w:lang w:val="en-US" w:eastAsia="zh-CN"/>
        </w:rPr>
        <w:t>3</w:t>
      </w:r>
      <w:r>
        <w:rPr>
          <w:rFonts w:hint="eastAsia"/>
          <w:sz w:val="18"/>
          <w:szCs w:val="18"/>
        </w:rPr>
        <w:t>.3 ResNet训练参数</w:t>
      </w:r>
    </w:p>
    <w:p w14:paraId="67B604C3">
      <w:pPr>
        <w:pStyle w:val="6"/>
        <w:ind w:firstLine="482"/>
        <w:rPr>
          <w:lang w:bidi="ar"/>
        </w:rPr>
      </w:pPr>
      <w:r>
        <w:rPr>
          <w:lang w:bidi="ar"/>
        </w:rPr>
        <w:t>（3）药肥决策模型（BP神经网络）训练</w:t>
      </w:r>
    </w:p>
    <w:p w14:paraId="192E486F">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kern w:val="0"/>
          <w:lang w:bidi="ar"/>
        </w:rPr>
        <w:t>以历史施药数据与环境参数构建学习样本，训练3层全连接BP神经网络，实现从多源环境特征到喷施方案的非线性映射。</w:t>
      </w:r>
    </w:p>
    <w:p w14:paraId="70CF4C4D">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等线" w:hAnsi="等线" w:eastAsia="等线" w:cs="等线"/>
          <w:kern w:val="0"/>
          <w:lang w:bidi="ar"/>
        </w:rPr>
      </w:pPr>
      <w:r>
        <w:rPr>
          <w:rFonts w:hint="eastAsia" w:ascii="等线" w:hAnsi="等线" w:eastAsia="等线" w:cs="等线"/>
          <w:b/>
          <w:bCs/>
          <w:kern w:val="0"/>
          <w:lang w:bidi="ar"/>
        </w:rPr>
        <w:t>网络前向传播</w:t>
      </w:r>
      <w:r>
        <w:rPr>
          <w:rFonts w:hint="eastAsia" w:ascii="等线" w:hAnsi="等线" w:eastAsia="等线" w:cs="等线"/>
          <w:kern w:val="0"/>
          <w:lang w:bidi="ar"/>
        </w:rPr>
        <w:t>：输入向量为</w:t>
      </w:r>
      <w:r>
        <w:rPr>
          <w:rFonts w:hint="eastAsia" w:ascii="等线" w:hAnsi="等线" w:eastAsia="等线" w:cs="等线"/>
          <w:kern w:val="0"/>
          <w:lang w:bidi="ar"/>
        </w:rPr>
        <w:object>
          <v:shape id="_x0000_i1122" o:spt="75" type="#_x0000_t75" style="height:11.25pt;width:10pt;" o:ole="t" filled="f" o:preferrelative="t" stroked="f" coordsize="21600,21600">
            <v:path/>
            <v:fill on="f" focussize="0,0"/>
            <v:stroke on="f" joinstyle="miter"/>
            <v:imagedata r:id="rId77" o:title=""/>
            <o:lock v:ext="edit" aspectratio="t"/>
            <w10:wrap type="none"/>
            <w10:anchorlock/>
          </v:shape>
          <o:OLEObject Type="Embed" ProgID="Equation.KSEE3" ShapeID="_x0000_i1122" DrawAspect="Content" ObjectID="_1468075758" r:id="rId76">
            <o:LockedField>false</o:LockedField>
          </o:OLEObject>
        </w:object>
      </w:r>
      <w:r>
        <w:rPr>
          <w:rFonts w:hint="eastAsia" w:ascii="等线" w:hAnsi="等线" w:eastAsia="等线" w:cs="等线"/>
          <w:kern w:val="0"/>
          <w:lang w:bidi="ar"/>
        </w:rPr>
        <w:t>（12维），各层计算如下：</w:t>
      </w:r>
    </w:p>
    <w:p w14:paraId="74B977C6">
      <w:pPr>
        <w:widowControl/>
        <w:ind w:firstLine="360"/>
        <w:jc w:val="center"/>
        <w:rPr>
          <w:rFonts w:hint="eastAsia" w:ascii="宋体" w:hAnsi="宋体" w:cs="宋体"/>
          <w:kern w:val="0"/>
          <w:sz w:val="18"/>
          <w:szCs w:val="18"/>
          <w:lang w:bidi="ar"/>
        </w:rPr>
      </w:pPr>
      <w:r>
        <w:rPr>
          <w:rFonts w:ascii="宋体" w:hAnsi="宋体" w:cs="宋体"/>
          <w:kern w:val="0"/>
          <w:position w:val="-10"/>
          <w:sz w:val="18"/>
          <w:szCs w:val="18"/>
          <w:lang w:bidi="ar"/>
        </w:rPr>
        <w:object>
          <v:shape id="_x0000_i1081" o:spt="75" type="#_x0000_t75" style="height:16.9pt;width:108.95pt;" o:ole="t" filled="f" o:preferrelative="t" stroked="f" coordsize="21600,21600">
            <v:path/>
            <v:fill on="f" focussize="0,0"/>
            <v:stroke on="f" joinstyle="miter"/>
            <v:imagedata r:id="rId79" o:title=""/>
            <o:lock v:ext="edit" aspectratio="t"/>
            <w10:wrap type="none"/>
            <w10:anchorlock/>
          </v:shape>
          <o:OLEObject Type="Embed" ProgID="Equation.KSEE3" ShapeID="_x0000_i1081" DrawAspect="Content" ObjectID="_1468075759" r:id="rId78">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2" o:spt="75" type="#_x0000_t75" style="height:18.15pt;width:40.05pt;" o:ole="t" filled="f" o:preferrelative="t" stroked="f" coordsize="21600,21600">
            <v:path/>
            <v:fill on="f" focussize="0,0"/>
            <v:stroke on="f" joinstyle="miter"/>
            <v:imagedata r:id="rId81" o:title=""/>
            <o:lock v:ext="edit" aspectratio="t"/>
            <w10:wrap type="none"/>
            <w10:anchorlock/>
          </v:shape>
          <o:OLEObject Type="Embed" ProgID="Equation.KSEE3" ShapeID="_x0000_i1082" DrawAspect="Content" ObjectID="_1468075760" r:id="rId80">
            <o:LockedField>false</o:LockedField>
          </o:OLEObject>
        </w:object>
      </w:r>
    </w:p>
    <w:p w14:paraId="1349292F">
      <w:pPr>
        <w:widowControl/>
        <w:ind w:firstLine="360"/>
        <w:jc w:val="center"/>
        <w:rPr>
          <w:rFonts w:hint="eastAsia" w:ascii="宋体" w:hAnsi="宋体" w:cs="宋体"/>
          <w:kern w:val="0"/>
          <w:sz w:val="18"/>
          <w:szCs w:val="18"/>
          <w:lang w:bidi="ar"/>
        </w:rPr>
      </w:pPr>
      <w:r>
        <w:rPr>
          <w:rFonts w:ascii="宋体" w:hAnsi="宋体" w:cs="宋体"/>
          <w:kern w:val="0"/>
          <w:position w:val="-10"/>
          <w:sz w:val="18"/>
          <w:szCs w:val="18"/>
          <w:lang w:bidi="ar"/>
        </w:rPr>
        <w:object>
          <v:shape id="_x0000_i1083" o:spt="75" type="#_x0000_t75" style="height:16.9pt;width:112.7pt;" o:ole="t" filled="f" o:preferrelative="t" stroked="f" coordsize="21600,21600">
            <v:path/>
            <v:fill on="f" focussize="0,0"/>
            <v:stroke on="f" joinstyle="miter"/>
            <v:imagedata r:id="rId83" o:title=""/>
            <o:lock v:ext="edit" aspectratio="t"/>
            <w10:wrap type="none"/>
            <w10:anchorlock/>
          </v:shape>
          <o:OLEObject Type="Embed" ProgID="Equation.KSEE3" ShapeID="_x0000_i1083" DrawAspect="Content" ObjectID="_1468075761" r:id="rId82">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4" o:spt="75" type="#_x0000_t75" style="height:18.15pt;width:40.7pt;" o:ole="t" filled="f" o:preferrelative="t" stroked="f" coordsize="21600,21600">
            <v:path/>
            <v:fill on="f" focussize="0,0"/>
            <v:stroke on="f" joinstyle="miter"/>
            <v:imagedata r:id="rId85" o:title=""/>
            <o:lock v:ext="edit" aspectratio="t"/>
            <w10:wrap type="none"/>
            <w10:anchorlock/>
          </v:shape>
          <o:OLEObject Type="Embed" ProgID="Equation.KSEE3" ShapeID="_x0000_i1084" DrawAspect="Content" ObjectID="_1468075762" r:id="rId84">
            <o:LockedField>false</o:LockedField>
          </o:OLEObject>
        </w:object>
      </w:r>
    </w:p>
    <w:p w14:paraId="56B72620">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85" o:spt="75" type="#_x0000_t75" style="height:18.15pt;width:75.15pt;" o:ole="t" filled="f" o:preferrelative="t" stroked="f" coordsize="21600,21600">
            <v:path/>
            <v:fill on="f" focussize="0,0"/>
            <v:stroke on="f" joinstyle="miter"/>
            <v:imagedata r:id="rId87" o:title=""/>
            <o:lock v:ext="edit" aspectratio="t"/>
            <w10:wrap type="none"/>
            <w10:anchorlock/>
          </v:shape>
          <o:OLEObject Type="Embed" ProgID="Equation.KSEE3" ShapeID="_x0000_i1085" DrawAspect="Content" ObjectID="_1468075763" r:id="rId86">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6" o:spt="75" type="#_x0000_t75" style="height:18.15pt;width:33.8pt;" o:ole="t" filled="f" o:preferrelative="t" stroked="f" coordsize="21600,21600">
            <v:path/>
            <v:fill on="f" focussize="0,0"/>
            <v:stroke on="f" joinstyle="miter"/>
            <v:imagedata r:id="rId89" o:title=""/>
            <o:lock v:ext="edit" aspectratio="t"/>
            <w10:wrap type="none"/>
            <w10:anchorlock/>
          </v:shape>
          <o:OLEObject Type="Embed" ProgID="Equation.KSEE3" ShapeID="_x0000_i1086" DrawAspect="Content" ObjectID="_1468075764" r:id="rId88">
            <o:LockedField>false</o:LockedField>
          </o:OLEObject>
        </w:object>
      </w:r>
    </w:p>
    <w:p w14:paraId="75D3023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cs="宋体"/>
          <w:kern w:val="0"/>
          <w:sz w:val="18"/>
          <w:szCs w:val="18"/>
          <w:vertAlign w:val="superscript"/>
          <w:lang w:bidi="ar"/>
        </w:rPr>
      </w:pPr>
      <w:r>
        <w:t>其中</w:t>
      </w:r>
      <w:r>
        <w:rPr>
          <w:rFonts w:hint="eastAsia"/>
        </w:rPr>
        <w:t>：</w:t>
      </w:r>
      <w:r>
        <w:rPr>
          <w:rFonts w:ascii="宋体" w:hAnsi="宋体" w:cs="宋体"/>
          <w:kern w:val="0"/>
          <w:position w:val="-10"/>
          <w:sz w:val="18"/>
          <w:szCs w:val="18"/>
          <w:lang w:bidi="ar"/>
        </w:rPr>
        <w:object>
          <v:shape id="_x0000_i1087" o:spt="75" type="#_x0000_t75" style="height:16.9pt;width:15.05pt;" o:ole="t" filled="f" o:preferrelative="t" stroked="f" coordsize="21600,21600">
            <v:path/>
            <v:fill on="f" focussize="0,0"/>
            <v:stroke on="f" joinstyle="miter"/>
            <v:imagedata r:id="rId91" o:title=""/>
            <o:lock v:ext="edit" aspectratio="t"/>
            <w10:wrap type="none"/>
            <w10:anchorlock/>
          </v:shape>
          <o:OLEObject Type="Embed" ProgID="Equation.KSEE3" ShapeID="_x0000_i1087" DrawAspect="Content" ObjectID="_1468075765" r:id="rId90">
            <o:LockedField>false</o:LockedField>
          </o:OLEObject>
        </w:object>
      </w:r>
      <w:r>
        <w:rPr>
          <w:rFonts w:ascii="宋体" w:hAnsi="宋体" w:cs="宋体"/>
          <w:kern w:val="0"/>
          <w:sz w:val="18"/>
          <w:szCs w:val="18"/>
          <w:lang w:bidi="ar"/>
        </w:rPr>
        <w:t>、</w:t>
      </w:r>
      <w:r>
        <w:rPr>
          <w:rFonts w:ascii="宋体" w:hAnsi="宋体" w:cs="宋体"/>
          <w:kern w:val="0"/>
          <w:position w:val="-10"/>
          <w:sz w:val="18"/>
          <w:szCs w:val="18"/>
          <w:lang w:bidi="ar"/>
        </w:rPr>
        <w:object>
          <v:shape id="_x0000_i1088" o:spt="75" type="#_x0000_t75" style="height:16.9pt;width:16.3pt;" o:ole="t" filled="f" o:preferrelative="t" stroked="f" coordsize="21600,21600">
            <v:path/>
            <v:fill on="f" focussize="0,0"/>
            <v:stroke on="f" joinstyle="miter"/>
            <v:imagedata r:id="rId93" o:title=""/>
            <o:lock v:ext="edit" aspectratio="t"/>
            <w10:wrap type="none"/>
            <w10:anchorlock/>
          </v:shape>
          <o:OLEObject Type="Embed" ProgID="Equation.KSEE3" ShapeID="_x0000_i1088" DrawAspect="Content" ObjectID="_1468075766" r:id="rId92">
            <o:LockedField>false</o:LockedField>
          </o:OLEObject>
        </w:object>
      </w:r>
      <w:r>
        <w:rPr>
          <w:rFonts w:ascii="宋体" w:hAnsi="宋体" w:cs="宋体"/>
          <w:kern w:val="0"/>
          <w:sz w:val="18"/>
          <w:szCs w:val="18"/>
          <w:lang w:bidi="ar"/>
        </w:rPr>
        <w:t>、</w:t>
      </w:r>
      <w:r>
        <w:rPr>
          <w:rFonts w:ascii="宋体" w:hAnsi="宋体" w:cs="宋体"/>
          <w:kern w:val="0"/>
          <w:position w:val="-12"/>
          <w:sz w:val="18"/>
          <w:szCs w:val="18"/>
          <w:lang w:bidi="ar"/>
        </w:rPr>
        <w:object>
          <v:shape id="_x0000_i1089" o:spt="75" type="#_x0000_t75" style="height:18.15pt;width:16.3pt;" o:ole="t" filled="f" o:preferrelative="t" stroked="f" coordsize="21600,21600">
            <v:path/>
            <v:fill on="f" focussize="0,0"/>
            <v:stroke on="f" joinstyle="miter"/>
            <v:imagedata r:id="rId95" o:title=""/>
            <o:lock v:ext="edit" aspectratio="t"/>
            <w10:wrap type="none"/>
            <w10:anchorlock/>
          </v:shape>
          <o:OLEObject Type="Embed" ProgID="Equation.KSEE3" ShapeID="_x0000_i1089" DrawAspect="Content" ObjectID="_1468075767" r:id="rId94">
            <o:LockedField>false</o:LockedField>
          </o:OLEObject>
        </w:object>
      </w:r>
      <w:r>
        <w:t>为各层权重矩阵，</w:t>
      </w:r>
      <w:r>
        <w:rPr>
          <w:rFonts w:ascii="宋体" w:hAnsi="宋体" w:cs="宋体"/>
          <w:kern w:val="0"/>
          <w:position w:val="-10"/>
          <w:sz w:val="18"/>
          <w:szCs w:val="18"/>
          <w:lang w:bidi="ar"/>
        </w:rPr>
        <w:object>
          <v:shape id="_x0000_i1090" o:spt="75" type="#_x0000_t75" style="height:16.9pt;width:11.25pt;" o:ole="t" filled="f" o:preferrelative="t" stroked="f" coordsize="21600,21600">
            <v:path/>
            <v:fill on="f" focussize="0,0"/>
            <v:stroke on="f" joinstyle="miter"/>
            <v:imagedata r:id="rId97" o:title=""/>
            <o:lock v:ext="edit" aspectratio="t"/>
            <w10:wrap type="none"/>
            <w10:anchorlock/>
          </v:shape>
          <o:OLEObject Type="Embed" ProgID="Equation.KSEE3" ShapeID="_x0000_i1090" DrawAspect="Content" ObjectID="_1468075768" r:id="rId96">
            <o:LockedField>false</o:LockedField>
          </o:OLEObject>
        </w:object>
      </w:r>
      <w:r>
        <w:rPr>
          <w:rFonts w:ascii="宋体" w:hAnsi="宋体" w:cs="宋体"/>
          <w:kern w:val="0"/>
          <w:sz w:val="18"/>
          <w:szCs w:val="18"/>
          <w:lang w:bidi="ar"/>
        </w:rPr>
        <w:t>、</w:t>
      </w:r>
      <w:r>
        <w:rPr>
          <w:rFonts w:ascii="宋体" w:hAnsi="宋体" w:cs="宋体"/>
          <w:kern w:val="0"/>
          <w:position w:val="-10"/>
          <w:sz w:val="18"/>
          <w:szCs w:val="18"/>
          <w:lang w:bidi="ar"/>
        </w:rPr>
        <w:object>
          <v:shape id="_x0000_i1091" o:spt="75" type="#_x0000_t75" style="height:16.9pt;width:13.15pt;" o:ole="t" filled="f" o:preferrelative="t" stroked="f" coordsize="21600,21600">
            <v:path/>
            <v:fill on="f" focussize="0,0"/>
            <v:stroke on="f" joinstyle="miter"/>
            <v:imagedata r:id="rId99" o:title=""/>
            <o:lock v:ext="edit" aspectratio="t"/>
            <w10:wrap type="none"/>
            <w10:anchorlock/>
          </v:shape>
          <o:OLEObject Type="Embed" ProgID="Equation.KSEE3" ShapeID="_x0000_i1091" DrawAspect="Content" ObjectID="_1468075769" r:id="rId98">
            <o:LockedField>false</o:LockedField>
          </o:OLEObject>
        </w:object>
      </w:r>
      <w:r>
        <w:rPr>
          <w:rFonts w:ascii="宋体" w:hAnsi="宋体" w:cs="宋体"/>
          <w:kern w:val="0"/>
          <w:sz w:val="18"/>
          <w:szCs w:val="18"/>
          <w:lang w:bidi="ar"/>
        </w:rPr>
        <w:t>、</w:t>
      </w:r>
      <w:r>
        <w:rPr>
          <w:rFonts w:ascii="宋体" w:hAnsi="宋体" w:cs="宋体"/>
          <w:kern w:val="0"/>
          <w:position w:val="-12"/>
          <w:sz w:val="18"/>
          <w:szCs w:val="18"/>
          <w:lang w:bidi="ar"/>
        </w:rPr>
        <w:object>
          <v:shape id="_x0000_i1092" o:spt="75" type="#_x0000_t75" style="height:18.15pt;width:11.9pt;" o:ole="t" filled="f" o:preferrelative="t" stroked="f" coordsize="21600,21600">
            <v:path/>
            <v:fill on="f" focussize="0,0"/>
            <v:stroke on="f" joinstyle="miter"/>
            <v:imagedata r:id="rId101" o:title=""/>
            <o:lock v:ext="edit" aspectratio="t"/>
            <w10:wrap type="none"/>
            <w10:anchorlock/>
          </v:shape>
          <o:OLEObject Type="Embed" ProgID="Equation.KSEE3" ShapeID="_x0000_i1092" DrawAspect="Content" ObjectID="_1468075770" r:id="rId100">
            <o:LockedField>false</o:LockedField>
          </o:OLEObject>
        </w:object>
      </w:r>
      <w:r>
        <w:t>为偏置向量，</w:t>
      </w:r>
      <w:r>
        <w:rPr>
          <w:rFonts w:ascii="宋体" w:hAnsi="宋体" w:cs="宋体"/>
          <w:kern w:val="0"/>
          <w:position w:val="-10"/>
          <w:lang w:bidi="ar"/>
        </w:rPr>
        <w:object>
          <v:shape id="_x0000_i1093" o:spt="75" type="#_x0000_t75" style="height:16.9pt;width:103.95pt;" o:ole="t" filled="f" o:preferrelative="t" stroked="f" coordsize="21600,21600">
            <v:path/>
            <v:fill on="f" focussize="0,0"/>
            <v:stroke on="f" joinstyle="miter"/>
            <v:imagedata r:id="rId103" o:title=""/>
            <o:lock v:ext="edit" aspectratio="t"/>
            <w10:wrap type="none"/>
            <w10:anchorlock/>
          </v:shape>
          <o:OLEObject Type="Embed" ProgID="Equation.KSEE3" ShapeID="_x0000_i1093" DrawAspect="Content" ObjectID="_1468075771" r:id="rId102">
            <o:LockedField>false</o:LockedField>
          </o:OLEObject>
        </w:object>
      </w:r>
      <w:r>
        <w:rPr>
          <w:rFonts w:ascii="宋体" w:hAnsi="宋体" w:cs="宋体"/>
          <w:kern w:val="0"/>
          <w:sz w:val="18"/>
          <w:szCs w:val="18"/>
          <w:lang w:bidi="ar"/>
        </w:rPr>
        <w:t>。</w:t>
      </w:r>
      <w:r>
        <w:rPr>
          <w:rFonts w:cstheme="minorHAnsi"/>
          <w:kern w:val="0"/>
          <w:vertAlign w:val="superscript"/>
          <w:lang w:bidi="ar"/>
        </w:rPr>
        <w:fldChar w:fldCharType="begin"/>
      </w:r>
      <w:r>
        <w:rPr>
          <w:rFonts w:cstheme="minorHAnsi"/>
          <w:kern w:val="0"/>
          <w:vertAlign w:val="superscript"/>
          <w:lang w:bidi="ar"/>
        </w:rPr>
        <w:instrText xml:space="preserve"> REF _Ref225504201 \r \h  \* MERGEFORMAT </w:instrText>
      </w:r>
      <w:r>
        <w:rPr>
          <w:rFonts w:cstheme="minorHAnsi"/>
          <w:kern w:val="0"/>
          <w:vertAlign w:val="superscript"/>
          <w:lang w:bidi="ar"/>
        </w:rPr>
        <w:fldChar w:fldCharType="separate"/>
      </w:r>
      <w:r>
        <w:rPr>
          <w:rFonts w:cstheme="minorHAnsi"/>
          <w:kern w:val="0"/>
          <w:vertAlign w:val="superscript"/>
          <w:lang w:bidi="ar"/>
        </w:rPr>
        <w:t>[</w:t>
      </w:r>
      <w:r>
        <w:rPr>
          <w:rFonts w:hint="eastAsia" w:cstheme="minorHAnsi"/>
          <w:kern w:val="0"/>
          <w:vertAlign w:val="superscript"/>
          <w:lang w:val="en-US" w:eastAsia="zh-CN" w:bidi="ar"/>
        </w:rPr>
        <w:t>6</w:t>
      </w:r>
      <w:r>
        <w:rPr>
          <w:rFonts w:cstheme="minorHAnsi"/>
          <w:kern w:val="0"/>
          <w:vertAlign w:val="superscript"/>
          <w:lang w:bidi="ar"/>
        </w:rPr>
        <w:t>]</w:t>
      </w:r>
      <w:r>
        <w:rPr>
          <w:rFonts w:cstheme="minorHAnsi"/>
          <w:kern w:val="0"/>
          <w:vertAlign w:val="superscript"/>
          <w:lang w:bidi="ar"/>
        </w:rPr>
        <w:fldChar w:fldCharType="end"/>
      </w:r>
    </w:p>
    <w:p w14:paraId="330FF04C">
      <w:pPr>
        <w:widowControl/>
        <w:ind w:firstLine="482"/>
      </w:pPr>
      <w:r>
        <w:rPr>
          <w:rFonts w:hint="eastAsia" w:ascii="宋体" w:hAnsi="宋体" w:cs="宋体"/>
          <w:b/>
          <w:bCs/>
          <w:kern w:val="0"/>
          <w:lang w:bidi="ar"/>
        </w:rPr>
        <w:t>输入归一化：</w:t>
      </w:r>
      <w:r>
        <w:rPr>
          <w:rFonts w:hint="eastAsia"/>
        </w:rPr>
        <w:t>对所有输入变量采用Min-Max归一化映射至[0,1]：</w:t>
      </w:r>
    </w:p>
    <w:p w14:paraId="62BE97D5">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94" o:spt="75" type="#_x0000_t75" style="height:18.15pt;width:140.85pt;" o:ole="t" filled="f" o:preferrelative="t" stroked="f" coordsize="21600,21600">
            <v:path/>
            <v:fill on="f" focussize="0,0"/>
            <v:stroke on="f" joinstyle="miter"/>
            <v:imagedata r:id="rId105" o:title=""/>
            <o:lock v:ext="edit" aspectratio="t"/>
            <w10:wrap type="none"/>
            <w10:anchorlock/>
          </v:shape>
          <o:OLEObject Type="Embed" ProgID="Equation.KSEE3" ShapeID="_x0000_i1094" DrawAspect="Content" ObjectID="_1468075772" r:id="rId104">
            <o:LockedField>false</o:LockedField>
          </o:OLEObject>
        </w:object>
      </w:r>
    </w:p>
    <w:p w14:paraId="664A9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输出端对剂量预测值同步做反归一化还原为实际施药量。</w:t>
      </w:r>
    </w:p>
    <w:p w14:paraId="416037F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rPr>
          <w:rFonts w:ascii="宋体" w:hAnsi="宋体" w:cs="宋体"/>
          <w:b/>
          <w:bCs/>
          <w:kern w:val="0"/>
          <w:lang w:bidi="ar"/>
        </w:rPr>
        <w:t>多任务联合损失：</w:t>
      </w:r>
      <w:r>
        <w:t>输出层4个通道分别对应喷施动作、药剂类型、推荐剂量、作业时机，联合损失为：</w:t>
      </w:r>
    </w:p>
    <w:p w14:paraId="6B91C2DA">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95" o:spt="75" type="#_x0000_t75" style="height:18.8pt;width:202.85pt;" o:ole="t" filled="f" o:preferrelative="t" stroked="f" coordsize="21600,21600">
            <v:path/>
            <v:fill on="f" focussize="0,0"/>
            <v:stroke on="f" joinstyle="miter"/>
            <v:imagedata r:id="rId107" o:title=""/>
            <o:lock v:ext="edit" aspectratio="t"/>
            <w10:wrap type="none"/>
            <w10:anchorlock/>
          </v:shape>
          <o:OLEObject Type="Embed" ProgID="Equation.KSEE3" ShapeID="_x0000_i1095" DrawAspect="Content" ObjectID="_1468075773" r:id="rId106">
            <o:LockedField>false</o:LockedField>
          </o:OLEObject>
        </w:object>
      </w:r>
    </w:p>
    <w:p w14:paraId="6DF877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其中</w:t>
      </w:r>
      <w:r>
        <w:rPr>
          <w:rFonts w:hint="eastAsia"/>
          <w:lang w:bidi="ar"/>
        </w:rPr>
        <w:t>：</w:t>
      </w:r>
    </w:p>
    <w:p w14:paraId="1BB7E6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position w:val="-12"/>
          <w:lang w:bidi="ar"/>
        </w:rPr>
        <w:object>
          <v:shape id="_x0000_i1096" o:spt="75" type="#_x0000_t75" style="height:18.15pt;width:28.15pt;" o:ole="t" filled="f" o:preferrelative="t" stroked="f" coordsize="21600,21600">
            <v:path/>
            <v:fill on="f" focussize="0,0"/>
            <v:stroke on="f" joinstyle="miter"/>
            <v:imagedata r:id="rId109" o:title=""/>
            <o:lock v:ext="edit" aspectratio="t"/>
            <w10:wrap type="none"/>
            <w10:anchorlock/>
          </v:shape>
          <o:OLEObject Type="Embed" ProgID="Equation.KSEE3" ShapeID="_x0000_i1096" DrawAspect="Content" ObjectID="_1468075774" r:id="rId108">
            <o:LockedField>false</o:LockedField>
          </o:OLEObject>
        </w:object>
      </w:r>
      <w:r>
        <w:rPr>
          <w:rFonts w:hint="eastAsia"/>
          <w:lang w:bidi="ar"/>
        </w:rPr>
        <w:t>为喷施动作（二分类）交叉熵损失；</w:t>
      </w:r>
    </w:p>
    <w:p w14:paraId="6E250A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position w:val="-14"/>
          <w:lang w:bidi="ar"/>
        </w:rPr>
        <w:object>
          <v:shape id="_x0000_i1097" o:spt="75" type="#_x0000_t75" style="height:18.8pt;width:21.9pt;" o:ole="t" filled="f" o:preferrelative="t" stroked="f" coordsize="21600,21600">
            <v:path/>
            <v:fill on="f" focussize="0,0"/>
            <v:stroke on="f" joinstyle="miter"/>
            <v:imagedata r:id="rId111" o:title=""/>
            <o:lock v:ext="edit" aspectratio="t"/>
            <w10:wrap type="none"/>
            <w10:anchorlock/>
          </v:shape>
          <o:OLEObject Type="Embed" ProgID="Equation.KSEE3" ShapeID="_x0000_i1097" DrawAspect="Content" ObjectID="_1468075775" r:id="rId110">
            <o:LockedField>false</o:LockedField>
          </o:OLEObject>
        </w:object>
      </w:r>
      <w:r>
        <w:rPr>
          <w:lang w:bidi="ar"/>
        </w:rPr>
        <w:t>为药剂类型（多分类）交叉熵损失；</w:t>
      </w:r>
    </w:p>
    <w:p w14:paraId="5C132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position w:val="-12"/>
          <w:lang w:bidi="ar"/>
        </w:rPr>
        <w:object>
          <v:shape id="_x0000_i1098" o:spt="75" type="#_x0000_t75" style="height:18.15pt;width:23.8pt;" o:ole="t" filled="f" o:preferrelative="t" stroked="f" coordsize="21600,21600">
            <v:path/>
            <v:fill on="f" focussize="0,0"/>
            <v:stroke on="f" joinstyle="miter"/>
            <v:imagedata r:id="rId113" o:title=""/>
            <o:lock v:ext="edit" aspectratio="t"/>
            <w10:wrap type="none"/>
            <w10:anchorlock/>
          </v:shape>
          <o:OLEObject Type="Embed" ProgID="Equation.KSEE3" ShapeID="_x0000_i1098" DrawAspect="Content" ObjectID="_1468075776" r:id="rId112">
            <o:LockedField>false</o:LockedField>
          </o:OLEObject>
        </w:object>
      </w:r>
      <w:r>
        <w:rPr>
          <w:lang w:bidi="ar"/>
        </w:rPr>
        <w:t>为剂量回归Huber损失；</w:t>
      </w:r>
    </w:p>
    <w:p w14:paraId="170575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position w:val="-12"/>
          <w:lang w:bidi="ar"/>
        </w:rPr>
        <w:object>
          <v:shape id="_x0000_i1099" o:spt="75" type="#_x0000_t75" style="height:18.15pt;width:23.15pt;" o:ole="t" filled="f" o:preferrelative="t" stroked="f" coordsize="21600,21600">
            <v:path/>
            <v:fill on="f" focussize="0,0"/>
            <v:stroke on="f" joinstyle="miter"/>
            <v:imagedata r:id="rId115" o:title=""/>
            <o:lock v:ext="edit" aspectratio="t"/>
            <w10:wrap type="none"/>
            <w10:anchorlock/>
          </v:shape>
          <o:OLEObject Type="Embed" ProgID="Equation.KSEE3" ShapeID="_x0000_i1099" DrawAspect="Content" ObjectID="_1468075777" r:id="rId114">
            <o:LockedField>false</o:LockedField>
          </o:OLEObject>
        </w:object>
      </w:r>
      <w:r>
        <w:rPr>
          <w:lang w:bidi="ar"/>
        </w:rPr>
        <w:t>为时机回归MSE损失；</w:t>
      </w:r>
    </w:p>
    <w:p w14:paraId="60E69F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权重系数取</w:t>
      </w:r>
      <w:r>
        <w:rPr>
          <w:position w:val="-6"/>
          <w:lang w:bidi="ar"/>
        </w:rPr>
        <w:object>
          <v:shape id="_x0000_i1100" o:spt="75" type="#_x0000_t75" style="height:13.75pt;width:36.3pt;" o:ole="t" filled="f" o:preferrelative="t" stroked="f" coordsize="21600,21600">
            <v:path/>
            <v:fill on="f" focussize="0,0"/>
            <v:stroke on="f" joinstyle="miter"/>
            <v:imagedata r:id="rId117" o:title=""/>
            <o:lock v:ext="edit" aspectratio="t"/>
            <w10:wrap type="none"/>
            <w10:anchorlock/>
          </v:shape>
          <o:OLEObject Type="Embed" ProgID="Equation.KSEE3" ShapeID="_x0000_i1100" DrawAspect="Content" ObjectID="_1468075778" r:id="rId116">
            <o:LockedField>false</o:LockedField>
          </o:OLEObject>
        </w:object>
      </w:r>
      <w:r>
        <w:rPr>
          <w:lang w:bidi="ar"/>
        </w:rPr>
        <w:t>，</w:t>
      </w:r>
      <w:r>
        <w:rPr>
          <w:position w:val="-6"/>
          <w:lang w:bidi="ar"/>
        </w:rPr>
        <w:object>
          <v:shape id="_x0000_i1101" o:spt="75" type="#_x0000_t75" style="height:13.75pt;width:35.05pt;" o:ole="t" filled="f" o:preferrelative="t" stroked="f" coordsize="21600,21600">
            <v:path/>
            <v:fill on="f" focussize="0,0"/>
            <v:stroke on="f" joinstyle="miter"/>
            <v:imagedata r:id="rId119" o:title=""/>
            <o:lock v:ext="edit" aspectratio="t"/>
            <w10:wrap type="none"/>
            <w10:anchorlock/>
          </v:shape>
          <o:OLEObject Type="Embed" ProgID="Equation.KSEE3" ShapeID="_x0000_i1101" DrawAspect="Content" ObjectID="_1468075779" r:id="rId118">
            <o:LockedField>false</o:LockedField>
          </o:OLEObject>
        </w:object>
      </w:r>
      <w:r>
        <w:rPr>
          <w:lang w:bidi="ar"/>
        </w:rPr>
        <w:t>，</w:t>
      </w:r>
      <w:r>
        <w:rPr>
          <w:position w:val="-6"/>
          <w:lang w:bidi="ar"/>
        </w:rPr>
        <w:object>
          <v:shape id="_x0000_i1102" o:spt="75" type="#_x0000_t75" style="height:13.75pt;width:36.3pt;" o:ole="t" filled="f" o:preferrelative="t" stroked="f" coordsize="21600,21600">
            <v:path/>
            <v:fill on="f" focussize="0,0"/>
            <v:stroke on="f" joinstyle="miter"/>
            <v:imagedata r:id="rId121" o:title=""/>
            <o:lock v:ext="edit" aspectratio="t"/>
            <w10:wrap type="none"/>
            <w10:anchorlock/>
          </v:shape>
          <o:OLEObject Type="Embed" ProgID="Equation.KSEE3" ShapeID="_x0000_i1102" DrawAspect="Content" ObjectID="_1468075780" r:id="rId120">
            <o:LockedField>false</o:LockedField>
          </o:OLEObject>
        </w:object>
      </w:r>
      <w:r>
        <w:rPr>
          <w:lang w:bidi="ar"/>
        </w:rPr>
        <w:t>，</w:t>
      </w:r>
      <w:r>
        <w:rPr>
          <w:position w:val="-6"/>
          <w:lang w:bidi="ar"/>
        </w:rPr>
        <w:object>
          <v:shape id="_x0000_i1103" o:spt="75" type="#_x0000_t75" style="height:13.75pt;width:38.2pt;" o:ole="t" filled="f" o:preferrelative="t" stroked="f" coordsize="21600,21600">
            <v:path/>
            <v:fill on="f" focussize="0,0"/>
            <v:stroke on="f" joinstyle="miter"/>
            <v:imagedata r:id="rId123" o:title=""/>
            <o:lock v:ext="edit" aspectratio="t"/>
            <w10:wrap type="none"/>
            <w10:anchorlock/>
          </v:shape>
          <o:OLEObject Type="Embed" ProgID="Equation.KSEE3" ShapeID="_x0000_i1103" DrawAspect="Content" ObjectID="_1468075781" r:id="rId122">
            <o:LockedField>false</o:LockedField>
          </o:OLEObject>
        </w:object>
      </w:r>
      <w:r>
        <w:rPr>
          <w:lang w:bidi="ar"/>
        </w:rPr>
        <w:t>。</w:t>
      </w:r>
    </w:p>
    <w:p w14:paraId="5AC4737C">
      <w:pPr>
        <w:widowControl/>
        <w:ind w:firstLine="482"/>
        <w:rPr>
          <w:rFonts w:hint="eastAsia" w:ascii="宋体" w:hAnsi="宋体" w:cs="宋体"/>
          <w:b/>
          <w:bCs/>
          <w:kern w:val="0"/>
          <w:lang w:bidi="ar"/>
        </w:rPr>
      </w:pPr>
      <w:r>
        <w:rPr>
          <w:rFonts w:ascii="宋体" w:hAnsi="宋体" w:cs="宋体"/>
          <w:b/>
          <w:bCs/>
          <w:kern w:val="0"/>
          <w:lang w:bidi="ar"/>
        </w:rPr>
        <w:t>Huber Loss定义（用于剂量回归）：</w:t>
      </w:r>
    </w:p>
    <w:p w14:paraId="27896DD9">
      <w:pPr>
        <w:widowControl/>
        <w:ind w:firstLine="422"/>
        <w:jc w:val="center"/>
        <w:rPr>
          <w:rFonts w:hint="eastAsia" w:ascii="宋体" w:hAnsi="宋体" w:cs="宋体"/>
          <w:b/>
          <w:bCs/>
          <w:kern w:val="0"/>
          <w:sz w:val="21"/>
          <w:szCs w:val="21"/>
          <w:lang w:bidi="ar"/>
        </w:rPr>
      </w:pPr>
      <w:r>
        <w:rPr>
          <w:rFonts w:ascii="宋体" w:hAnsi="宋体" w:cs="宋体"/>
          <w:b/>
          <w:bCs/>
          <w:kern w:val="0"/>
          <w:position w:val="-16"/>
          <w:sz w:val="21"/>
          <w:szCs w:val="21"/>
          <w:lang w:bidi="ar"/>
        </w:rPr>
        <w:object>
          <v:shape id="_x0000_i1104" o:spt="75" type="#_x0000_t75" style="height:23.15pt;width:108.3pt;" o:ole="t" filled="f" o:preferrelative="t" stroked="f" coordsize="21600,21600">
            <v:path/>
            <v:fill on="f" focussize="0,0"/>
            <v:stroke on="f" joinstyle="miter"/>
            <v:imagedata r:id="rId125" o:title=""/>
            <o:lock v:ext="edit" aspectratio="t"/>
            <w10:wrap type="none"/>
            <w10:anchorlock/>
          </v:shape>
          <o:OLEObject Type="Embed" ProgID="Equation.KSEE3" ShapeID="_x0000_i1104" DrawAspect="Content" ObjectID="_1468075782" r:id="rId124">
            <o:LockedField>false</o:LockedField>
          </o:OLEObject>
        </w:object>
      </w:r>
    </w:p>
    <w:p w14:paraId="47B407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其中：</w:t>
      </w:r>
    </w:p>
    <w:p w14:paraId="0B46C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object>
          <v:shape id="_x0000_i1105" o:spt="75" type="#_x0000_t75" style="height:20.05pt;width:88.3pt;" o:ole="t" filled="f" o:preferrelative="t" stroked="f" coordsize="21600,21600">
            <v:path/>
            <v:fill on="f" focussize="0,0"/>
            <v:stroke on="f" joinstyle="miter"/>
            <v:imagedata r:id="rId127" o:title=""/>
            <o:lock v:ext="edit" aspectratio="t"/>
            <w10:wrap type="none"/>
            <w10:anchorlock/>
          </v:shape>
          <o:OLEObject Type="Embed" ProgID="Equation.KSEE3" ShapeID="_x0000_i1105" DrawAspect="Content" ObjectID="_1468075783" r:id="rId126">
            <o:LockedField>false</o:LockedField>
          </o:OLEObject>
        </w:object>
      </w:r>
      <w:r>
        <w:rPr>
          <w:rFonts w:hint="eastAsia"/>
          <w:lang w:bidi="ar"/>
        </w:rPr>
        <w:t>，当</w:t>
      </w:r>
      <w:r>
        <w:rPr>
          <w:rFonts w:hint="eastAsia"/>
          <w:lang w:bidi="ar"/>
        </w:rPr>
        <w:object>
          <v:shape id="_x0000_i1106" o:spt="75" type="#_x0000_t75" style="height:20.05pt;width:56.95pt;" o:ole="t" filled="f" o:preferrelative="t" stroked="f" coordsize="21600,21600">
            <v:path/>
            <v:fill on="f" focussize="0,0"/>
            <v:stroke on="f" joinstyle="miter"/>
            <v:imagedata r:id="rId129" o:title=""/>
            <o:lock v:ext="edit" aspectratio="t"/>
            <w10:wrap type="none"/>
            <w10:anchorlock/>
          </v:shape>
          <o:OLEObject Type="Embed" ProgID="Equation.KSEE3" ShapeID="_x0000_i1106" DrawAspect="Content" ObjectID="_1468075784" r:id="rId128">
            <o:LockedField>false</o:LockedField>
          </o:OLEObject>
        </w:object>
      </w:r>
    </w:p>
    <w:p w14:paraId="25CD5E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object>
          <v:shape id="_x0000_i1107" o:spt="75" type="#_x0000_t75" style="height:18.8pt;width:122.1pt;" o:ole="t" filled="f" o:preferrelative="t" stroked="f" coordsize="21600,21600">
            <v:path/>
            <v:fill on="f" focussize="0,0"/>
            <v:stroke on="f" joinstyle="miter"/>
            <v:imagedata r:id="rId131" o:title=""/>
            <o:lock v:ext="edit" aspectratio="t"/>
            <w10:wrap type="none"/>
            <w10:anchorlock/>
          </v:shape>
          <o:OLEObject Type="Embed" ProgID="Equation.KSEE3" ShapeID="_x0000_i1107" DrawAspect="Content" ObjectID="_1468075785" r:id="rId130">
            <o:LockedField>false</o:LockedField>
          </o:OLEObject>
        </w:object>
      </w:r>
      <w:r>
        <w:rPr>
          <w:rFonts w:hint="eastAsia"/>
          <w:lang w:bidi="ar"/>
        </w:rPr>
        <w:t>，当</w:t>
      </w:r>
      <w:r>
        <w:rPr>
          <w:rFonts w:hint="eastAsia"/>
          <w:lang w:bidi="ar"/>
        </w:rPr>
        <w:object>
          <v:shape id="_x0000_i1108" o:spt="75" type="#_x0000_t75" style="height:20.05pt;width:56.95pt;" o:ole="t" filled="f" o:preferrelative="t" stroked="f" coordsize="21600,21600">
            <v:path/>
            <v:fill on="f" focussize="0,0"/>
            <v:stroke on="f" joinstyle="miter"/>
            <v:imagedata r:id="rId133" o:title=""/>
            <o:lock v:ext="edit" aspectratio="t"/>
            <w10:wrap type="none"/>
            <w10:anchorlock/>
          </v:shape>
          <o:OLEObject Type="Embed" ProgID="Equation.KSEE3" ShapeID="_x0000_i1108" DrawAspect="Content" ObjectID="_1468075786" r:id="rId132">
            <o:LockedField>false</o:LockedField>
          </o:OLEObject>
        </w:object>
      </w:r>
    </w:p>
    <w:p w14:paraId="45F71D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position w:val="-6"/>
          <w:lang w:bidi="ar"/>
        </w:rPr>
        <w:object>
          <v:shape id="_x0000_i1109" o:spt="75" type="#_x0000_t75" style="height:13.75pt;width:11.25pt;" o:ole="t" filled="f" o:preferrelative="t" stroked="f" coordsize="21600,21600">
            <v:path/>
            <v:fill on="f" focussize="0,0"/>
            <v:stroke on="f" joinstyle="miter"/>
            <v:imagedata r:id="rId135" o:title=""/>
            <o:lock v:ext="edit" aspectratio="t"/>
            <w10:wrap type="none"/>
            <w10:anchorlock/>
          </v:shape>
          <o:OLEObject Type="Embed" ProgID="Equation.KSEE3" ShapeID="_x0000_i1109" DrawAspect="Content" ObjectID="_1468075787" r:id="rId134">
            <o:LockedField>false</o:LockedField>
          </o:OLEObject>
        </w:object>
      </w:r>
      <w:r>
        <w:rPr>
          <w:rFonts w:hint="eastAsia"/>
          <w:lang w:bidi="ar"/>
        </w:rPr>
        <w:t>为阈值参数，默认取</w:t>
      </w:r>
      <w:r>
        <w:rPr>
          <w:rFonts w:hint="eastAsia"/>
          <w:position w:val="-6"/>
          <w:lang w:bidi="ar"/>
        </w:rPr>
        <w:object>
          <v:shape id="_x0000_i1110" o:spt="75" type="#_x0000_t75" style="height:13.75pt;width:36.95pt;" o:ole="t" filled="f" o:preferrelative="t" stroked="f" coordsize="21600,21600">
            <v:path/>
            <v:fill on="f" focussize="0,0"/>
            <v:stroke on="f" joinstyle="miter"/>
            <v:imagedata r:id="rId137" o:title=""/>
            <o:lock v:ext="edit" aspectratio="t"/>
            <w10:wrap type="none"/>
            <w10:anchorlock/>
          </v:shape>
          <o:OLEObject Type="Embed" ProgID="Equation.KSEE3" ShapeID="_x0000_i1110" DrawAspect="Content" ObjectID="_1468075788" r:id="rId136">
            <o:LockedField>false</o:LockedField>
          </o:OLEObject>
        </w:object>
      </w:r>
      <w:r>
        <w:rPr>
          <w:rFonts w:hint="eastAsia"/>
          <w:lang w:bidi="ar"/>
        </w:rPr>
        <w:t>，在误差较小时等价于MSE，误差较大时退化为MAE，提升对异常值的鲁棒性。</w:t>
      </w:r>
    </w:p>
    <w:p w14:paraId="6AEE567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cs="宋体"/>
          <w:kern w:val="0"/>
          <w:sz w:val="18"/>
          <w:szCs w:val="18"/>
          <w:lang w:bidi="ar"/>
        </w:rPr>
      </w:pPr>
      <w:r>
        <w:rPr>
          <w:rFonts w:ascii="宋体" w:hAnsi="宋体" w:cs="宋体"/>
          <w:b/>
          <w:bCs/>
          <w:kern w:val="0"/>
          <w:lang w:bidi="ar"/>
        </w:rPr>
        <w:t>反向传播与参数更新：</w:t>
      </w:r>
      <w:r>
        <w:t>采用AdamW优化器，结合自适应矩估计与解耦权重衰减：</w:t>
      </w:r>
    </w:p>
    <w:p w14:paraId="184EBCB9">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1" o:spt="75" type="#_x0000_t75" style="height:18.15pt;width:128.95pt;" o:ole="t" filled="f" o:preferrelative="t" stroked="f" coordsize="21600,21600">
            <v:path/>
            <v:fill on="f" focussize="0,0"/>
            <v:stroke on="f" joinstyle="miter"/>
            <v:imagedata r:id="rId139" o:title=""/>
            <o:lock v:ext="edit" aspectratio="t"/>
            <w10:wrap type="none"/>
            <w10:anchorlock/>
          </v:shape>
          <o:OLEObject Type="Embed" ProgID="Equation.KSEE3" ShapeID="_x0000_i1111" DrawAspect="Content" ObjectID="_1468075789" r:id="rId138">
            <o:LockedField>false</o:LockedField>
          </o:OLEObject>
        </w:object>
      </w:r>
    </w:p>
    <w:p w14:paraId="3D221519">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2" o:spt="75" type="#_x0000_t75" style="height:18.8pt;width:127.1pt;" o:ole="t" filled="f" o:preferrelative="t" stroked="f" coordsize="21600,21600">
            <v:path/>
            <v:fill on="f" focussize="0,0"/>
            <v:stroke on="f" joinstyle="miter"/>
            <v:imagedata r:id="rId141" o:title=""/>
            <o:lock v:ext="edit" aspectratio="t"/>
            <w10:wrap type="none"/>
            <w10:anchorlock/>
          </v:shape>
          <o:OLEObject Type="Embed" ProgID="Equation.KSEE3" ShapeID="_x0000_i1112" DrawAspect="Content" ObjectID="_1468075790" r:id="rId140">
            <o:LockedField>false</o:LockedField>
          </o:OLEObject>
        </w:object>
      </w:r>
    </w:p>
    <w:p w14:paraId="2C86E2DE">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3" o:spt="75" type="#_x0000_t75" style="height:18.8pt;width:78.9pt;" o:ole="t" filled="f" o:preferrelative="t" stroked="f" coordsize="21600,21600">
            <v:path/>
            <v:fill on="f" focussize="0,0"/>
            <v:stroke on="f" joinstyle="miter"/>
            <v:imagedata r:id="rId143" o:title=""/>
            <o:lock v:ext="edit" aspectratio="t"/>
            <w10:wrap type="none"/>
            <w10:anchorlock/>
          </v:shape>
          <o:OLEObject Type="Embed" ProgID="Equation.KSEE3" ShapeID="_x0000_i1113" DrawAspect="Content" ObjectID="_1468075791" r:id="rId142">
            <o:LockedField>false</o:LockedField>
          </o:OLEObject>
        </w:object>
      </w:r>
    </w:p>
    <w:p w14:paraId="75A94F6B">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4" o:spt="75" type="#_x0000_t75" style="height:18.8pt;width:72pt;" o:ole="t" filled="f" o:preferrelative="t" stroked="f" coordsize="21600,21600">
            <v:path/>
            <v:fill on="f" focussize="0,0"/>
            <v:stroke on="f" joinstyle="miter"/>
            <v:imagedata r:id="rId145" o:title=""/>
            <o:lock v:ext="edit" aspectratio="t"/>
            <w10:wrap type="none"/>
            <w10:anchorlock/>
          </v:shape>
          <o:OLEObject Type="Embed" ProgID="Equation.KSEE3" ShapeID="_x0000_i1114" DrawAspect="Content" ObjectID="_1468075792" r:id="rId144">
            <o:LockedField>false</o:LockedField>
          </o:OLEObject>
        </w:object>
      </w:r>
    </w:p>
    <w:p w14:paraId="4348849D">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115" o:spt="75" type="#_x0000_t75" style="height:21.3pt;width:175.3pt;" o:ole="t" filled="f" o:preferrelative="t" stroked="f" coordsize="21600,21600">
            <v:path/>
            <v:fill on="f" focussize="0,0"/>
            <v:stroke on="f" joinstyle="miter"/>
            <v:imagedata r:id="rId147" o:title=""/>
            <o:lock v:ext="edit" aspectratio="t"/>
            <w10:wrap type="none"/>
            <w10:anchorlock/>
          </v:shape>
          <o:OLEObject Type="Embed" ProgID="Equation.KSEE3" ShapeID="_x0000_i1115" DrawAspect="Content" ObjectID="_1468075793" r:id="rId146">
            <o:LockedField>false</o:LockedField>
          </o:OLEObject>
        </w:object>
      </w:r>
    </w:p>
    <w:p w14:paraId="75158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其中：</w:t>
      </w:r>
      <w:r>
        <w:rPr>
          <w:rFonts w:hint="eastAsia"/>
          <w:position w:val="-12"/>
          <w:lang w:bidi="ar"/>
        </w:rPr>
        <w:object>
          <v:shape id="_x0000_i1116" o:spt="75" type="#_x0000_t75" style="height:18.15pt;width:13.15pt;" o:ole="t" filled="f" o:preferrelative="t" stroked="f" coordsize="21600,21600">
            <v:path/>
            <v:fill on="f" focussize="0,0"/>
            <v:stroke on="f" joinstyle="miter"/>
            <v:imagedata r:id="rId149" o:title=""/>
            <o:lock v:ext="edit" aspectratio="t"/>
            <w10:wrap type="none"/>
            <w10:anchorlock/>
          </v:shape>
          <o:OLEObject Type="Embed" ProgID="Equation.KSEE3" ShapeID="_x0000_i1116" DrawAspect="Content" ObjectID="_1468075794" r:id="rId148">
            <o:LockedField>false</o:LockedField>
          </o:OLEObject>
        </w:object>
      </w:r>
      <w:r>
        <w:rPr>
          <w:rFonts w:hint="eastAsia"/>
          <w:lang w:bidi="ar"/>
        </w:rPr>
        <w:t>为当前梯度，</w:t>
      </w:r>
      <w:r>
        <w:rPr>
          <w:rFonts w:hint="eastAsia"/>
          <w:lang w:bidi="ar"/>
        </w:rPr>
        <w:object>
          <v:shape id="_x0000_i1117" o:spt="75" type="#_x0000_t75" style="height:16.9pt;width:41.95pt;" o:ole="t" filled="f" o:preferrelative="t" stroked="f" coordsize="21600,21600">
            <v:path/>
            <v:fill on="f" focussize="0,0"/>
            <v:stroke on="f" joinstyle="miter"/>
            <v:imagedata r:id="rId151" o:title=""/>
            <o:lock v:ext="edit" aspectratio="t"/>
            <w10:wrap type="none"/>
            <w10:anchorlock/>
          </v:shape>
          <o:OLEObject Type="Embed" ProgID="Equation.KSEE3" ShapeID="_x0000_i1117" DrawAspect="Content" ObjectID="_1468075795" r:id="rId150">
            <o:LockedField>false</o:LockedField>
          </o:OLEObject>
        </w:object>
      </w:r>
      <w:r>
        <w:rPr>
          <w:rFonts w:hint="eastAsia"/>
          <w:lang w:bidi="ar"/>
        </w:rPr>
        <w:t>，</w:t>
      </w:r>
      <w:r>
        <w:rPr>
          <w:rFonts w:hint="eastAsia"/>
          <w:lang w:bidi="ar"/>
        </w:rPr>
        <w:object>
          <v:shape id="_x0000_i1118" o:spt="75" type="#_x0000_t75" style="height:16.9pt;width:55.1pt;" o:ole="t" filled="f" o:preferrelative="t" stroked="f" coordsize="21600,21600">
            <v:path/>
            <v:fill on="f" focussize="0,0"/>
            <v:stroke on="f" joinstyle="miter"/>
            <v:imagedata r:id="rId153" o:title=""/>
            <o:lock v:ext="edit" aspectratio="t"/>
            <w10:wrap type="none"/>
            <w10:anchorlock/>
          </v:shape>
          <o:OLEObject Type="Embed" ProgID="Equation.KSEE3" ShapeID="_x0000_i1118" DrawAspect="Content" ObjectID="_1468075796" r:id="rId152">
            <o:LockedField>false</o:LockedField>
          </o:OLEObject>
        </w:object>
      </w:r>
      <w:r>
        <w:rPr>
          <w:rFonts w:hint="eastAsia"/>
          <w:lang w:bidi="ar"/>
        </w:rPr>
        <w:t>，</w:t>
      </w:r>
      <w:r>
        <w:rPr>
          <w:rFonts w:hint="eastAsia"/>
          <w:position w:val="-6"/>
          <w:lang w:bidi="ar"/>
        </w:rPr>
        <w:object>
          <v:shape id="_x0000_i1119" o:spt="75" type="#_x0000_t75" style="height:16.3pt;width:53.85pt;" o:ole="t" filled="f" o:preferrelative="t" stroked="f" coordsize="21600,21600">
            <v:path/>
            <v:fill on="f" focussize="0,0"/>
            <v:stroke on="f" joinstyle="miter"/>
            <v:imagedata r:id="rId155" o:title=""/>
            <o:lock v:ext="edit" aspectratio="t"/>
            <w10:wrap type="none"/>
            <w10:anchorlock/>
          </v:shape>
          <o:OLEObject Type="Embed" ProgID="Equation.KSEE3" ShapeID="_x0000_i1119" DrawAspect="Content" ObjectID="_1468075797" r:id="rId154">
            <o:LockedField>false</o:LockedField>
          </o:OLEObject>
        </w:object>
      </w:r>
      <w:r>
        <w:rPr>
          <w:rFonts w:hint="eastAsia"/>
          <w:lang w:bidi="ar"/>
        </w:rPr>
        <w:t>，</w:t>
      </w:r>
      <w:r>
        <w:rPr>
          <w:rFonts w:hint="eastAsia"/>
          <w:position w:val="-6"/>
          <w:lang w:bidi="ar"/>
        </w:rPr>
        <w:object>
          <v:shape id="_x0000_i1120" o:spt="75" type="#_x0000_t75" style="height:16.3pt;width:55.1pt;" o:ole="t" filled="f" o:preferrelative="t" stroked="f" coordsize="21600,21600">
            <v:path/>
            <v:fill on="f" focussize="0,0"/>
            <v:stroke on="f" joinstyle="miter"/>
            <v:imagedata r:id="rId157" o:title=""/>
            <o:lock v:ext="edit" aspectratio="t"/>
            <w10:wrap type="none"/>
            <w10:anchorlock/>
          </v:shape>
          <o:OLEObject Type="Embed" ProgID="Equation.KSEE3" ShapeID="_x0000_i1120" DrawAspect="Content" ObjectID="_1468075798" r:id="rId156">
            <o:LockedField>false</o:LockedField>
          </o:OLEObject>
        </w:object>
      </w:r>
      <w:r>
        <w:rPr>
          <w:rFonts w:hint="eastAsia"/>
          <w:lang w:bidi="ar"/>
        </w:rPr>
        <w:t>为权重衰减系数，</w:t>
      </w:r>
      <w:r>
        <w:rPr>
          <w:rFonts w:hint="eastAsia"/>
          <w:lang w:bidi="ar"/>
        </w:rPr>
        <w:object>
          <v:shape id="_x0000_i1121" o:spt="75" type="#_x0000_t75" style="height:13.15pt;width:10pt;" o:ole="t" filled="f" o:preferrelative="t" stroked="f" coordsize="21600,21600">
            <v:path/>
            <v:fill on="f" focussize="0,0"/>
            <v:stroke on="f" joinstyle="miter"/>
            <v:imagedata r:id="rId159" o:title=""/>
            <o:lock v:ext="edit" aspectratio="t"/>
            <w10:wrap type="none"/>
            <w10:anchorlock/>
          </v:shape>
          <o:OLEObject Type="Embed" ProgID="Equation.KSEE3" ShapeID="_x0000_i1121" DrawAspect="Content" ObjectID="_1468075799" r:id="rId158">
            <o:LockedField>false</o:LockedField>
          </o:OLEObject>
        </w:object>
      </w:r>
      <w:r>
        <w:rPr>
          <w:rFonts w:hint="eastAsia"/>
          <w:lang w:bidi="ar"/>
        </w:rPr>
        <w:t>为学习率。</w:t>
      </w:r>
    </w:p>
    <w:p w14:paraId="06C72D60">
      <w:pPr>
        <w:widowControl/>
        <w:ind w:firstLine="482"/>
        <w:rPr>
          <w:rFonts w:hint="eastAsia" w:ascii="宋体" w:hAnsi="宋体" w:cs="宋体"/>
          <w:kern w:val="0"/>
          <w:lang w:bidi="ar"/>
        </w:rPr>
      </w:pPr>
      <w:r>
        <w:rPr>
          <w:rFonts w:ascii="宋体" w:hAnsi="宋体" w:cs="宋体"/>
          <w:b/>
          <w:bCs/>
          <w:kern w:val="0"/>
          <w:lang w:bidi="ar"/>
        </w:rPr>
        <w:t>训练参数配置：</w:t>
      </w:r>
    </w:p>
    <w:tbl>
      <w:tblPr>
        <w:tblStyle w:val="11"/>
        <w:tblW w:w="65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91"/>
        <w:gridCol w:w="5054"/>
      </w:tblGrid>
      <w:tr w14:paraId="15677D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A97F85B">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5054"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4E975239">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取值</w:t>
            </w:r>
          </w:p>
        </w:tc>
      </w:tr>
      <w:tr w14:paraId="4922D1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52D42C0">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网络结构</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EF4C9F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12→64→32→4</w:t>
            </w:r>
          </w:p>
        </w:tc>
      </w:tr>
      <w:tr w14:paraId="6361EC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C44051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激活函数</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30D9AA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ReLU（隐藏层）</w:t>
            </w:r>
          </w:p>
        </w:tc>
      </w:tr>
      <w:tr w14:paraId="54282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F5E87D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Dropout</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6F61B84">
            <w:pPr>
              <w:widowControl/>
              <w:snapToGrid w:val="0"/>
              <w:ind w:firstLine="0" w:firstLineChars="0"/>
              <w:jc w:val="center"/>
              <w:rPr>
                <w:rFonts w:hint="eastAsia" w:ascii="宋体" w:hAnsi="宋体" w:cs="宋体"/>
                <w:sz w:val="20"/>
                <w:szCs w:val="20"/>
                <w:vertAlign w:val="superscript"/>
              </w:rPr>
            </w:pPr>
            <w:r>
              <w:rPr>
                <w:rFonts w:hint="eastAsia" w:ascii="宋体" w:hAnsi="宋体" w:cs="宋体"/>
                <w:sz w:val="20"/>
                <w:szCs w:val="20"/>
              </w:rPr>
              <w:t>0.3（隐藏层）</w:t>
            </w:r>
          </w:p>
        </w:tc>
      </w:tr>
      <w:tr w14:paraId="7133A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33D1D6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优化器</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6A61E3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AdamW（lr=1×10⁻³，weight_decay=1×10⁻⁴）</w:t>
            </w:r>
          </w:p>
        </w:tc>
      </w:tr>
      <w:tr w14:paraId="13867A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E8F0111">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Batch Size</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FB01481">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32</w:t>
            </w:r>
          </w:p>
        </w:tc>
      </w:tr>
      <w:tr w14:paraId="305D50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D95FC6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训练轮次</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001D66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100 epochs</w:t>
            </w:r>
          </w:p>
        </w:tc>
      </w:tr>
      <w:tr w14:paraId="7A3EE7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86A566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学习率调度</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0C052A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余弦退火（η_min=1×10⁻⁵）</w:t>
            </w:r>
          </w:p>
        </w:tc>
      </w:tr>
      <w:tr w14:paraId="0F4EAA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40E5F35">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Warmup</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7415E4B">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前10轮线性预热</w:t>
            </w:r>
          </w:p>
        </w:tc>
      </w:tr>
      <w:tr w14:paraId="40C43B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BF3FB0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早停策略</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F6985D0">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验证集损失连续10轮无下降则终止</w:t>
            </w:r>
          </w:p>
        </w:tc>
      </w:tr>
    </w:tbl>
    <w:p w14:paraId="423420DB">
      <w:pPr>
        <w:widowControl/>
        <w:ind w:firstLine="360"/>
        <w:jc w:val="center"/>
      </w:pPr>
      <w:r>
        <w:rPr>
          <w:rFonts w:hint="eastAsia"/>
          <w:sz w:val="18"/>
          <w:szCs w:val="18"/>
        </w:rPr>
        <w:t>表</w:t>
      </w:r>
      <w:r>
        <w:rPr>
          <w:rFonts w:hint="eastAsia"/>
          <w:sz w:val="18"/>
          <w:szCs w:val="18"/>
          <w:lang w:val="en-US" w:eastAsia="zh-CN"/>
        </w:rPr>
        <w:t>3</w:t>
      </w:r>
      <w:r>
        <w:rPr>
          <w:rFonts w:hint="eastAsia"/>
          <w:sz w:val="18"/>
          <w:szCs w:val="18"/>
        </w:rPr>
        <w:t>.4 BP神经网络训练参数</w:t>
      </w:r>
    </w:p>
    <w:p w14:paraId="5E41207D">
      <w:pPr>
        <w:widowControl/>
        <w:ind w:firstLine="0" w:firstLineChars="0"/>
      </w:pPr>
      <w:r>
        <w:rPr>
          <w:sz w:val="21"/>
        </w:rPr>
        <mc:AlternateContent>
          <mc:Choice Requires="wps">
            <w:drawing>
              <wp:anchor distT="0" distB="0" distL="114300" distR="114300" simplePos="0" relativeHeight="251659264" behindDoc="0" locked="0" layoutInCell="1" allowOverlap="1">
                <wp:simplePos x="0" y="0"/>
                <wp:positionH relativeFrom="column">
                  <wp:posOffset>619125</wp:posOffset>
                </wp:positionH>
                <wp:positionV relativeFrom="paragraph">
                  <wp:posOffset>120650</wp:posOffset>
                </wp:positionV>
                <wp:extent cx="132715" cy="190500"/>
                <wp:effectExtent l="0" t="0" r="4445" b="7620"/>
                <wp:wrapNone/>
                <wp:docPr id="1" name="矩形 1"/>
                <wp:cNvGraphicFramePr/>
                <a:graphic xmlns:a="http://schemas.openxmlformats.org/drawingml/2006/main">
                  <a:graphicData uri="http://schemas.microsoft.com/office/word/2010/wordprocessingShape">
                    <wps:wsp>
                      <wps:cNvSpPr/>
                      <wps:spPr>
                        <a:xfrm>
                          <a:off x="1771015" y="4202430"/>
                          <a:ext cx="132715" cy="190500"/>
                        </a:xfrm>
                        <a:prstGeom prst="rect">
                          <a:avLst/>
                        </a:prstGeom>
                        <a:solidFill>
                          <a:srgbClr val="FFFFF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8.75pt;margin-top:9.5pt;height:15pt;width:10.45pt;z-index:251659264;v-text-anchor:middle;mso-width-relative:page;mso-height-relative:page;" fillcolor="#FFFFFF" filled="t" stroked="f" coordsize="21600,21600" o:gfxdata="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9/Oj9MAAAAIAQAADwAAAAAAAAABACAAAAAiAAAAZHJzL2Rvd25yZXYueG1sUEsBAhQAFAAA&#10;AAgAh07iQEIsJpBmAgAAvwQAAA4AAAAAAAAAAQAgAAAAIgEAAGRycy9lMm9Eb2MueG1sUEsFBgAA&#10;AAAGAAYAWQEAAPoFAAAAAA==&#10;">
                <v:fill on="t" focussize="0,0"/>
                <v:stroke on="f" weight="2pt"/>
                <v:imagedata o:title=""/>
                <o:lock v:ext="edit" aspectratio="f"/>
              </v:rect>
            </w:pict>
          </mc:Fallback>
        </mc:AlternateContent>
      </w:r>
      <w:r>
        <w:drawing>
          <wp:inline distT="0" distB="0" distL="114300" distR="114300">
            <wp:extent cx="5269230" cy="3122930"/>
            <wp:effectExtent l="0" t="0" r="3810" b="1270"/>
            <wp:docPr id="1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7"/>
                    <pic:cNvPicPr>
                      <a:picLocks noChangeAspect="1"/>
                    </pic:cNvPicPr>
                  </pic:nvPicPr>
                  <pic:blipFill>
                    <a:blip r:embed="rId160"/>
                    <a:stretch>
                      <a:fillRect/>
                    </a:stretch>
                  </pic:blipFill>
                  <pic:spPr>
                    <a:xfrm>
                      <a:off x="0" y="0"/>
                      <a:ext cx="5269230" cy="3122930"/>
                    </a:xfrm>
                    <a:prstGeom prst="rect">
                      <a:avLst/>
                    </a:prstGeom>
                    <a:noFill/>
                    <a:ln>
                      <a:noFill/>
                    </a:ln>
                  </pic:spPr>
                </pic:pic>
              </a:graphicData>
            </a:graphic>
          </wp:inline>
        </w:drawing>
      </w:r>
    </w:p>
    <w:p w14:paraId="63A984D7">
      <w:pPr>
        <w:widowControl/>
        <w:ind w:firstLine="360"/>
        <w:jc w:val="center"/>
        <w:rPr>
          <w:sz w:val="18"/>
          <w:szCs w:val="18"/>
        </w:rPr>
      </w:pPr>
      <w:r>
        <w:rPr>
          <w:rFonts w:hint="eastAsia"/>
          <w:sz w:val="18"/>
          <w:szCs w:val="18"/>
        </w:rPr>
        <w:t>图</w:t>
      </w:r>
      <w:r>
        <w:rPr>
          <w:rFonts w:hint="eastAsia"/>
          <w:sz w:val="18"/>
          <w:szCs w:val="18"/>
          <w:lang w:val="en-US" w:eastAsia="zh-CN"/>
        </w:rPr>
        <w:t>3</w:t>
      </w:r>
      <w:r>
        <w:rPr>
          <w:rFonts w:hint="eastAsia"/>
          <w:sz w:val="18"/>
          <w:szCs w:val="18"/>
        </w:rPr>
        <w:t>.</w:t>
      </w:r>
      <w:r>
        <w:rPr>
          <w:rFonts w:hint="eastAsia"/>
          <w:sz w:val="18"/>
          <w:szCs w:val="18"/>
          <w:lang w:val="en-US" w:eastAsia="zh-CN"/>
        </w:rPr>
        <w:t>5</w:t>
      </w:r>
      <w:r>
        <w:rPr>
          <w:rFonts w:hint="eastAsia"/>
          <w:sz w:val="18"/>
          <w:szCs w:val="18"/>
        </w:rPr>
        <w:t xml:space="preserve"> 训练流程图</w:t>
      </w:r>
    </w:p>
    <w:p w14:paraId="2694397D">
      <w:pPr>
        <w:rPr>
          <w:rFonts w:hint="default"/>
          <w:lang w:val="en-US"/>
        </w:rPr>
      </w:pPr>
    </w:p>
    <w:p w14:paraId="4F470A5A">
      <w:pPr>
        <w:pStyle w:val="4"/>
        <w:rPr>
          <w:rFonts w:hint="eastAsia"/>
        </w:rPr>
      </w:pPr>
      <w:bookmarkStart w:id="51" w:name="_Toc5098"/>
      <w:r>
        <w:rPr>
          <w:rFonts w:hint="eastAsia" w:ascii="黑体" w:hAnsi="黑体"/>
          <w:lang w:val="en-US" w:eastAsia="zh-CN"/>
        </w:rPr>
        <w:t>3</w:t>
      </w:r>
      <w:r>
        <w:rPr>
          <w:rFonts w:ascii="黑体" w:hAnsi="黑体"/>
        </w:rPr>
        <w:t>.</w:t>
      </w:r>
      <w:r>
        <w:rPr>
          <w:rFonts w:hint="eastAsia" w:ascii="黑体" w:hAnsi="黑体"/>
          <w:lang w:val="en-US" w:eastAsia="zh-CN"/>
        </w:rPr>
        <w:t>6</w:t>
      </w:r>
      <w:r>
        <w:rPr>
          <w:rFonts w:hint="eastAsia" w:ascii="黑体" w:hAnsi="黑体"/>
        </w:rPr>
        <w:t>.</w:t>
      </w:r>
      <w:r>
        <w:t xml:space="preserve"> 软件设计实现</w:t>
      </w:r>
      <w:bookmarkEnd w:id="51"/>
    </w:p>
    <w:p w14:paraId="1A67A4B0">
      <w:pPr>
        <w:pStyle w:val="5"/>
      </w:pPr>
      <w:bookmarkStart w:id="52" w:name="_Toc4851"/>
      <w:r>
        <w:rPr>
          <w:rFonts w:hint="eastAsia" w:ascii="黑体" w:hAnsi="黑体"/>
          <w:lang w:val="en-US" w:eastAsia="zh-CN"/>
        </w:rPr>
        <w:t>3</w:t>
      </w:r>
      <w:r>
        <w:rPr>
          <w:rFonts w:ascii="黑体" w:hAnsi="黑体"/>
        </w:rPr>
        <w:t>.</w:t>
      </w:r>
      <w:r>
        <w:rPr>
          <w:rFonts w:hint="eastAsia" w:ascii="黑体" w:hAnsi="黑体"/>
          <w:lang w:val="en-US" w:eastAsia="zh-CN"/>
        </w:rPr>
        <w:t>6</w:t>
      </w:r>
      <w:r>
        <w:rPr>
          <w:rFonts w:ascii="黑体" w:hAnsi="黑体"/>
        </w:rPr>
        <w:t>.1.</w:t>
      </w:r>
      <w:r>
        <w:t>多模态加权融合算法</w:t>
      </w:r>
      <w:bookmarkEnd w:id="52"/>
    </w:p>
    <w:p w14:paraId="2C8B8303">
      <w:pPr>
        <w:pStyle w:val="6"/>
        <w:ind w:firstLine="482"/>
        <w:rPr>
          <w:lang w:bidi="ar"/>
        </w:rPr>
      </w:pPr>
      <w:r>
        <w:rPr>
          <w:lang w:bidi="ar"/>
        </w:rPr>
        <w:t>（1）权重计算</w:t>
      </w:r>
    </w:p>
    <w:p w14:paraId="527611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采用熵权法评估各模态信息有效性，熵值越小表示信息确定性越高、可靠性越强，对应权重越大。第m个模态熵值为</w:t>
      </w:r>
      <w:r>
        <w:rPr>
          <w:rFonts w:hint="eastAsia"/>
          <w:position w:val="-12"/>
          <w:lang w:bidi="ar"/>
        </w:rPr>
        <w:object>
          <v:shape id="_x0000_i1025" o:spt="75" type="#_x0000_t75" style="height:18.15pt;width:18.8pt;" o:ole="t" filled="f" o:preferrelative="t" stroked="f" coordsize="21600,21600">
            <v:path/>
            <v:fill on="f" focussize="0,0"/>
            <v:stroke on="f" joinstyle="miter"/>
            <v:imagedata r:id="rId162" o:title=""/>
            <o:lock v:ext="edit" aspectratio="t"/>
            <w10:wrap type="none"/>
            <w10:anchorlock/>
          </v:shape>
          <o:OLEObject Type="Embed" ProgID="Equation.KSEE3" ShapeID="_x0000_i1025" DrawAspect="Content" ObjectID="_1468075800" r:id="rId161">
            <o:LockedField>false</o:LockedField>
          </o:OLEObject>
        </w:object>
      </w:r>
      <w:r>
        <w:rPr>
          <w:rFonts w:hint="eastAsia"/>
          <w:lang w:bidi="ar"/>
        </w:rPr>
        <w:t>，基础权重为：</w:t>
      </w:r>
    </w:p>
    <w:p w14:paraId="5D701BFF">
      <w:pPr>
        <w:keepNext w:val="0"/>
        <w:keepLines w:val="0"/>
        <w:pageBreakBefore w:val="0"/>
        <w:widowControl/>
        <w:kinsoku/>
        <w:wordWrap/>
        <w:overflowPunct/>
        <w:topLinePunct w:val="0"/>
        <w:autoSpaceDE/>
        <w:autoSpaceDN/>
        <w:bidi w:val="0"/>
        <w:adjustRightInd/>
        <w:snapToGrid/>
        <w:spacing w:line="360" w:lineRule="auto"/>
        <w:ind w:firstLine="360"/>
        <w:jc w:val="center"/>
        <w:textAlignment w:val="auto"/>
        <w:rPr>
          <w:rFonts w:hint="eastAsia" w:ascii="宋体" w:hAnsi="宋体" w:cs="宋体"/>
          <w:kern w:val="0"/>
          <w:sz w:val="18"/>
          <w:szCs w:val="18"/>
          <w:lang w:bidi="ar"/>
        </w:rPr>
      </w:pPr>
      <w:r>
        <w:rPr>
          <w:rFonts w:ascii="宋体" w:hAnsi="宋体" w:cs="宋体"/>
          <w:kern w:val="0"/>
          <w:position w:val="-14"/>
          <w:sz w:val="18"/>
          <w:szCs w:val="18"/>
          <w:lang w:bidi="ar"/>
        </w:rPr>
        <w:object>
          <v:shape id="_x0000_i1026" o:spt="75" type="#_x0000_t75" style="height:20.05pt;width:140.85pt;" o:ole="t" filled="f" o:preferrelative="t" stroked="f" coordsize="21600,21600">
            <v:path/>
            <v:fill on="f" focussize="0,0"/>
            <v:stroke on="f" joinstyle="miter"/>
            <v:imagedata r:id="rId164" o:title=""/>
            <o:lock v:ext="edit" aspectratio="t"/>
            <w10:wrap type="none"/>
            <w10:anchorlock/>
          </v:shape>
          <o:OLEObject Type="Embed" ProgID="Equation.KSEE3" ShapeID="_x0000_i1026" DrawAspect="Content" ObjectID="_1468075801" r:id="rId163">
            <o:LockedField>false</o:LockedField>
          </o:OLEObject>
        </w:object>
      </w:r>
    </w:p>
    <w:p w14:paraId="0E9850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进一步引入环境修正系数</w:t>
      </w:r>
      <w:r>
        <w:rPr>
          <w:position w:val="-10"/>
          <w:lang w:bidi="ar"/>
        </w:rPr>
        <w:object>
          <v:shape id="_x0000_i1027" o:spt="75" type="#_x0000_t75" style="height:16.9pt;width:33.8pt;" o:ole="t" filled="f" o:preferrelative="t" stroked="f" coordsize="21600,21600">
            <v:path/>
            <v:fill on="f" focussize="0,0"/>
            <v:stroke on="f" joinstyle="miter"/>
            <v:imagedata r:id="rId166" o:title=""/>
            <o:lock v:ext="edit" aspectratio="t"/>
            <w10:wrap type="none"/>
            <w10:anchorlock/>
          </v:shape>
          <o:OLEObject Type="Embed" ProgID="Equation.KSEE3" ShapeID="_x0000_i1027" DrawAspect="Content" ObjectID="_1468075802" r:id="rId165">
            <o:LockedField>false</o:LockedField>
          </o:OLEObject>
        </w:object>
      </w:r>
      <w:r>
        <w:rPr>
          <w:lang w:bidi="ar"/>
        </w:rPr>
        <w:t>（E表示光照、天气、噪声等环境变量），得到动态权重：</w:t>
      </w:r>
    </w:p>
    <w:p w14:paraId="2475D795">
      <w:pPr>
        <w:keepNext w:val="0"/>
        <w:keepLines w:val="0"/>
        <w:pageBreakBefore w:val="0"/>
        <w:widowControl/>
        <w:kinsoku/>
        <w:wordWrap/>
        <w:overflowPunct/>
        <w:topLinePunct w:val="0"/>
        <w:autoSpaceDE/>
        <w:autoSpaceDN/>
        <w:bidi w:val="0"/>
        <w:adjustRightInd/>
        <w:snapToGrid/>
        <w:spacing w:line="360" w:lineRule="auto"/>
        <w:ind w:firstLine="360"/>
        <w:jc w:val="center"/>
        <w:textAlignment w:val="auto"/>
        <w:rPr>
          <w:rFonts w:hint="eastAsia" w:ascii="宋体" w:hAnsi="宋体" w:cs="宋体"/>
          <w:kern w:val="0"/>
          <w:sz w:val="18"/>
          <w:szCs w:val="18"/>
          <w:lang w:bidi="ar"/>
        </w:rPr>
      </w:pPr>
      <w:r>
        <w:rPr>
          <w:rFonts w:ascii="宋体" w:hAnsi="宋体" w:cs="宋体"/>
          <w:kern w:val="0"/>
          <w:position w:val="-14"/>
          <w:sz w:val="18"/>
          <w:szCs w:val="18"/>
          <w:lang w:bidi="ar"/>
        </w:rPr>
        <w:object>
          <v:shape id="_x0000_i1028" o:spt="75" type="#_x0000_t75" style="height:20.05pt;width:192.85pt;" o:ole="t" filled="f" o:preferrelative="t" stroked="f" coordsize="21600,21600">
            <v:path/>
            <v:fill on="f" focussize="0,0"/>
            <v:stroke on="f" joinstyle="miter"/>
            <v:imagedata r:id="rId168" o:title=""/>
            <o:lock v:ext="edit" aspectratio="t"/>
            <w10:wrap type="none"/>
            <w10:anchorlock/>
          </v:shape>
          <o:OLEObject Type="Embed" ProgID="Equation.KSEE3" ShapeID="_x0000_i1028" DrawAspect="Content" ObjectID="_1468075803" r:id="rId167">
            <o:LockedField>false</o:LockedField>
          </o:OLEObject>
        </w:object>
      </w:r>
    </w:p>
    <w:p w14:paraId="522354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lang w:bidi="ar"/>
        </w:rPr>
        <w:t>例如光照不足时降低RGB模态系数，提升多光谱或热红外模态系数，实现权重自适应调整。</w:t>
      </w:r>
    </w:p>
    <w:p w14:paraId="10032A5E">
      <w:pPr>
        <w:pStyle w:val="6"/>
        <w:ind w:firstLine="482"/>
        <w:rPr>
          <w:lang w:bidi="ar"/>
        </w:rPr>
      </w:pPr>
      <w:r>
        <w:rPr>
          <w:lang w:bidi="ar"/>
        </w:rPr>
        <w:t>（2）特征融合</w:t>
      </w:r>
    </w:p>
    <w:p w14:paraId="0FE9A5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对各模态特征向量</w:t>
      </w:r>
      <w:r>
        <w:rPr>
          <w:rFonts w:hint="eastAsia"/>
          <w:position w:val="-12"/>
          <w:lang w:bidi="ar"/>
        </w:rPr>
        <w:object>
          <v:shape id="_x0000_i1029" o:spt="75" type="#_x0000_t75" style="height:18.15pt;width:15.05pt;" o:ole="t" filled="f" o:preferrelative="t" stroked="f" coordsize="21600,21600">
            <v:path/>
            <v:fill on="f" focussize="0,0"/>
            <v:stroke on="f" joinstyle="miter"/>
            <v:imagedata r:id="rId170" o:title=""/>
            <o:lock v:ext="edit" aspectratio="t"/>
            <w10:wrap type="none"/>
            <w10:anchorlock/>
          </v:shape>
          <o:OLEObject Type="Embed" ProgID="Equation.KSEE3" ShapeID="_x0000_i1029" DrawAspect="Content" ObjectID="_1468075804" r:id="rId169">
            <o:LockedField>false</o:LockedField>
          </o:OLEObject>
        </w:object>
      </w:r>
      <w:r>
        <w:rPr>
          <w:rFonts w:hint="eastAsia"/>
          <w:lang w:bidi="ar"/>
        </w:rPr>
        <w:t>进行归一化后，按动态权重加权求和，生成融合特征向量：</w:t>
      </w:r>
    </w:p>
    <w:p w14:paraId="6B6FD05F">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30" o:spt="75" type="#_x0000_t75" style="height:20.05pt;width:83.25pt;" o:ole="t" filled="f" o:preferrelative="t" stroked="f" coordsize="21600,21600">
            <v:path/>
            <v:fill on="f" focussize="0,0"/>
            <v:stroke on="f" joinstyle="miter"/>
            <v:imagedata r:id="rId172" o:title=""/>
            <o:lock v:ext="edit" aspectratio="t"/>
            <w10:wrap type="none"/>
            <w10:anchorlock/>
          </v:shape>
          <o:OLEObject Type="Embed" ProgID="Equation.KSEE3" ShapeID="_x0000_i1030" DrawAspect="Content" ObjectID="_1468075805" r:id="rId171">
            <o:LockedField>false</o:LockedField>
          </o:OLEObject>
        </w:object>
      </w:r>
    </w:p>
    <w:p w14:paraId="737D60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lang w:bidi="ar"/>
        </w:rPr>
        <w:t>在此基础上加入注意力机制，对关键波段与关键区域进行二次加权，强化缺素</w:t>
      </w:r>
      <w:r>
        <w:rPr>
          <w:rFonts w:hint="eastAsia"/>
          <w:lang w:bidi="ar"/>
        </w:rPr>
        <w:t>或病害</w:t>
      </w:r>
      <w:r>
        <w:rPr>
          <w:lang w:bidi="ar"/>
        </w:rPr>
        <w:t>敏感特征表达能力，提升复杂背景下的识别效果。</w:t>
      </w:r>
    </w:p>
    <w:p w14:paraId="5D14E3A7">
      <w:pPr>
        <w:pStyle w:val="6"/>
        <w:ind w:firstLine="482"/>
        <w:rPr>
          <w:lang w:bidi="ar"/>
        </w:rPr>
      </w:pPr>
      <w:r>
        <w:rPr>
          <w:lang w:bidi="ar"/>
        </w:rPr>
        <w:t>（3）决策融合</w:t>
      </w:r>
    </w:p>
    <w:p w14:paraId="3DECA5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决策融合：各模态分类器输出类别概率</w:t>
      </w:r>
      <w:r>
        <w:rPr>
          <w:rFonts w:hint="eastAsia"/>
          <w:lang w:bidi="ar"/>
        </w:rPr>
        <w:object>
          <v:shape id="_x0000_i1031" o:spt="75" type="#_x0000_t75" style="height:18.15pt;width:31.3pt;" o:ole="t" filled="f" o:preferrelative="t" stroked="f" coordsize="21600,21600">
            <v:path/>
            <v:fill on="f" focussize="0,0"/>
            <v:stroke on="f" joinstyle="miter"/>
            <v:imagedata r:id="rId174" o:title=""/>
            <o:lock v:ext="edit" aspectratio="t"/>
            <w10:wrap type="none"/>
            <w10:anchorlock/>
          </v:shape>
          <o:OLEObject Type="Embed" ProgID="Equation.KSEE3" ShapeID="_x0000_i1031" DrawAspect="Content" ObjectID="_1468075806" r:id="rId173">
            <o:LockedField>false</o:LockedField>
          </o:OLEObject>
        </w:object>
      </w:r>
      <w:r>
        <w:rPr>
          <w:rFonts w:hint="eastAsia"/>
          <w:lang w:bidi="ar"/>
        </w:rPr>
        <w:t>，采用加权投票生成最终决策：</w:t>
      </w:r>
    </w:p>
    <w:p w14:paraId="32E3F39D">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32" o:spt="75" type="#_x0000_t75" style="height:20.05pt;width:107.05pt;" o:ole="t" filled="f" o:preferrelative="t" stroked="f" coordsize="21600,21600">
            <v:path/>
            <v:fill on="f" focussize="0,0"/>
            <v:stroke on="f" joinstyle="miter"/>
            <v:imagedata r:id="rId176" o:title=""/>
            <o:lock v:ext="edit" aspectratio="t"/>
            <w10:wrap type="none"/>
            <w10:anchorlock/>
          </v:shape>
          <o:OLEObject Type="Embed" ProgID="Equation.KSEE3" ShapeID="_x0000_i1032" DrawAspect="Content" ObjectID="_1468075807" r:id="rId175">
            <o:LockedField>false</o:LockedField>
          </o:OLEObject>
        </w:object>
      </w:r>
    </w:p>
    <w:p w14:paraId="12422D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最终类别：</w:t>
      </w:r>
    </w:p>
    <w:p w14:paraId="5BEC80DF">
      <w:pPr>
        <w:widowControl/>
        <w:ind w:firstLine="360"/>
        <w:jc w:val="center"/>
        <w:rPr>
          <w:rFonts w:hint="eastAsia" w:ascii="宋体" w:hAnsi="宋体" w:cs="宋体"/>
          <w:kern w:val="0"/>
          <w:sz w:val="18"/>
          <w:szCs w:val="18"/>
          <w:lang w:bidi="ar"/>
        </w:rPr>
      </w:pPr>
      <w:r>
        <w:rPr>
          <w:rFonts w:hint="eastAsia" w:ascii="宋体" w:hAnsi="宋体" w:cs="宋体"/>
          <w:kern w:val="0"/>
          <w:position w:val="-10"/>
          <w:sz w:val="18"/>
          <w:szCs w:val="18"/>
          <w:lang w:bidi="ar"/>
        </w:rPr>
        <w:object>
          <v:shape id="_x0000_i1033" o:spt="75" type="#_x0000_t75" style="height:16.9pt;width:90.8pt;" o:ole="t" filled="f" o:preferrelative="t" stroked="f" coordsize="21600,21600">
            <v:path/>
            <v:fill on="f" focussize="0,0"/>
            <v:stroke on="f" joinstyle="miter"/>
            <v:imagedata r:id="rId178" o:title=""/>
            <o:lock v:ext="edit" aspectratio="t"/>
            <w10:wrap type="none"/>
            <w10:anchorlock/>
          </v:shape>
          <o:OLEObject Type="Embed" ProgID="Equation.KSEE3" ShapeID="_x0000_i1033" DrawAspect="Content" ObjectID="_1468075808" r:id="rId177">
            <o:LockedField>false</o:LockedField>
          </o:OLEObject>
        </w:object>
      </w:r>
    </w:p>
    <w:p w14:paraId="4FE35E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同时设置置信度门控机制：当某模态置信度低于阈值时自动降权，避免异常模态干扰整体判断，提升缺素识别的稳定性与准确性。</w:t>
      </w:r>
    </w:p>
    <w:p w14:paraId="4E0F5837">
      <w:pPr>
        <w:pStyle w:val="5"/>
      </w:pPr>
      <w:bookmarkStart w:id="53" w:name="_Toc18824"/>
      <w:r>
        <w:rPr>
          <w:rFonts w:hint="eastAsia" w:ascii="黑体" w:hAnsi="黑体"/>
          <w:lang w:val="en-US" w:eastAsia="zh-CN"/>
        </w:rPr>
        <w:t>3</w:t>
      </w:r>
      <w:r>
        <w:rPr>
          <w:rFonts w:ascii="黑体" w:hAnsi="黑体"/>
        </w:rPr>
        <w:t>.</w:t>
      </w:r>
      <w:r>
        <w:rPr>
          <w:rFonts w:hint="eastAsia" w:ascii="黑体" w:hAnsi="黑体"/>
          <w:lang w:val="en-US" w:eastAsia="zh-CN"/>
        </w:rPr>
        <w:t>6</w:t>
      </w:r>
      <w:r>
        <w:rPr>
          <w:rFonts w:ascii="黑体" w:hAnsi="黑体"/>
        </w:rPr>
        <w:t>.2.</w:t>
      </w:r>
      <w:r>
        <w:t>归一化处理</w:t>
      </w:r>
      <w:bookmarkEnd w:id="53"/>
    </w:p>
    <w:p w14:paraId="2846A132">
      <w:pPr>
        <w:pStyle w:val="6"/>
        <w:ind w:firstLine="482"/>
        <w:rPr>
          <w:sz w:val="18"/>
          <w:szCs w:val="18"/>
          <w:lang w:bidi="ar"/>
        </w:rPr>
      </w:pPr>
      <w:r>
        <w:rPr>
          <w:lang w:bidi="ar"/>
        </w:rPr>
        <w:t>（1）图像数据归一化</w:t>
      </w:r>
    </w:p>
    <w:p w14:paraId="5011B2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采用Min-Max归一化，将原始像素值线性映射到[0,1]区间，计算方式为：</w:t>
      </w:r>
    </w:p>
    <w:p w14:paraId="3CDF0843">
      <w:pPr>
        <w:widowControl/>
        <w:ind w:firstLine="360"/>
        <w:jc w:val="center"/>
        <w:rPr>
          <w:rFonts w:hint="eastAsia" w:ascii="宋体" w:hAnsi="宋体" w:cs="宋体"/>
          <w:kern w:val="0"/>
          <w:sz w:val="18"/>
          <w:szCs w:val="18"/>
          <w:lang w:bidi="ar"/>
        </w:rPr>
      </w:pPr>
      <w:r>
        <w:rPr>
          <w:rFonts w:hint="eastAsia" w:ascii="宋体" w:hAnsi="宋体" w:cs="宋体"/>
          <w:kern w:val="0"/>
          <w:position w:val="-12"/>
          <w:sz w:val="18"/>
          <w:szCs w:val="18"/>
          <w:lang w:bidi="ar"/>
        </w:rPr>
        <w:object>
          <v:shape id="_x0000_i1034" o:spt="75" type="#_x0000_t75" style="height:18.8pt;width:127.7pt;" o:ole="t" filled="f" o:preferrelative="t" stroked="f" coordsize="21600,21600">
            <v:path/>
            <v:fill on="f" focussize="0,0"/>
            <v:stroke on="f" joinstyle="miter"/>
            <v:imagedata r:id="rId180" o:title=""/>
            <o:lock v:ext="edit" aspectratio="t"/>
            <w10:wrap type="none"/>
            <w10:anchorlock/>
          </v:shape>
          <o:OLEObject Type="Embed" ProgID="Equation.KSEE3" ShapeID="_x0000_i1034" DrawAspect="Content" ObjectID="_1468075809" r:id="rId179">
            <o:LockedField>false</o:LockedField>
          </o:OLEObject>
        </w:object>
      </w:r>
    </w:p>
    <w:p w14:paraId="18D4B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该方法可保留图像亮度层级关系，便于后续卷积特征提取。</w:t>
      </w:r>
    </w:p>
    <w:p w14:paraId="59F5562F">
      <w:pPr>
        <w:pStyle w:val="6"/>
        <w:ind w:firstLine="482"/>
      </w:pPr>
      <w:r>
        <w:t>（2）光谱数据归一化</w:t>
      </w:r>
    </w:p>
    <w:p w14:paraId="2DD25E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采用Z-Score标准化，将光谱反射率转换为均值为0、标准差为1的标准分布数据，计算方式为：</w:t>
      </w:r>
    </w:p>
    <w:p w14:paraId="3695DCBF">
      <w:pPr>
        <w:widowControl/>
        <w:ind w:firstLine="360"/>
        <w:jc w:val="center"/>
        <w:rPr>
          <w:rFonts w:hint="eastAsia" w:ascii="宋体" w:hAnsi="宋体" w:cs="宋体"/>
          <w:kern w:val="0"/>
          <w:sz w:val="18"/>
          <w:szCs w:val="18"/>
          <w:lang w:bidi="ar"/>
        </w:rPr>
      </w:pPr>
      <w:r>
        <w:rPr>
          <w:rFonts w:hint="eastAsia" w:ascii="宋体" w:hAnsi="宋体" w:cs="宋体"/>
          <w:kern w:val="0"/>
          <w:position w:val="-10"/>
          <w:sz w:val="18"/>
          <w:szCs w:val="18"/>
          <w:lang w:bidi="ar"/>
        </w:rPr>
        <w:object>
          <v:shape id="_x0000_i1035" o:spt="75" type="#_x0000_t75" style="height:18.15pt;width:72pt;" o:ole="t" filled="f" o:preferrelative="t" stroked="f" coordsize="21600,21600">
            <v:path/>
            <v:fill on="f" focussize="0,0"/>
            <v:stroke on="f" joinstyle="miter"/>
            <v:imagedata r:id="rId182" o:title=""/>
            <o:lock v:ext="edit" aspectratio="t"/>
            <w10:wrap type="none"/>
            <w10:anchorlock/>
          </v:shape>
          <o:OLEObject Type="Embed" ProgID="Equation.KSEE3" ShapeID="_x0000_i1035" DrawAspect="Content" ObjectID="_1468075810" r:id="rId181">
            <o:LockedField>false</o:LockedField>
          </o:OLEObject>
        </w:object>
      </w:r>
    </w:p>
    <w:p w14:paraId="3E3203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可有效削弱不同波段幅值差异，提高模型对光谱形态特征的敏感性。</w:t>
      </w:r>
    </w:p>
    <w:p w14:paraId="556BB0CC">
      <w:pPr>
        <w:pStyle w:val="6"/>
        <w:ind w:firstLine="482"/>
        <w:rPr>
          <w:sz w:val="18"/>
          <w:szCs w:val="18"/>
          <w:lang w:bidi="ar"/>
        </w:rPr>
      </w:pPr>
      <w:r>
        <w:rPr>
          <w:lang w:bidi="ar"/>
        </w:rPr>
        <w:t>（3）气象与土壤数据归一化</w:t>
      </w:r>
    </w:p>
    <w:p w14:paraId="3C8969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根据变量特性选择归一化方式，对有明确上下界的数据（如湿度、含水率）采用Min-Max归一化；对近似正态分布或波动范围大的数据（如温度、养分含量）采用Z-Score标准化。通过按类型标准化，保证各类环境变量在融合过程中处于可比尺度，避免单一高量纲特征主导模型输出。</w:t>
      </w:r>
    </w:p>
    <w:p w14:paraId="76197BDC">
      <w:pPr>
        <w:pStyle w:val="5"/>
      </w:pPr>
      <w:bookmarkStart w:id="54" w:name="_Toc30504"/>
      <w:r>
        <w:rPr>
          <w:rFonts w:hint="eastAsia" w:ascii="黑体" w:hAnsi="黑体"/>
          <w:lang w:val="en-US" w:eastAsia="zh-CN"/>
        </w:rPr>
        <w:t>3</w:t>
      </w:r>
      <w:r>
        <w:rPr>
          <w:rFonts w:ascii="黑体" w:hAnsi="黑体"/>
        </w:rPr>
        <w:t>.</w:t>
      </w:r>
      <w:r>
        <w:rPr>
          <w:rFonts w:hint="eastAsia" w:ascii="黑体" w:hAnsi="黑体"/>
          <w:lang w:val="en-US" w:eastAsia="zh-CN"/>
        </w:rPr>
        <w:t>6</w:t>
      </w:r>
      <w:r>
        <w:rPr>
          <w:rFonts w:ascii="黑体" w:hAnsi="黑体"/>
        </w:rPr>
        <w:t>.3.</w:t>
      </w:r>
      <w:r>
        <w:t>轻量化模型配置</w:t>
      </w:r>
      <w:bookmarkEnd w:id="54"/>
    </w:p>
    <w:p w14:paraId="47DC24EE">
      <w:pPr>
        <w:pStyle w:val="6"/>
        <w:ind w:firstLine="482"/>
        <w:rPr>
          <w:sz w:val="18"/>
          <w:szCs w:val="18"/>
          <w:lang w:bidi="ar"/>
        </w:rPr>
      </w:pPr>
      <w:r>
        <w:rPr>
          <w:lang w:bidi="ar"/>
        </w:rPr>
        <w:t>（1）YOLOv8n配置</w:t>
      </w:r>
    </w:p>
    <w:p w14:paraId="5486FE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选用轻量化目标检测模型YOLOv8n作为前端检测网络，输入分辨率设置为640×640（可根据设备算力调整为512×512），兼顾检测精度与实时性；训练阶段采用Mosaic、HSV扰动、随机翻转等增强策略，推理阶段通过置信度阈值与NMS阈值优化误检与漏检表现。</w:t>
      </w:r>
    </w:p>
    <w:p w14:paraId="2314CFF4">
      <w:pPr>
        <w:pStyle w:val="6"/>
        <w:ind w:firstLine="482"/>
        <w:rPr>
          <w:sz w:val="18"/>
          <w:szCs w:val="18"/>
          <w:lang w:bidi="ar"/>
        </w:rPr>
      </w:pPr>
      <w:r>
        <w:rPr>
          <w:lang w:bidi="ar"/>
        </w:rPr>
        <w:t>（2）ResNet配置</w:t>
      </w:r>
    </w:p>
    <w:p w14:paraId="175F33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选用ResNet18作为缺素分类特征提取骨干网络，输入分辨率设为224×224，在最后阶段接入全局平均池化与全连接分类头输出缺素类别；结合迁移学习（ImageNet 预训练）与冻结—解冻分阶段训练策略，加快收敛并提升小样本场景稳定性。</w:t>
      </w:r>
    </w:p>
    <w:p w14:paraId="3A542011">
      <w:pPr>
        <w:pStyle w:val="6"/>
        <w:ind w:firstLine="482"/>
        <w:rPr>
          <w:sz w:val="18"/>
          <w:szCs w:val="18"/>
          <w:lang w:bidi="ar"/>
        </w:rPr>
      </w:pPr>
      <w:r>
        <w:rPr>
          <w:lang w:bidi="ar"/>
        </w:rPr>
        <w:t>（3）模型压缩与量化配置</w:t>
      </w:r>
    </w:p>
    <w:p w14:paraId="6D1C5F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部署阶段采用ONNX + TensorRT，对YOLOv8n与ResNet执行FP16/INT8量化与算子融合优化；在精度可接受范围内显著降低显存占用与推理时延，实现边缘端实时识别。目标为整体模型体积控制在50MB以内，推理速度提升约2-4倍。</w:t>
      </w:r>
    </w:p>
    <w:p w14:paraId="11C903D8">
      <w:pPr>
        <w:pStyle w:val="5"/>
      </w:pPr>
      <w:bookmarkStart w:id="55" w:name="_Toc29916"/>
      <w:r>
        <w:rPr>
          <w:rFonts w:hint="eastAsia" w:ascii="黑体" w:hAnsi="黑体"/>
          <w:lang w:val="en-US" w:eastAsia="zh-CN"/>
        </w:rPr>
        <w:t>3</w:t>
      </w:r>
      <w:r>
        <w:rPr>
          <w:rFonts w:ascii="黑体" w:hAnsi="黑体"/>
        </w:rPr>
        <w:t>.</w:t>
      </w:r>
      <w:r>
        <w:rPr>
          <w:rFonts w:hint="eastAsia" w:ascii="黑体" w:hAnsi="黑体"/>
          <w:lang w:val="en-US" w:eastAsia="zh-CN"/>
        </w:rPr>
        <w:t>6</w:t>
      </w:r>
      <w:r>
        <w:rPr>
          <w:rFonts w:ascii="黑体" w:hAnsi="黑体"/>
        </w:rPr>
        <w:t>.4.</w:t>
      </w:r>
      <w:r>
        <w:t>施肥决策模型实现</w:t>
      </w:r>
      <w:bookmarkEnd w:id="55"/>
    </w:p>
    <w:p w14:paraId="427F4C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目前，在国际上应用最为广泛的测土施肥方法是目标产量法，该方法为著名的土壤化学家Troug于1960年首次提出，并由Stanford改进后大量应用于生产实践中。它是根据实现作物目标产量所需的养分量与土壤养分供应量之差作为施肥依据。其施肥量计算公式为：</w:t>
      </w:r>
    </w:p>
    <w:p w14:paraId="1C382CBB">
      <w:pPr>
        <w:widowControl/>
        <w:ind w:firstLine="360"/>
        <w:jc w:val="center"/>
        <w:rPr>
          <w:rFonts w:hint="eastAsia" w:ascii="宋体" w:hAnsi="宋体" w:cs="宋体"/>
          <w:kern w:val="0"/>
          <w:sz w:val="18"/>
          <w:szCs w:val="18"/>
          <w:lang w:bidi="ar"/>
        </w:rPr>
      </w:pPr>
      <w:r>
        <w:rPr>
          <w:rFonts w:hint="eastAsia" w:ascii="宋体" w:hAnsi="宋体" w:cs="宋体"/>
          <w:kern w:val="0"/>
          <w:position w:val="-26"/>
          <w:sz w:val="18"/>
          <w:szCs w:val="18"/>
          <w:lang w:bidi="ar"/>
        </w:rPr>
        <w:object>
          <v:shape id="_x0000_i1036" o:spt="75" type="#_x0000_t75" style="height:33.2pt;width:289.9pt;" o:ole="t" filled="f" o:preferrelative="t" stroked="f" coordsize="21600,21600">
            <v:path/>
            <v:fill on="f" focussize="0,0"/>
            <v:stroke on="f" joinstyle="miter"/>
            <v:imagedata r:id="rId184" o:title=""/>
            <o:lock v:ext="edit" aspectratio="t"/>
            <w10:wrap type="none"/>
            <w10:anchorlock/>
          </v:shape>
          <o:OLEObject Type="Embed" ProgID="Equation.KSEE3" ShapeID="_x0000_i1036" DrawAspect="Content" ObjectID="_1468075811" r:id="rId183">
            <o:LockedField>false</o:LockedField>
          </o:OLEObject>
        </w:object>
      </w:r>
    </w:p>
    <w:p w14:paraId="6DAD01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式中，作物养分需要量=作物目标产量×单位籽粒产量需肥量。对于烟草来说，烟草需肥量由烟叶产量、单位烟叶产量（常用100kg为单位）需肥量、土壤供肥量、肥料单季利用率、肥料中有效养分含量5个参数共同确定</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_Ref225504112 \r \h</w:instrText>
      </w:r>
      <w:r>
        <w:rPr>
          <w:vertAlign w:val="superscript"/>
          <w:lang w:bidi="ar"/>
        </w:rPr>
        <w:instrText xml:space="preserve">  \* MERGEFORMAT </w:instrText>
      </w:r>
      <w:r>
        <w:rPr>
          <w:vertAlign w:val="superscript"/>
          <w:lang w:bidi="ar"/>
        </w:rPr>
        <w:fldChar w:fldCharType="separate"/>
      </w:r>
      <w:r>
        <w:rPr>
          <w:vertAlign w:val="superscript"/>
          <w:lang w:bidi="ar"/>
        </w:rPr>
        <w:t>[</w:t>
      </w:r>
      <w:r>
        <w:rPr>
          <w:rFonts w:hint="eastAsia"/>
          <w:vertAlign w:val="superscript"/>
          <w:lang w:val="en-US" w:eastAsia="zh-CN" w:bidi="ar"/>
        </w:rPr>
        <w:t>7</w:t>
      </w:r>
      <w:r>
        <w:rPr>
          <w:vertAlign w:val="superscript"/>
          <w:lang w:bidi="ar"/>
        </w:rPr>
        <w:t>]</w:t>
      </w:r>
      <w:r>
        <w:rPr>
          <w:vertAlign w:val="superscript"/>
          <w:lang w:bidi="ar"/>
        </w:rPr>
        <w:fldChar w:fldCharType="end"/>
      </w:r>
      <w:r>
        <w:rPr>
          <w:rFonts w:hint="eastAsia"/>
          <w:lang w:bidi="ar"/>
        </w:rPr>
        <w:t>。</w:t>
      </w:r>
    </w:p>
    <w:p w14:paraId="2E2BE0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土壤养分供应量是推荐施肥系统中比较困难的部分，也是百余年来众多土壤和植物营养研究人员最为关注的问题。目前仍没有一个较好的方法来准确地定量描述土壤对N、P、K等养分的供应量。常采用土壤基础产量（不施肥的产量）表征土壤对某一养分的供应能力，作物对全部养分完全由土壤供应，此时的目标产量完全由土壤肥力决定。</w:t>
      </w:r>
    </w:p>
    <w:p w14:paraId="51FDD8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肥料当季利用率一般指当季作物从所施肥料中吸收的养分占施入肥料养分总量的百分数。通常由“差减法”计算。肥料利用率通常随肥料用量的增加而降低，与土壤肥力也有一定的关系。</w:t>
      </w:r>
    </w:p>
    <w:p w14:paraId="5E1282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这种模型是一种基于推理式的，一步一步式的方法论，虽然这些方法取得了一些效果，但对于非线性问题很难处理。烟叶施肥量的影响因素很多，包括气象、土壤、地形、灌溉、品种和管理等，具有结构复杂、动态时空变异和高阶非线性等特征。大部分影响因素具有不确定性，与烟草施肥的相互关系亦非简单的线性关系，一般不能进行简单的线性化处理，并且因素之间也存在着复杂的多重反馈关系。人工神经网络是由大量神经元广泛相互联接而成的非线性的、动态的复杂网络系统，具有并行分布的信息处理结构，可通过“自学习与训练”掌握大量的知识，完成特定的工作。也就是说，人工神经网络模型可以从积累的样本学习中获得知识，尽可能地把各种定性或定量的影响因素作为变量加以输入，建立各影响因素与烟草施肥方案之间的非线性映射。</w:t>
      </w:r>
    </w:p>
    <w:p w14:paraId="446EDD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烟草施肥神经网络模型方法的基本思想是：选取一些具有代表性的烟田，根据专家经验或试验结果研究最优的施肥量，将这些代表性烟田的降水、气温、土壤等因素转化为施肥影响隶属度，与相应的最优施肥量一起组成神经网络学习样本，经网络学习记忆后，利用其相似输入产生相似输出的联想推理功能，以及“内插”的联想推理功能对其它烟田进行施肥推荐。</w:t>
      </w:r>
    </w:p>
    <w:p w14:paraId="2220DA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BP网络模型结构简单，应用范围主要在模式识别、分类、非线性映射、过程控制等方面，因此，本研究根据烟草建模的实际需要选用BP网络模型，对基于人工神经网络的烟草施肥模型进行研究。采用3层全连接神经网络，输入层神经元数量为12（多源输入参数数量），隐藏层神经元数量分别为64、32，输出层神经元数量为4（肥料类型、施用量、施肥时间、施肥方式）</w:t>
      </w:r>
      <w:r>
        <w:rPr>
          <w:rFonts w:hint="eastAsia"/>
          <w:lang w:bidi="ar"/>
        </w:rPr>
        <w:t>。</w:t>
      </w:r>
    </w:p>
    <w:p w14:paraId="732253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BP网络预测模型一般采用Sigmoid函数，对Sigmoid函数来说，其输出在0-1之间变化。网络的输入也应尽量使Sigmoid函数工作于非饱和区，因此，要对样本数据进行预处理，根据一定的规则，使之规范成为[0，1]区间值，这样有利于神经网络训练。根据烟草施肥影响因素的隶属函数，对上表中的因素指标进行隶属度转化，得到[0,1]之间的隶属度。施肥方案中的</w:t>
      </w:r>
      <w:r>
        <w:rPr>
          <w:rFonts w:hint="eastAsia"/>
          <w:lang w:bidi="ar"/>
        </w:rPr>
        <w:t>N、P、K</w:t>
      </w:r>
      <w:r>
        <w:rPr>
          <w:lang w:bidi="ar"/>
        </w:rPr>
        <w:t>则采用数据标准化的方法转化为0-1之间的标准化值，公式如下：</w:t>
      </w:r>
    </w:p>
    <w:p w14:paraId="5789B918">
      <w:pPr>
        <w:widowControl/>
        <w:ind w:firstLine="360"/>
        <w:jc w:val="center"/>
        <w:rPr>
          <w:rFonts w:hint="eastAsia" w:ascii="宋体" w:hAnsi="宋体" w:cs="宋体"/>
          <w:kern w:val="0"/>
          <w:sz w:val="18"/>
          <w:szCs w:val="18"/>
          <w:lang w:bidi="ar"/>
        </w:rPr>
      </w:pPr>
      <w:r>
        <w:rPr>
          <w:rFonts w:ascii="宋体" w:hAnsi="宋体" w:cs="宋体"/>
          <w:kern w:val="0"/>
          <w:position w:val="-30"/>
          <w:sz w:val="18"/>
          <w:szCs w:val="18"/>
          <w:lang w:bidi="ar"/>
        </w:rPr>
        <w:object>
          <v:shape id="_x0000_i1037" o:spt="75" type="#_x0000_t75" style="height:33.8pt;width:78.9pt;" o:ole="t" filled="f" o:preferrelative="t" stroked="f" coordsize="21600,21600">
            <v:path/>
            <v:fill on="f" focussize="0,0"/>
            <v:stroke on="f" joinstyle="miter"/>
            <v:imagedata r:id="rId186" o:title=""/>
            <o:lock v:ext="edit" aspectratio="t"/>
            <w10:wrap type="none"/>
            <w10:anchorlock/>
          </v:shape>
          <o:OLEObject Type="Embed" ProgID="Equation.KSEE3" ShapeID="_x0000_i1037" DrawAspect="Content" ObjectID="_1468075812" r:id="rId185">
            <o:LockedField>false</o:LockedField>
          </o:OLEObject>
        </w:object>
      </w:r>
    </w:p>
    <w:p w14:paraId="36AF8A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式中，</w:t>
      </w:r>
      <w:r>
        <w:rPr>
          <w:rFonts w:hint="eastAsia"/>
          <w:lang w:bidi="ar"/>
        </w:rPr>
        <w:object>
          <v:shape id="_x0000_i1038" o:spt="75" type="#_x0000_t75" style="height:18pt;width:16pt;" o:ole="t" filled="f" o:preferrelative="t" stroked="f" coordsize="21600,21600">
            <v:path/>
            <v:fill on="f" focussize="0,0"/>
            <v:stroke on="f" joinstyle="miter"/>
            <v:imagedata r:id="rId188" o:title=""/>
            <o:lock v:ext="edit" aspectratio="t"/>
            <w10:wrap type="none"/>
            <w10:anchorlock/>
          </v:shape>
          <o:OLEObject Type="Embed" ProgID="Equation.KSEE3" ShapeID="_x0000_i1038" DrawAspect="Content" ObjectID="_1468075813" r:id="rId187">
            <o:LockedField>false</o:LockedField>
          </o:OLEObject>
        </w:object>
      </w:r>
      <w:r>
        <w:rPr>
          <w:lang w:bidi="ar"/>
        </w:rPr>
        <w:t>为因素标准化值，</w:t>
      </w:r>
      <w:r>
        <w:rPr>
          <w:lang w:bidi="ar"/>
        </w:rPr>
        <w:object>
          <v:shape id="_x0000_i1039" o:spt="75" type="#_x0000_t75" style="height:18pt;width:12pt;" o:ole="t" filled="f" o:preferrelative="t" stroked="f" coordsize="21600,21600">
            <v:path/>
            <v:fill on="f" focussize="0,0"/>
            <v:stroke on="f" joinstyle="miter"/>
            <v:imagedata r:id="rId190" o:title=""/>
            <o:lock v:ext="edit" aspectratio="t"/>
            <w10:wrap type="none"/>
            <w10:anchorlock/>
          </v:shape>
          <o:OLEObject Type="Embed" ProgID="Equation.KSEE3" ShapeID="_x0000_i1039" DrawAspect="Content" ObjectID="_1468075814" r:id="rId189">
            <o:LockedField>false</o:LockedField>
          </o:OLEObject>
        </w:object>
      </w:r>
      <w:r>
        <w:rPr>
          <w:lang w:bidi="ar"/>
        </w:rPr>
        <w:t>因素指标值，</w:t>
      </w:r>
      <w:r>
        <w:rPr>
          <w:lang w:bidi="ar"/>
        </w:rPr>
        <w:object>
          <v:shape id="_x0000_i1040" o:spt="75" type="#_x0000_t75" style="height:16.9pt;width:21.3pt;" o:ole="t" filled="f" o:preferrelative="t" stroked="f" coordsize="21600,21600">
            <v:path/>
            <v:fill on="f" focussize="0,0"/>
            <v:stroke on="f" joinstyle="miter"/>
            <v:imagedata r:id="rId192" o:title=""/>
            <o:lock v:ext="edit" aspectratio="t"/>
            <w10:wrap type="none"/>
            <w10:anchorlock/>
          </v:shape>
          <o:OLEObject Type="Embed" ProgID="Equation.KSEE3" ShapeID="_x0000_i1040" DrawAspect="Content" ObjectID="_1468075815" r:id="rId191">
            <o:LockedField>false</o:LockedField>
          </o:OLEObject>
        </w:object>
      </w:r>
      <w:r>
        <w:rPr>
          <w:lang w:bidi="ar"/>
        </w:rPr>
        <w:t>为因素指标最小值，</w:t>
      </w:r>
      <w:r>
        <w:rPr>
          <w:lang w:bidi="ar"/>
        </w:rPr>
        <w:object>
          <v:shape id="_x0000_i1041" o:spt="75" type="#_x0000_t75" style="height:18pt;width:22pt;" o:ole="t" filled="f" o:preferrelative="t" stroked="f" coordsize="21600,21600">
            <v:path/>
            <v:fill on="f" focussize="0,0"/>
            <v:stroke on="f" joinstyle="miter"/>
            <v:imagedata r:id="rId194" o:title=""/>
            <o:lock v:ext="edit" aspectratio="t"/>
            <w10:wrap type="none"/>
            <w10:anchorlock/>
          </v:shape>
          <o:OLEObject Type="Embed" ProgID="Equation.KSEE3" ShapeID="_x0000_i1041" DrawAspect="Content" ObjectID="_1468075816" r:id="rId193">
            <o:LockedField>false</o:LockedField>
          </o:OLEObject>
        </w:object>
      </w:r>
      <w:r>
        <w:rPr>
          <w:lang w:bidi="ar"/>
        </w:rPr>
        <w:t>为因素指标最大值。</w:t>
      </w:r>
    </w:p>
    <w:p w14:paraId="0BE54B42">
      <w:pPr>
        <w:ind w:firstLine="0" w:firstLineChars="0"/>
      </w:pPr>
      <w:r>
        <w:drawing>
          <wp:inline distT="0" distB="0" distL="114300" distR="114300">
            <wp:extent cx="5268595" cy="2940685"/>
            <wp:effectExtent l="0" t="0" r="4445" b="635"/>
            <wp:docPr id="2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3"/>
                    <pic:cNvPicPr>
                      <a:picLocks noChangeAspect="1"/>
                    </pic:cNvPicPr>
                  </pic:nvPicPr>
                  <pic:blipFill>
                    <a:blip r:embed="rId195"/>
                    <a:stretch>
                      <a:fillRect/>
                    </a:stretch>
                  </pic:blipFill>
                  <pic:spPr>
                    <a:xfrm>
                      <a:off x="0" y="0"/>
                      <a:ext cx="5268595" cy="2940685"/>
                    </a:xfrm>
                    <a:prstGeom prst="rect">
                      <a:avLst/>
                    </a:prstGeom>
                    <a:noFill/>
                    <a:ln>
                      <a:noFill/>
                    </a:ln>
                  </pic:spPr>
                </pic:pic>
              </a:graphicData>
            </a:graphic>
          </wp:inline>
        </w:drawing>
      </w:r>
    </w:p>
    <w:p w14:paraId="0A2FBE69">
      <w:pPr>
        <w:ind w:firstLine="0" w:firstLineChars="0"/>
        <w:jc w:val="cente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6</w:t>
      </w:r>
      <w:r>
        <w:rPr>
          <w:rFonts w:hint="eastAsia" w:ascii="宋体" w:hAnsi="宋体"/>
          <w:sz w:val="18"/>
          <w:szCs w:val="18"/>
        </w:rPr>
        <w:t xml:space="preserve"> 施肥决策模型</w:t>
      </w:r>
    </w:p>
    <w:p w14:paraId="3FEE94E3">
      <w:pPr>
        <w:pStyle w:val="5"/>
      </w:pPr>
      <w:bookmarkStart w:id="56" w:name="_Toc14326"/>
      <w:r>
        <w:rPr>
          <w:rFonts w:hint="eastAsia" w:ascii="黑体" w:hAnsi="黑体"/>
          <w:lang w:val="en-US" w:eastAsia="zh-CN"/>
        </w:rPr>
        <w:t>3</w:t>
      </w:r>
      <w:r>
        <w:rPr>
          <w:rFonts w:ascii="黑体" w:hAnsi="黑体"/>
        </w:rPr>
        <w:t>.</w:t>
      </w:r>
      <w:r>
        <w:rPr>
          <w:rFonts w:hint="eastAsia" w:ascii="黑体" w:hAnsi="黑体"/>
          <w:lang w:val="en-US" w:eastAsia="zh-CN"/>
        </w:rPr>
        <w:t>6</w:t>
      </w:r>
      <w:r>
        <w:rPr>
          <w:rFonts w:ascii="黑体" w:hAnsi="黑体"/>
        </w:rPr>
        <w:t>.5.</w:t>
      </w:r>
      <w:r>
        <w:t>喷药决策模型实现</w:t>
      </w:r>
      <w:bookmarkEnd w:id="56"/>
    </w:p>
    <w:p w14:paraId="4D0E98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针对农药喷施过程中“影响因素多、关系非线性、场景波动大”的特点，构建数据驱动的农药决策模型。模型以田间监测数据和作业条件为输入，输出可执行的喷施建议，实现“是否喷、喷什么、喷多少、何时喷”的一体化决策。</w:t>
      </w:r>
    </w:p>
    <w:p w14:paraId="2EDFC1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建立从多源环境特征到喷施方案的非线性映射关系，输出四类决策结果：喷施动作（喷施/暂缓）；药剂类别（按防治对象匹配）；推荐剂量（单位面积施药量）；作业时机（即时/延后窗口）。</w:t>
      </w:r>
    </w:p>
    <w:p w14:paraId="4057ED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选取与喷药决策直接相关的特征变量作为网络输入，典型包括：病虫害压力指标（发生等级、病害类型、受害面积比例）；气象条件（温度、湿度、风速、降雨概率、光照）；土壤与作物状态（土壤含水率、作物生育期、植株长势）；作业约束（历史施药间隔、上一轮药效反馈、设备作业能力）。输入维度为1</w:t>
      </w:r>
      <w:r>
        <w:rPr>
          <w:rFonts w:hint="eastAsia"/>
          <w:lang w:bidi="ar"/>
        </w:rPr>
        <w:t>2</w:t>
      </w:r>
      <w:r>
        <w:rPr>
          <w:lang w:bidi="ar"/>
        </w:rPr>
        <w:t>个关键变量，避免冗余特征降低训练效率。</w:t>
      </w:r>
    </w:p>
    <w:p w14:paraId="0D819F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采用BP神经网络作为核心决策器：输入层：12个神经元（对应12个核心输入参数）；隐藏层：2层，神经元数分别为64、32；输出层：4个输出通道（动作、药剂、剂量、时机）。其中动作与药剂采用分类输出，剂量与时机采用连续值或分档回归输出。该结构计算开销低，适用于边缘端部署。</w:t>
      </w:r>
    </w:p>
    <w:p w14:paraId="180978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为保证网络训练稳定性，对输入变量统一进行归一化处理：连续变量采用Min-Max归一化：</w:t>
      </w:r>
    </w:p>
    <w:p w14:paraId="0F0BE790">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42" o:spt="75" type="#_x0000_t75" style="height:18.15pt;width:140.85pt;" o:ole="t" filled="f" o:preferrelative="t" stroked="f" coordsize="21600,21600">
            <v:path/>
            <v:fill on="f" focussize="0,0"/>
            <v:stroke on="f" joinstyle="miter"/>
            <v:imagedata r:id="rId197" o:title=""/>
            <o:lock v:ext="edit" aspectratio="t"/>
            <w10:wrap type="none"/>
            <w10:anchorlock/>
          </v:shape>
          <o:OLEObject Type="Embed" ProgID="Equation.KSEE3" ShapeID="_x0000_i1042" DrawAspect="Content" ObjectID="_1468075817" r:id="rId196">
            <o:LockedField>false</o:LockedField>
          </o:OLEObject>
        </w:object>
      </w:r>
    </w:p>
    <w:p w14:paraId="458999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波动性强的变量可采用Z-Score标准化后再截断映射到[0,1]。输出端对剂量变量同步做尺度变换，预测后再反归一化为实际施药量，保证结果可直接用于作业。</w:t>
      </w:r>
    </w:p>
    <w:p w14:paraId="5457DD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损失函数采用多任务加权形式：</w:t>
      </w:r>
    </w:p>
    <w:p w14:paraId="0815246D">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43" o:spt="75" type="#_x0000_t75" style="height:18.8pt;width:202.85pt;" o:ole="t" filled="f" o:preferrelative="t" stroked="f" coordsize="21600,21600">
            <v:path/>
            <v:fill on="f" focussize="0,0"/>
            <v:stroke on="f" joinstyle="miter"/>
            <v:imagedata r:id="rId199" o:title=""/>
            <o:lock v:ext="edit" aspectratio="t"/>
            <w10:wrap type="none"/>
            <w10:anchorlock/>
          </v:shape>
          <o:OLEObject Type="Embed" ProgID="Equation.KSEE3" ShapeID="_x0000_i1043" DrawAspect="Content" ObjectID="_1468075818" r:id="rId198">
            <o:LockedField>false</o:LockedField>
          </o:OLEObject>
        </w:object>
      </w:r>
    </w:p>
    <w:p w14:paraId="26088D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分类任务使用交叉熵损失，回归任务使用HuberLoss；优化器采用AdamW，配合学习率衰减与早停策略，防止过拟合；通过时间分层交叉验证评估模型在不同季节条件下的泛化能力。</w:t>
      </w:r>
    </w:p>
    <w:p w14:paraId="7724F6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在神经网络输出后叠加业务规则层，形成“模型预测+安全约束”双层机制：大风、强降雨高概率等条件下自动触发延迟喷施；剂量结果设置上下限，避免过量或无效喷施；与历史施药间隔联动，防止重复施药风险。该机制可显著提升模型在实际生产中的可执行性与安全性。</w:t>
      </w:r>
    </w:p>
    <w:p w14:paraId="20D2A9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通过神经网络对复杂因素的联合建模，提升喷药决策的精准性与一致性，减少经验决策波动。目标是在保证防治效果前提下，降低无效施药与药剂浪费，提升田间作业效率与管理水平。</w:t>
      </w:r>
    </w:p>
    <w:p w14:paraId="253B8138">
      <w:pPr>
        <w:ind w:firstLine="0" w:firstLineChars="0"/>
        <w:jc w:val="center"/>
      </w:pPr>
      <w:r>
        <w:drawing>
          <wp:inline distT="0" distB="0" distL="114300" distR="114300">
            <wp:extent cx="5268595" cy="2940685"/>
            <wp:effectExtent l="0" t="0" r="4445" b="635"/>
            <wp:docPr id="1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2"/>
                    <pic:cNvPicPr>
                      <a:picLocks noChangeAspect="1"/>
                    </pic:cNvPicPr>
                  </pic:nvPicPr>
                  <pic:blipFill>
                    <a:blip r:embed="rId200"/>
                    <a:stretch>
                      <a:fillRect/>
                    </a:stretch>
                  </pic:blipFill>
                  <pic:spPr>
                    <a:xfrm>
                      <a:off x="0" y="0"/>
                      <a:ext cx="5268595" cy="2940685"/>
                    </a:xfrm>
                    <a:prstGeom prst="rect">
                      <a:avLst/>
                    </a:prstGeom>
                    <a:noFill/>
                    <a:ln>
                      <a:noFill/>
                    </a:ln>
                  </pic:spPr>
                </pic:pic>
              </a:graphicData>
            </a:graphic>
          </wp:inline>
        </w:drawing>
      </w:r>
    </w:p>
    <w:p w14:paraId="5125EA12">
      <w:pPr>
        <w:ind w:firstLine="0" w:firstLineChars="0"/>
        <w:jc w:val="cente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7</w:t>
      </w:r>
      <w:r>
        <w:rPr>
          <w:rFonts w:hint="eastAsia" w:ascii="宋体" w:hAnsi="宋体"/>
          <w:sz w:val="18"/>
          <w:szCs w:val="18"/>
        </w:rPr>
        <w:t xml:space="preserve"> 喷药决策模型</w:t>
      </w:r>
    </w:p>
    <w:p w14:paraId="60044997">
      <w:pPr>
        <w:pStyle w:val="4"/>
        <w:rPr>
          <w:rFonts w:hint="eastAsia"/>
        </w:rPr>
      </w:pPr>
      <w:bookmarkStart w:id="57" w:name="_Toc2613"/>
      <w:r>
        <w:rPr>
          <w:rFonts w:hint="eastAsia" w:ascii="黑体" w:hAnsi="黑体"/>
          <w:lang w:val="en-US" w:eastAsia="zh-CN"/>
        </w:rPr>
        <w:t>3</w:t>
      </w:r>
      <w:r>
        <w:rPr>
          <w:rFonts w:ascii="黑体" w:hAnsi="黑体"/>
        </w:rPr>
        <w:t>.</w:t>
      </w:r>
      <w:r>
        <w:rPr>
          <w:rFonts w:hint="eastAsia" w:ascii="黑体" w:hAnsi="黑体"/>
          <w:lang w:val="en-US" w:eastAsia="zh-CN"/>
        </w:rPr>
        <w:t>7</w:t>
      </w:r>
      <w:r>
        <w:rPr>
          <w:rFonts w:hint="eastAsia" w:ascii="黑体" w:hAnsi="黑体"/>
        </w:rPr>
        <w:t>.</w:t>
      </w:r>
      <w:r>
        <w:t xml:space="preserve"> </w:t>
      </w:r>
      <w:r>
        <w:rPr>
          <w:rFonts w:hint="eastAsia"/>
        </w:rPr>
        <w:t>硬件</w:t>
      </w:r>
      <w:r>
        <w:t>设计实现</w:t>
      </w:r>
      <w:bookmarkEnd w:id="57"/>
    </w:p>
    <w:p w14:paraId="4B2C3264">
      <w:pPr>
        <w:pStyle w:val="5"/>
      </w:pPr>
      <w:bookmarkStart w:id="58" w:name="_Toc24651"/>
      <w:bookmarkStart w:id="59" w:name="_Toc4160"/>
      <w:bookmarkStart w:id="60" w:name="_Toc31631"/>
      <w:r>
        <w:rPr>
          <w:rFonts w:hint="eastAsia" w:ascii="黑体" w:hAnsi="黑体"/>
          <w:lang w:val="en-US" w:eastAsia="zh-CN"/>
        </w:rPr>
        <w:t>3</w:t>
      </w:r>
      <w:r>
        <w:rPr>
          <w:rFonts w:hint="default" w:ascii="黑体" w:hAnsi="黑体"/>
        </w:rPr>
        <w:t>.</w:t>
      </w:r>
      <w:r>
        <w:rPr>
          <w:rFonts w:hint="eastAsia" w:ascii="黑体" w:hAnsi="黑体"/>
          <w:lang w:val="en-US" w:eastAsia="zh-CN"/>
        </w:rPr>
        <w:t>7</w:t>
      </w:r>
      <w:r>
        <w:rPr>
          <w:rFonts w:hint="default" w:ascii="黑体" w:hAnsi="黑体"/>
        </w:rPr>
        <w:t>.1</w:t>
      </w:r>
      <w:r>
        <w:rPr>
          <w:rFonts w:ascii="黑体" w:hAnsi="黑体"/>
        </w:rPr>
        <w:t>.</w:t>
      </w:r>
      <w:r>
        <w:rPr>
          <w:rFonts w:hint="default"/>
        </w:rPr>
        <w:t>无人机模块</w:t>
      </w:r>
      <w:bookmarkEnd w:id="58"/>
      <w:bookmarkEnd w:id="59"/>
      <w:bookmarkEnd w:id="60"/>
    </w:p>
    <w:p w14:paraId="1C9B13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bookmarkStart w:id="61" w:name="_Toc8904"/>
      <w:r>
        <w:rPr>
          <w:rFonts w:hint="eastAsia"/>
          <w:lang w:bidi="ar"/>
        </w:rPr>
        <w:t>本项目无人机采用四旋翼无人机搭载功能箱，功能箱中包括工业相机、多光谱相机、施肥喷头、压力系统、储肥箱。</w:t>
      </w:r>
    </w:p>
    <w:p w14:paraId="3E755D41">
      <w:pPr>
        <w:ind w:firstLine="480"/>
        <w:jc w:val="center"/>
      </w:pPr>
      <w:r>
        <w:drawing>
          <wp:inline distT="0" distB="0" distL="114300" distR="114300">
            <wp:extent cx="4043680" cy="2318385"/>
            <wp:effectExtent l="0" t="0" r="10160" b="1333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01"/>
                    <a:stretch>
                      <a:fillRect/>
                    </a:stretch>
                  </pic:blipFill>
                  <pic:spPr>
                    <a:xfrm>
                      <a:off x="0" y="0"/>
                      <a:ext cx="4043680" cy="2318385"/>
                    </a:xfrm>
                    <a:prstGeom prst="rect">
                      <a:avLst/>
                    </a:prstGeom>
                    <a:noFill/>
                    <a:ln w="9525">
                      <a:noFill/>
                    </a:ln>
                  </pic:spPr>
                </pic:pic>
              </a:graphicData>
            </a:graphic>
          </wp:inline>
        </w:drawing>
      </w:r>
    </w:p>
    <w:p w14:paraId="15E800B8">
      <w:pPr>
        <w:widowControl/>
        <w:ind w:firstLine="360"/>
        <w:jc w:val="center"/>
        <w:rPr>
          <w:rFonts w:hint="eastAsia" w:ascii="宋体" w:hAnsi="宋体"/>
        </w:rP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8</w:t>
      </w:r>
      <w:r>
        <w:rPr>
          <w:rFonts w:hint="eastAsia" w:ascii="宋体" w:hAnsi="宋体"/>
          <w:sz w:val="18"/>
          <w:szCs w:val="18"/>
        </w:rPr>
        <w:t xml:space="preserve"> 多旋翼无人机</w:t>
      </w:r>
    </w:p>
    <w:bookmarkEnd w:id="61"/>
    <w:p w14:paraId="41E73995">
      <w:pPr>
        <w:pStyle w:val="5"/>
      </w:pPr>
      <w:bookmarkStart w:id="62" w:name="_Toc22902"/>
      <w:bookmarkStart w:id="63" w:name="_Toc16767"/>
      <w:bookmarkStart w:id="64" w:name="_Toc31684"/>
      <w:r>
        <w:rPr>
          <w:rFonts w:hint="eastAsia" w:ascii="黑体" w:hAnsi="黑体"/>
          <w:lang w:val="en-US" w:eastAsia="zh-CN"/>
        </w:rPr>
        <w:t>3</w:t>
      </w:r>
      <w:r>
        <w:rPr>
          <w:rFonts w:hint="default" w:ascii="黑体" w:hAnsi="黑体"/>
        </w:rPr>
        <w:t>.</w:t>
      </w:r>
      <w:r>
        <w:rPr>
          <w:rFonts w:hint="eastAsia" w:ascii="黑体" w:hAnsi="黑体"/>
          <w:lang w:val="en-US" w:eastAsia="zh-CN"/>
        </w:rPr>
        <w:t>7</w:t>
      </w:r>
      <w:r>
        <w:rPr>
          <w:rFonts w:hint="default" w:ascii="黑体" w:hAnsi="黑体"/>
        </w:rPr>
        <w:t>.2</w:t>
      </w:r>
      <w:r>
        <w:rPr>
          <w:rFonts w:ascii="黑体" w:hAnsi="黑体"/>
        </w:rPr>
        <w:t>.</w:t>
      </w:r>
      <w:r>
        <w:t>计算机视觉识别模块</w:t>
      </w:r>
      <w:bookmarkEnd w:id="62"/>
      <w:bookmarkEnd w:id="63"/>
      <w:bookmarkEnd w:id="64"/>
    </w:p>
    <w:p w14:paraId="3F65A0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本模块</w:t>
      </w:r>
      <w:r>
        <w:rPr>
          <w:rFonts w:hint="eastAsia"/>
          <w:lang w:bidi="ar"/>
        </w:rPr>
        <w:t>包含RGB工业相机,高光谱相机和图像处理单元（NVIDIA jetson nano）。</w:t>
      </w:r>
      <w:r>
        <w:rPr>
          <w:lang w:bidi="ar"/>
        </w:rPr>
        <w:t>主要实现的功能有：</w:t>
      </w:r>
      <w:r>
        <w:rPr>
          <w:rFonts w:hint="eastAsia"/>
          <w:lang w:bidi="ar"/>
        </w:rPr>
        <w:t>采集RGB图像、单波段图像，</w:t>
      </w:r>
      <w:r>
        <w:rPr>
          <w:lang w:bidi="ar"/>
        </w:rPr>
        <w:t>储存图像数据</w:t>
      </w:r>
      <w:r>
        <w:rPr>
          <w:rFonts w:hint="eastAsia"/>
          <w:lang w:bidi="ar"/>
        </w:rPr>
        <w:t>，数据预处理，</w:t>
      </w:r>
      <w:r>
        <w:rPr>
          <w:lang w:bidi="ar"/>
        </w:rPr>
        <w:t>图像识别以及</w:t>
      </w:r>
      <w:r>
        <w:rPr>
          <w:rFonts w:hint="eastAsia"/>
          <w:lang w:bidi="ar"/>
        </w:rPr>
        <w:t>数</w:t>
      </w:r>
      <w:r>
        <w:rPr>
          <w:lang w:bidi="ar"/>
        </w:rPr>
        <w:t>据反馈。</w:t>
      </w:r>
    </w:p>
    <w:p w14:paraId="48BD526E">
      <w:pPr>
        <w:pStyle w:val="6"/>
        <w:ind w:firstLine="482"/>
      </w:pPr>
      <w:r>
        <w:rPr>
          <w:lang w:bidi="ar"/>
        </w:rPr>
        <w:t>（1）采集RGB图像，单波段图像</w:t>
      </w:r>
    </w:p>
    <w:p w14:paraId="043DB7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工业相机相较于普通相机具有更高的图像质量、更稳定的性能和更长的使用寿命</w:t>
      </w:r>
      <w:r>
        <w:rPr>
          <w:rFonts w:hint="eastAsia"/>
          <w:lang w:bidi="ar"/>
        </w:rPr>
        <w:t>，</w:t>
      </w:r>
      <w:r>
        <w:rPr>
          <w:lang w:bidi="ar"/>
        </w:rPr>
        <w:t>通过工业相机获取田间的</w:t>
      </w:r>
      <w:r>
        <w:rPr>
          <w:rFonts w:hint="eastAsia"/>
          <w:lang w:bidi="ar"/>
        </w:rPr>
        <w:t>RGB</w:t>
      </w:r>
      <w:r>
        <w:rPr>
          <w:lang w:bidi="ar"/>
        </w:rPr>
        <w:t>图像数据</w:t>
      </w:r>
      <w:r>
        <w:rPr>
          <w:rFonts w:hint="eastAsia"/>
          <w:lang w:bidi="ar"/>
        </w:rPr>
        <w:t>。通过多光谱相机</w:t>
      </w:r>
      <w:r>
        <w:rPr>
          <w:rFonts w:hint="eastAsia"/>
          <w:lang w:bidi="ar"/>
        </w:rPr>
        <w:t>（IMX219(支持NIR)+滤光片轮，成本较低）获取关键波段的单波段图像数据。</w:t>
      </w:r>
    </w:p>
    <w:p w14:paraId="03931352">
      <w:pPr>
        <w:pStyle w:val="9"/>
        <w:widowControl/>
        <w:spacing w:before="192" w:beforeAutospacing="0" w:after="72" w:afterAutospacing="0" w:line="324" w:lineRule="atLeast"/>
        <w:ind w:firstLine="482"/>
        <w:textAlignment w:val="baseline"/>
        <w:rPr>
          <w:b/>
          <w:bCs/>
        </w:rPr>
      </w:pPr>
    </w:p>
    <w:p w14:paraId="38733483">
      <w:pPr>
        <w:pStyle w:val="9"/>
        <w:widowControl/>
        <w:spacing w:before="192" w:beforeAutospacing="0" w:after="72" w:afterAutospacing="0" w:line="324" w:lineRule="atLeast"/>
        <w:ind w:firstLine="0" w:firstLineChars="0"/>
        <w:jc w:val="both"/>
        <w:textAlignment w:val="baseline"/>
        <w:rPr>
          <w:b/>
          <w:bCs/>
        </w:rPr>
      </w:pPr>
      <w:r>
        <w:rPr>
          <w:rFonts w:hint="eastAsia"/>
          <w:b/>
          <w:bCs/>
        </w:rPr>
        <w:t xml:space="preserve">    </w:t>
      </w:r>
      <w:r>
        <w:rPr>
          <w:b/>
          <w:bCs/>
        </w:rPr>
        <w:drawing>
          <wp:inline distT="0" distB="0" distL="114300" distR="114300">
            <wp:extent cx="1519555" cy="1457960"/>
            <wp:effectExtent l="0" t="0" r="0" b="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02"/>
                    <a:srcRect l="23203" r="9332"/>
                    <a:stretch>
                      <a:fillRect/>
                    </a:stretch>
                  </pic:blipFill>
                  <pic:spPr>
                    <a:xfrm>
                      <a:off x="0" y="0"/>
                      <a:ext cx="1519555" cy="1457960"/>
                    </a:xfrm>
                    <a:prstGeom prst="rect">
                      <a:avLst/>
                    </a:prstGeom>
                    <a:noFill/>
                    <a:ln w="9525">
                      <a:noFill/>
                    </a:ln>
                  </pic:spPr>
                </pic:pic>
              </a:graphicData>
            </a:graphic>
          </wp:inline>
        </w:drawing>
      </w:r>
      <w:r>
        <w:rPr>
          <w:rFonts w:hint="eastAsia"/>
          <w:b/>
          <w:bCs/>
        </w:rPr>
        <w:t xml:space="preserve">    </w:t>
      </w:r>
      <w:r>
        <w:drawing>
          <wp:inline distT="0" distB="0" distL="114300" distR="114300">
            <wp:extent cx="2768600" cy="1398270"/>
            <wp:effectExtent l="0" t="0" r="5080"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3"/>
                    <a:srcRect l="2289" r="8530"/>
                    <a:stretch>
                      <a:fillRect/>
                    </a:stretch>
                  </pic:blipFill>
                  <pic:spPr>
                    <a:xfrm>
                      <a:off x="0" y="0"/>
                      <a:ext cx="2768600" cy="1398270"/>
                    </a:xfrm>
                    <a:prstGeom prst="rect">
                      <a:avLst/>
                    </a:prstGeom>
                    <a:noFill/>
                    <a:ln>
                      <a:noFill/>
                    </a:ln>
                  </pic:spPr>
                </pic:pic>
              </a:graphicData>
            </a:graphic>
          </wp:inline>
        </w:drawing>
      </w:r>
    </w:p>
    <w:p w14:paraId="78FBA7A5">
      <w:pPr>
        <w:pStyle w:val="9"/>
        <w:widowControl/>
        <w:spacing w:beforeAutospacing="0" w:afterAutospacing="0" w:line="240" w:lineRule="auto"/>
        <w:ind w:firstLine="900" w:firstLineChars="500"/>
        <w:jc w:val="both"/>
        <w:textAlignment w:val="baseline"/>
        <w:rPr>
          <w:rFonts w:hint="eastAsia" w:ascii="宋体" w:hAnsi="宋体"/>
        </w:rP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9</w:t>
      </w:r>
      <w:r>
        <w:rPr>
          <w:rFonts w:hint="eastAsia" w:ascii="宋体" w:hAnsi="宋体"/>
          <w:sz w:val="18"/>
          <w:szCs w:val="18"/>
        </w:rPr>
        <w:t xml:space="preserve"> 工业相机</w:t>
      </w:r>
      <w:r>
        <w:rPr>
          <w:rFonts w:hint="eastAsia" w:ascii="宋体" w:hAnsi="宋体"/>
        </w:rPr>
        <w:t xml:space="preserve">                 </w:t>
      </w: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10</w:t>
      </w:r>
      <w:r>
        <w:rPr>
          <w:rFonts w:hint="eastAsia" w:ascii="宋体" w:hAnsi="宋体"/>
          <w:sz w:val="18"/>
          <w:szCs w:val="18"/>
        </w:rPr>
        <w:t xml:space="preserve"> </w:t>
      </w:r>
      <w:r>
        <w:rPr>
          <w:rFonts w:hint="eastAsia" w:ascii="宋体" w:hAnsi="宋体"/>
          <w:sz w:val="18"/>
          <w:szCs w:val="18"/>
          <w:highlight w:val="none"/>
          <w:lang w:val="en-US" w:eastAsia="zh-CN"/>
        </w:rPr>
        <w:t>多</w:t>
      </w:r>
      <w:r>
        <w:rPr>
          <w:rFonts w:hint="eastAsia" w:ascii="宋体" w:hAnsi="宋体"/>
          <w:sz w:val="18"/>
          <w:szCs w:val="18"/>
          <w:highlight w:val="none"/>
        </w:rPr>
        <w:t>光谱相机</w:t>
      </w:r>
      <w:r>
        <w:rPr>
          <w:rFonts w:hint="eastAsia" w:ascii="宋体" w:hAnsi="宋体"/>
          <w:sz w:val="18"/>
          <w:szCs w:val="18"/>
        </w:rPr>
        <w:t>（采用IMX219+滤光轮）</w:t>
      </w:r>
    </w:p>
    <w:p w14:paraId="6AFF4772">
      <w:pPr>
        <w:pStyle w:val="6"/>
        <w:ind w:firstLine="482"/>
        <w:rPr>
          <w:lang w:bidi="ar"/>
        </w:rPr>
      </w:pPr>
      <w:r>
        <w:rPr>
          <w:lang w:bidi="ar"/>
        </w:rPr>
        <w:t>（2）</w:t>
      </w:r>
      <w:r>
        <w:rPr>
          <w:rFonts w:hint="default"/>
          <w:lang w:bidi="ar"/>
        </w:rPr>
        <w:t>图像处理单元</w:t>
      </w:r>
    </w:p>
    <w:p w14:paraId="055D71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采用</w:t>
      </w:r>
      <w:r>
        <w:rPr>
          <w:rFonts w:hint="eastAsia"/>
          <w:lang w:bidi="ar"/>
        </w:rPr>
        <w:t>NVIDIA jetson nano</w:t>
      </w:r>
      <w:r>
        <w:rPr>
          <w:lang w:bidi="ar"/>
        </w:rPr>
        <w:t>，以实现高速的图像处理和计算机视觉算法计算。</w:t>
      </w:r>
      <w:r>
        <w:rPr>
          <w:rFonts w:hint="eastAsia"/>
          <w:lang w:bidi="ar"/>
        </w:rPr>
        <w:t>该单元支持实时图像处理与深度学习推理，支持轻量化模型，功耗和重量较小，适合在无人机上部署。</w:t>
      </w:r>
    </w:p>
    <w:p w14:paraId="5CD72B7D">
      <w:pPr>
        <w:pStyle w:val="6"/>
        <w:ind w:firstLine="482"/>
      </w:pPr>
      <w:r>
        <w:rPr>
          <w:lang w:bidi="ar"/>
        </w:rPr>
        <w:t>（3）数据反馈</w:t>
      </w:r>
    </w:p>
    <w:p w14:paraId="0DDA55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4G模块</w:t>
      </w:r>
      <w:r>
        <w:rPr>
          <w:rFonts w:hint="eastAsia"/>
          <w:lang w:bidi="ar"/>
        </w:rPr>
        <w:t>(EC20通信模块)</w:t>
      </w:r>
      <w:r>
        <w:rPr>
          <w:lang w:bidi="ar"/>
        </w:rPr>
        <w:t>，实现数据的高速无线传输。将</w:t>
      </w:r>
      <w:r>
        <w:rPr>
          <w:rFonts w:hint="eastAsia"/>
          <w:lang w:bidi="ar"/>
        </w:rPr>
        <w:t>检测结果CSV（含坐标、缺素类型、置信度）</w:t>
      </w:r>
      <w:r>
        <w:rPr>
          <w:lang w:bidi="ar"/>
        </w:rPr>
        <w:t>发送到云平台。同时，将施</w:t>
      </w:r>
      <w:r>
        <w:rPr>
          <w:rFonts w:hint="eastAsia"/>
          <w:lang w:bidi="ar"/>
        </w:rPr>
        <w:t>肥执行情况的数据（实时喷洒量、药液余量）</w:t>
      </w:r>
      <w:r>
        <w:rPr>
          <w:lang w:bidi="ar"/>
        </w:rPr>
        <w:t>反馈到</w:t>
      </w:r>
      <w:r>
        <w:rPr>
          <w:rFonts w:hint="eastAsia"/>
          <w:lang w:bidi="ar"/>
        </w:rPr>
        <w:t>喷洒</w:t>
      </w:r>
      <w:r>
        <w:rPr>
          <w:lang w:bidi="ar"/>
        </w:rPr>
        <w:t>模块，以便进行后续的优化和调整。</w:t>
      </w:r>
    </w:p>
    <w:p w14:paraId="6CC5E5A8">
      <w:pPr>
        <w:pStyle w:val="5"/>
      </w:pPr>
      <w:bookmarkStart w:id="65" w:name="_Toc14017"/>
      <w:bookmarkStart w:id="66" w:name="_Toc12245"/>
      <w:bookmarkStart w:id="67" w:name="_Toc32432"/>
      <w:r>
        <w:rPr>
          <w:rFonts w:hint="eastAsia" w:ascii="黑体" w:hAnsi="黑体"/>
          <w:lang w:val="en-US" w:eastAsia="zh-CN"/>
        </w:rPr>
        <w:t>3</w:t>
      </w:r>
      <w:r>
        <w:rPr>
          <w:rFonts w:hint="default" w:ascii="黑体" w:hAnsi="黑体"/>
        </w:rPr>
        <w:t>.</w:t>
      </w:r>
      <w:r>
        <w:rPr>
          <w:rFonts w:hint="eastAsia" w:ascii="黑体" w:hAnsi="黑体"/>
          <w:lang w:val="en-US" w:eastAsia="zh-CN"/>
        </w:rPr>
        <w:t>7</w:t>
      </w:r>
      <w:r>
        <w:rPr>
          <w:rFonts w:hint="default" w:ascii="黑体" w:hAnsi="黑体"/>
        </w:rPr>
        <w:t>.3</w:t>
      </w:r>
      <w:r>
        <w:rPr>
          <w:rFonts w:ascii="黑体" w:hAnsi="黑体"/>
        </w:rPr>
        <w:t>.</w:t>
      </w:r>
      <w:r>
        <w:rPr>
          <w:rFonts w:hint="default"/>
        </w:rPr>
        <w:t>喷洒模块</w:t>
      </w:r>
      <w:bookmarkEnd w:id="65"/>
      <w:bookmarkEnd w:id="66"/>
      <w:bookmarkEnd w:id="67"/>
    </w:p>
    <w:p w14:paraId="730081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本模块主要实现的功能有：储存肥料溶液、溶液量不足的警报以及溶液的喷洒及数据反馈。</w:t>
      </w:r>
    </w:p>
    <w:p w14:paraId="6ECB7524">
      <w:pPr>
        <w:ind w:firstLine="0" w:firstLineChars="0"/>
        <w:jc w:val="center"/>
      </w:pPr>
      <w:r>
        <w:drawing>
          <wp:inline distT="0" distB="0" distL="114300" distR="114300">
            <wp:extent cx="4253865" cy="3063875"/>
            <wp:effectExtent l="0" t="0" r="13335" b="1460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04"/>
                    <a:stretch>
                      <a:fillRect/>
                    </a:stretch>
                  </pic:blipFill>
                  <pic:spPr>
                    <a:xfrm>
                      <a:off x="0" y="0"/>
                      <a:ext cx="4253865" cy="3063875"/>
                    </a:xfrm>
                    <a:prstGeom prst="rect">
                      <a:avLst/>
                    </a:prstGeom>
                    <a:noFill/>
                    <a:ln>
                      <a:noFill/>
                    </a:ln>
                  </pic:spPr>
                </pic:pic>
              </a:graphicData>
            </a:graphic>
          </wp:inline>
        </w:drawing>
      </w:r>
    </w:p>
    <w:p w14:paraId="49CEC176">
      <w:pPr>
        <w:widowControl/>
        <w:ind w:firstLine="0" w:firstLineChars="0"/>
        <w:jc w:val="center"/>
        <w:rPr>
          <w:rFonts w:hint="eastAsia" w:ascii="宋体" w:hAnsi="宋体"/>
        </w:rP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11</w:t>
      </w:r>
      <w:r>
        <w:rPr>
          <w:rFonts w:hint="eastAsia" w:ascii="宋体" w:hAnsi="宋体"/>
          <w:sz w:val="18"/>
          <w:szCs w:val="18"/>
        </w:rPr>
        <w:t xml:space="preserve"> 施肥模块设计</w:t>
      </w:r>
    </w:p>
    <w:p w14:paraId="3B4379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由以下几个部分组成：</w:t>
      </w:r>
    </w:p>
    <w:p w14:paraId="2A6C9D83">
      <w:pPr>
        <w:pStyle w:val="6"/>
        <w:ind w:firstLine="482"/>
        <w:rPr>
          <w:sz w:val="28"/>
          <w:szCs w:val="28"/>
        </w:rPr>
      </w:pPr>
      <w:r>
        <w:rPr>
          <w:lang w:bidi="ar"/>
        </w:rPr>
        <w:t>（1）药箱</w:t>
      </w:r>
    </w:p>
    <w:p w14:paraId="7FF4F8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采用4仓独立控制设计，能够快速适配液体肥、颗粒肥、微量元素等多种肥料类型，实现3分钟内完成肥料切换，满足多场景需求。例如，在作物出现缺磷症状时，可使用1%过磷酸钙溶液或0.2%~0.5%磷酸二氢钾溶液进行叶面喷肥；出现缺钾症状时，使用0.2%~0.3%磷酸二氢钾溶液；出现缺钙症状时，使用0.5%硝酸钙或氯化钙溶液；出现缺镁症状时，使用1%~2%硫酸镁溶液。因此，储肥箱中可分别储存过磷酸钙溶液、磷酸二氢钾溶液、硝酸钙溶液和硫酸镁溶液，通过模块化设计实现精准施肥，快速响应不同缺素症状，提升施肥效率和作物健康水平。</w:t>
      </w:r>
    </w:p>
    <w:p w14:paraId="639AA1E8">
      <w:pPr>
        <w:ind w:firstLine="480"/>
        <w:jc w:val="center"/>
      </w:pPr>
      <w:r>
        <w:drawing>
          <wp:inline distT="0" distB="0" distL="114300" distR="114300">
            <wp:extent cx="3884930" cy="1554480"/>
            <wp:effectExtent l="0" t="0" r="1270" b="0"/>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205"/>
                    <a:srcRect t="19392" b="20425"/>
                    <a:stretch>
                      <a:fillRect/>
                    </a:stretch>
                  </pic:blipFill>
                  <pic:spPr>
                    <a:xfrm>
                      <a:off x="0" y="0"/>
                      <a:ext cx="3884930" cy="1554480"/>
                    </a:xfrm>
                    <a:prstGeom prst="rect">
                      <a:avLst/>
                    </a:prstGeom>
                    <a:noFill/>
                    <a:ln w="9525">
                      <a:noFill/>
                    </a:ln>
                  </pic:spPr>
                </pic:pic>
              </a:graphicData>
            </a:graphic>
          </wp:inline>
        </w:drawing>
      </w:r>
    </w:p>
    <w:p w14:paraId="02C032C6">
      <w:pPr>
        <w:widowControl/>
        <w:ind w:firstLine="360"/>
        <w:jc w:val="center"/>
        <w:rPr>
          <w:rFonts w:hint="eastAsia" w:ascii="宋体" w:hAnsi="宋体"/>
        </w:rP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12</w:t>
      </w:r>
      <w:r>
        <w:rPr>
          <w:rFonts w:hint="eastAsia" w:ascii="宋体" w:hAnsi="宋体"/>
          <w:sz w:val="18"/>
          <w:szCs w:val="18"/>
        </w:rPr>
        <w:t xml:space="preserve"> 药箱</w:t>
      </w:r>
    </w:p>
    <w:p w14:paraId="25BADEB9">
      <w:pPr>
        <w:pStyle w:val="6"/>
        <w:ind w:firstLine="482"/>
        <w:rPr>
          <w:sz w:val="28"/>
          <w:szCs w:val="28"/>
          <w:lang w:bidi="ar"/>
        </w:rPr>
      </w:pPr>
      <w:r>
        <w:rPr>
          <w:lang w:bidi="ar"/>
        </w:rPr>
        <w:t>（2）液位计</w:t>
      </w:r>
    </w:p>
    <w:p w14:paraId="568156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确认药液量，当药液不足时，进行警报的信号来源。</w:t>
      </w:r>
    </w:p>
    <w:p w14:paraId="16B2B091">
      <w:pPr>
        <w:pStyle w:val="6"/>
        <w:ind w:firstLine="482"/>
        <w:rPr>
          <w:sz w:val="28"/>
          <w:szCs w:val="28"/>
          <w:lang w:bidi="ar"/>
        </w:rPr>
      </w:pPr>
      <w:r>
        <w:rPr>
          <w:lang w:bidi="ar"/>
        </w:rPr>
        <w:t>（3）水泵</w:t>
      </w:r>
    </w:p>
    <w:p w14:paraId="5ACFCD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能够为喷洒输送压力。本系统采用压力高、流量大的直流无刷隔膜泵，其容易精准控制的特性也更契合本系统的需求。</w:t>
      </w:r>
    </w:p>
    <w:p w14:paraId="2BF22E02">
      <w:pPr>
        <w:pStyle w:val="6"/>
        <w:ind w:firstLine="482"/>
        <w:rPr>
          <w:sz w:val="28"/>
          <w:szCs w:val="28"/>
          <w:lang w:bidi="ar"/>
        </w:rPr>
      </w:pPr>
      <w:r>
        <w:rPr>
          <w:lang w:bidi="ar"/>
        </w:rPr>
        <w:t>（4）水流量传感器</w:t>
      </w:r>
    </w:p>
    <w:p w14:paraId="10390B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实时准确捕捉喷洒溶液量，以便于精准控制喷洒量。</w:t>
      </w:r>
    </w:p>
    <w:p w14:paraId="07B74A35">
      <w:pPr>
        <w:pStyle w:val="6"/>
        <w:ind w:firstLine="482"/>
        <w:rPr>
          <w:sz w:val="28"/>
          <w:szCs w:val="28"/>
          <w:lang w:bidi="ar"/>
        </w:rPr>
      </w:pPr>
      <w:r>
        <w:rPr>
          <w:lang w:bidi="ar"/>
        </w:rPr>
        <w:t>（5）离心喷头</w:t>
      </w:r>
    </w:p>
    <w:p w14:paraId="5E26D1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离心喷头通过电机带动喷头高速旋转，利用离心力将溶液分散成微小雾化颗粒。此种喷头产生的雾滴粒径小、雾化均匀，细小雾滴对靶标的覆盖密度和均匀度远优于粗大雾滴，且附着性能好，不易产生流失。此外，细小雾滴具有较好的穿透能力，能随气流深入植株冠层内部，有利于作物充分吸收肥料。同时，该种喷头也更容易精准控制喷洒，实现高效施肥。同时，该种喷头也更容易精准控制喷洒。</w:t>
      </w:r>
    </w:p>
    <w:p w14:paraId="6B7FF8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为了进一步提升喷洒效果并减少漂移损失，本系统引入了自适应喷头控制技术。该技术能够根据实时环境参数（如风速、飞行高度）动态调节雾滴粒径。例如，当风速大于5m/s时，系统会自动增大雾滴粒径20%，从而减少雾滴漂移，提升附着率15%。这种动态调节机制不仅能够适应复杂的环境变化，还能最大限度地提高肥料利用率，降低环境污染风险。</w:t>
      </w:r>
    </w:p>
    <w:p w14:paraId="7B9B15AC">
      <w:pPr>
        <w:widowControl/>
        <w:ind w:firstLine="480"/>
        <w:jc w:val="center"/>
      </w:pPr>
      <w:r>
        <w:rPr>
          <w:rFonts w:hint="eastAsia"/>
        </w:rPr>
        <w:drawing>
          <wp:inline distT="0" distB="0" distL="114300" distR="114300">
            <wp:extent cx="4794885" cy="1572260"/>
            <wp:effectExtent l="0" t="0" r="5715" b="12700"/>
            <wp:docPr id="20" name="图片 20" descr="喷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喷洒"/>
                    <pic:cNvPicPr>
                      <a:picLocks noChangeAspect="1"/>
                    </pic:cNvPicPr>
                  </pic:nvPicPr>
                  <pic:blipFill>
                    <a:blip r:embed="rId206"/>
                    <a:srcRect l="2239" t="12184" r="2264" b="10658"/>
                    <a:stretch>
                      <a:fillRect/>
                    </a:stretch>
                  </pic:blipFill>
                  <pic:spPr>
                    <a:xfrm>
                      <a:off x="0" y="0"/>
                      <a:ext cx="4794885" cy="1572260"/>
                    </a:xfrm>
                    <a:prstGeom prst="rect">
                      <a:avLst/>
                    </a:prstGeom>
                  </pic:spPr>
                </pic:pic>
              </a:graphicData>
            </a:graphic>
          </wp:inline>
        </w:drawing>
      </w:r>
    </w:p>
    <w:p w14:paraId="1A8C2521">
      <w:pPr>
        <w:widowControl/>
        <w:ind w:firstLine="360"/>
        <w:jc w:val="center"/>
        <w:rPr>
          <w:rFonts w:hint="eastAsia" w:ascii="宋体" w:hAnsi="宋体" w:cs="仿宋"/>
          <w:color w:val="404040"/>
        </w:rP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13</w:t>
      </w:r>
      <w:r>
        <w:rPr>
          <w:rFonts w:hint="eastAsia" w:ascii="宋体" w:hAnsi="宋体"/>
          <w:sz w:val="18"/>
          <w:szCs w:val="18"/>
        </w:rPr>
        <w:t xml:space="preserve"> 喷淋执行及反馈</w:t>
      </w:r>
    </w:p>
    <w:p w14:paraId="2486D9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bidi="ar"/>
        </w:rPr>
      </w:pPr>
      <w:r>
        <w:rPr>
          <w:rFonts w:hint="eastAsia"/>
          <w:lang w:bidi="ar"/>
        </w:rPr>
        <w:t>该模块在喷洒的同时，实时将喷淋次数、喷淋时长、喷淋量以及环境参数（如风速、飞行高度）等数据反馈回云端，进行相关数据的展示与分析。若药液不足，系统会触发报警机制，提醒操作人员及时补充。云端平台对这些数据进行深度分析后，生成优化决策（如调整雾滴粒径、喷洒速度或飞行路径），并将优化后的指令下发至控制模块，实现精准、高效的闭环控制。通过这种数据驱动的优化机制，系统能够不断迭代改进，提升整体作业效率与效果。</w:t>
      </w:r>
    </w:p>
    <w:p w14:paraId="0EACC1A9">
      <w:pPr>
        <w:rPr>
          <w:rFonts w:hint="eastAsia"/>
          <w:i/>
          <w:iCs/>
        </w:rPr>
      </w:pPr>
    </w:p>
    <w:p w14:paraId="2CAB2F60">
      <w:pPr>
        <w:pStyle w:val="14"/>
        <w:numPr>
          <w:ilvl w:val="0"/>
          <w:numId w:val="1"/>
        </w:numPr>
        <w:ind w:firstLineChars="0"/>
      </w:pPr>
      <w:r>
        <w:rPr>
          <w:rFonts w:hint="eastAsia"/>
          <w:sz w:val="40"/>
          <w:szCs w:val="40"/>
        </w:rPr>
        <w:t>应用效果</w:t>
      </w:r>
    </w:p>
    <w:p w14:paraId="2F63A5C6">
      <w:pPr>
        <w:pStyle w:val="4"/>
        <w:rPr>
          <w:rFonts w:hint="eastAsia"/>
        </w:rPr>
      </w:pPr>
      <w:bookmarkStart w:id="68" w:name="_Toc21319"/>
      <w:r>
        <w:rPr>
          <w:rFonts w:ascii="黑体" w:hAnsi="黑体"/>
        </w:rPr>
        <w:t>4.</w:t>
      </w:r>
      <w:r>
        <w:rPr>
          <w:rFonts w:hint="eastAsia" w:ascii="黑体" w:hAnsi="黑体"/>
          <w:lang w:val="en-US" w:eastAsia="zh-CN"/>
        </w:rPr>
        <w:t>1</w:t>
      </w:r>
      <w:r>
        <w:rPr>
          <w:rFonts w:hint="eastAsia" w:ascii="黑体" w:hAnsi="黑体"/>
        </w:rPr>
        <w:t>.</w:t>
      </w:r>
      <w:r>
        <w:t xml:space="preserve"> 用户界面</w:t>
      </w:r>
      <w:bookmarkEnd w:id="68"/>
    </w:p>
    <w:p w14:paraId="1E180F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本系统云端平台采用B/S架构，基于Django后端框架 +</w:t>
      </w:r>
      <w:r>
        <w:rPr>
          <w:rFonts w:hint="eastAsia"/>
          <w:lang w:val="en-US" w:eastAsia="zh-CN" w:bidi="ar"/>
        </w:rPr>
        <w:t xml:space="preserve"> </w:t>
      </w:r>
      <w:r>
        <w:rPr>
          <w:lang w:bidi="ar"/>
        </w:rPr>
        <w:t xml:space="preserve"> </w:t>
      </w:r>
      <w:r>
        <w:rPr>
          <w:rFonts w:hint="eastAsia"/>
          <w:lang w:bidi="ar"/>
        </w:rPr>
        <w:t>Vue</w:t>
      </w:r>
      <w:r>
        <w:rPr>
          <w:lang w:bidi="ar"/>
        </w:rPr>
        <w:t>前端框架 +</w:t>
      </w:r>
      <w:r>
        <w:rPr>
          <w:rFonts w:hint="eastAsia"/>
          <w:lang w:val="en-US" w:eastAsia="zh-CN" w:bidi="ar"/>
        </w:rPr>
        <w:t xml:space="preserve"> </w:t>
      </w:r>
      <w:r>
        <w:rPr>
          <w:lang w:bidi="ar"/>
        </w:rPr>
        <w:t>MySQL</w:t>
      </w:r>
      <w:r>
        <w:rPr>
          <w:rFonts w:hint="eastAsia"/>
          <w:lang w:val="en-US" w:eastAsia="zh-CN" w:bidi="ar"/>
        </w:rPr>
        <w:t xml:space="preserve"> </w:t>
      </w:r>
      <w:r>
        <w:rPr>
          <w:rFonts w:hint="eastAsia"/>
          <w:lang w:bidi="ar"/>
        </w:rPr>
        <w:t>+ Redis</w:t>
      </w:r>
      <w:r>
        <w:rPr>
          <w:lang w:bidi="ar"/>
        </w:rPr>
        <w:t>构建。</w:t>
      </w:r>
      <w:r>
        <w:rPr>
          <w:lang w:bidi="ar"/>
        </w:rPr>
        <w:t>用户通过浏览器即可访问全部功能，无需安装客户端，支持PC与移动端自适应。平台涵盖数据管理、可视化分析、智能施肥推荐、设备管理、系统管理五大核心模块，并支持与田间边缘端（ESP8266、摄像头、传感器）的实时数据交互与指令下发。</w:t>
      </w:r>
    </w:p>
    <w:p w14:paraId="5B84E5BD">
      <w:pPr>
        <w:pStyle w:val="5"/>
      </w:pPr>
      <w:bookmarkStart w:id="69" w:name="_Toc757"/>
      <w:r>
        <w:rPr>
          <w:rFonts w:ascii="黑体" w:hAnsi="黑体"/>
        </w:rPr>
        <w:t>4.</w:t>
      </w:r>
      <w:r>
        <w:rPr>
          <w:rFonts w:hint="eastAsia" w:ascii="黑体" w:hAnsi="黑体"/>
          <w:lang w:val="en-US" w:eastAsia="zh-CN"/>
        </w:rPr>
        <w:t>1</w:t>
      </w:r>
      <w:r>
        <w:rPr>
          <w:rFonts w:ascii="黑体" w:hAnsi="黑体"/>
        </w:rPr>
        <w:t>.1.</w:t>
      </w:r>
      <w:r>
        <w:t>登录页</w:t>
      </w:r>
      <w:bookmarkEnd w:id="69"/>
    </w:p>
    <w:p w14:paraId="2867B3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系统入口页面，采用居中卡片式布局，绿色渐变背景。用户输入用户名和密码后提交登录请求，后端校验通过后返回Token、用户ID与用户名，前端将凭证存入localStorage完成会话保持。登录成功后自动跳转至系统首页。页面底部提供</w:t>
      </w:r>
      <w:r>
        <w:rPr>
          <w:rFonts w:hint="eastAsia"/>
          <w:lang w:bidi="ar"/>
        </w:rPr>
        <w:t>“</w:t>
      </w:r>
      <w:r>
        <w:rPr>
          <w:lang w:bidi="ar"/>
        </w:rPr>
        <w:t>没有账号？去注册</w:t>
      </w:r>
      <w:r>
        <w:rPr>
          <w:rFonts w:hint="eastAsia"/>
          <w:lang w:bidi="ar"/>
        </w:rPr>
        <w:t>”</w:t>
      </w:r>
      <w:r>
        <w:rPr>
          <w:lang w:bidi="ar"/>
        </w:rPr>
        <w:t>链接，引导新用户完成注册流程。系统通过路由守卫机制拦截未登录访问，强制跳转至登录页，保障接口安全。</w:t>
      </w:r>
    </w:p>
    <w:p w14:paraId="6F3A8B41">
      <w:pPr>
        <w:widowControl/>
        <w:ind w:firstLine="0" w:firstLineChars="0"/>
      </w:pPr>
      <w:r>
        <w:drawing>
          <wp:inline distT="0" distB="0" distL="114300" distR="114300">
            <wp:extent cx="5257800" cy="2519045"/>
            <wp:effectExtent l="0" t="0" r="0" b="10795"/>
            <wp:docPr id="34"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9"/>
                    <pic:cNvPicPr>
                      <a:picLocks noChangeAspect="1"/>
                    </pic:cNvPicPr>
                  </pic:nvPicPr>
                  <pic:blipFill>
                    <a:blip r:embed="rId207"/>
                    <a:stretch>
                      <a:fillRect/>
                    </a:stretch>
                  </pic:blipFill>
                  <pic:spPr>
                    <a:xfrm>
                      <a:off x="0" y="0"/>
                      <a:ext cx="5257800" cy="2519045"/>
                    </a:xfrm>
                    <a:prstGeom prst="rect">
                      <a:avLst/>
                    </a:prstGeom>
                    <a:noFill/>
                    <a:ln>
                      <a:noFill/>
                    </a:ln>
                  </pic:spPr>
                </pic:pic>
              </a:graphicData>
            </a:graphic>
          </wp:inline>
        </w:drawing>
      </w:r>
    </w:p>
    <w:p w14:paraId="4E85819C">
      <w:pPr>
        <w:widowControl/>
        <w:ind w:firstLine="0" w:firstLineChars="0"/>
        <w:jc w:val="center"/>
        <w:rPr>
          <w:rFonts w:hint="eastAsia" w:ascii="宋体" w:hAnsi="宋体"/>
          <w:sz w:val="18"/>
          <w:szCs w:val="18"/>
        </w:rPr>
      </w:pPr>
      <w:r>
        <w:rPr>
          <w:rFonts w:hint="eastAsia" w:ascii="宋体" w:hAnsi="宋体"/>
          <w:sz w:val="18"/>
          <w:szCs w:val="18"/>
        </w:rPr>
        <w:t>图</w:t>
      </w:r>
      <w:r>
        <w:rPr>
          <w:rFonts w:hint="eastAsia" w:ascii="宋体" w:hAnsi="宋体"/>
          <w:sz w:val="18"/>
          <w:szCs w:val="18"/>
          <w:lang w:val="en-US" w:eastAsia="zh-CN"/>
        </w:rPr>
        <w:t>4</w:t>
      </w:r>
      <w:r>
        <w:rPr>
          <w:rFonts w:hint="eastAsia" w:ascii="宋体" w:hAnsi="宋体"/>
          <w:sz w:val="18"/>
          <w:szCs w:val="18"/>
        </w:rPr>
        <w:t>.</w:t>
      </w:r>
      <w:r>
        <w:rPr>
          <w:rFonts w:hint="eastAsia" w:ascii="宋体" w:hAnsi="宋体"/>
          <w:sz w:val="18"/>
          <w:szCs w:val="18"/>
          <w:lang w:val="en-US" w:eastAsia="zh-CN"/>
        </w:rPr>
        <w:t>1</w:t>
      </w:r>
      <w:r>
        <w:rPr>
          <w:rFonts w:hint="eastAsia" w:ascii="宋体" w:hAnsi="宋体"/>
          <w:sz w:val="18"/>
          <w:szCs w:val="18"/>
        </w:rPr>
        <w:t xml:space="preserve"> 登录页</w:t>
      </w:r>
    </w:p>
    <w:p w14:paraId="2AFA33A7">
      <w:pPr>
        <w:pStyle w:val="5"/>
      </w:pPr>
      <w:bookmarkStart w:id="70" w:name="_Toc15584"/>
      <w:r>
        <w:rPr>
          <w:rFonts w:ascii="黑体" w:hAnsi="黑体"/>
        </w:rPr>
        <w:t>4.</w:t>
      </w:r>
      <w:r>
        <w:rPr>
          <w:rFonts w:hint="eastAsia" w:ascii="黑体" w:hAnsi="黑体"/>
          <w:lang w:val="en-US" w:eastAsia="zh-CN"/>
        </w:rPr>
        <w:t>1</w:t>
      </w:r>
      <w:r>
        <w:rPr>
          <w:rFonts w:ascii="黑体" w:hAnsi="黑体"/>
        </w:rPr>
        <w:t>.2.</w:t>
      </w:r>
      <w:r>
        <w:t>系统首页</w:t>
      </w:r>
      <w:bookmarkEnd w:id="70"/>
    </w:p>
    <w:p w14:paraId="619183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平台核心操作页面，采用三栏自适应布局：</w:t>
      </w:r>
    </w:p>
    <w:p w14:paraId="292A32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左栏</w:t>
      </w:r>
      <w:r>
        <w:rPr>
          <w:rFonts w:hint="eastAsia"/>
          <w:lang w:bidi="ar"/>
        </w:rPr>
        <w:t>为</w:t>
      </w:r>
      <w:r>
        <w:rPr>
          <w:lang w:bidi="ar"/>
        </w:rPr>
        <w:t>施肥概览区：顶部展示施肥用量柱状图，</w:t>
      </w:r>
      <w:r>
        <w:rPr>
          <w:rFonts w:hint="eastAsia"/>
          <w:lang w:bidi="ar"/>
        </w:rPr>
        <w:t>肥料领域通常把氮、磷、钾作为配方与效果的主标识；钙、镁、硫及微量元素往往在全养分列表或技术规格中列出，因此</w:t>
      </w:r>
      <w:r>
        <w:rPr>
          <w:lang w:bidi="ar"/>
        </w:rPr>
        <w:t>按烟草五个生长阶段（苗期/还苗期/伸根期/旺长期/成熟期）</w:t>
      </w:r>
      <w:r>
        <w:rPr>
          <w:rFonts w:hint="eastAsia"/>
          <w:lang w:bidi="ar"/>
        </w:rPr>
        <w:t>突出</w:t>
      </w:r>
      <w:r>
        <w:rPr>
          <w:lang w:bidi="ar"/>
        </w:rPr>
        <w:t>展示氮、磷、钾</w:t>
      </w:r>
      <w:r>
        <w:rPr>
          <w:rFonts w:hint="eastAsia"/>
          <w:lang w:bidi="ar"/>
        </w:rPr>
        <w:t>元素需求量</w:t>
      </w:r>
      <w:r>
        <w:rPr>
          <w:lang w:bidi="ar"/>
        </w:rPr>
        <w:t>。下方显示当前追肥记录的N/P/K数值与数据更新时间。底部为传感器数据卡片行，展示土壤湿度、空气温度、空气湿度三项实时监测值。</w:t>
      </w:r>
    </w:p>
    <w:p w14:paraId="4CDB2F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中栏</w:t>
      </w:r>
      <w:r>
        <w:rPr>
          <w:rFonts w:hint="eastAsia"/>
          <w:lang w:bidi="ar"/>
        </w:rPr>
        <w:t>为</w:t>
      </w:r>
      <w:r>
        <w:rPr>
          <w:lang w:bidi="ar"/>
        </w:rPr>
        <w:t>智能识别区：页面核心功能区域，标题栏包含</w:t>
      </w:r>
      <w:r>
        <w:rPr>
          <w:rFonts w:hint="eastAsia"/>
          <w:lang w:bidi="ar"/>
        </w:rPr>
        <w:t>“</w:t>
      </w:r>
      <w:r>
        <w:rPr>
          <w:lang w:bidi="ar"/>
        </w:rPr>
        <w:t>缺素检测</w:t>
      </w:r>
      <w:r>
        <w:rPr>
          <w:rFonts w:hint="eastAsia"/>
          <w:lang w:bidi="ar"/>
        </w:rPr>
        <w:t>”</w:t>
      </w:r>
      <w:r>
        <w:rPr>
          <w:lang w:bidi="ar"/>
        </w:rPr>
        <w:t>与</w:t>
      </w:r>
      <w:r>
        <w:rPr>
          <w:rFonts w:hint="eastAsia"/>
          <w:lang w:bidi="ar"/>
        </w:rPr>
        <w:t>“</w:t>
      </w:r>
      <w:r>
        <w:rPr>
          <w:lang w:bidi="ar"/>
        </w:rPr>
        <w:t>病虫害检测</w:t>
      </w:r>
      <w:r>
        <w:rPr>
          <w:rFonts w:hint="eastAsia"/>
          <w:lang w:bidi="ar"/>
        </w:rPr>
        <w:t>”</w:t>
      </w:r>
      <w:r>
        <w:rPr>
          <w:lang w:bidi="ar"/>
        </w:rPr>
        <w:t>两个模式切换按钮；下方提供地块选择下拉框，用户需先选定地块再进行识别。支持两种图像输入方式：打开摄像头实时拍照或从相册上传图片。提交图像</w:t>
      </w:r>
      <w:r>
        <w:rPr>
          <w:rFonts w:hint="eastAsia"/>
          <w:lang w:val="en-US" w:eastAsia="zh-CN" w:bidi="ar"/>
        </w:rPr>
        <w:t>后</w:t>
      </w:r>
      <w:r>
        <w:rPr>
          <w:lang w:bidi="ar"/>
        </w:rPr>
        <w:t>调用模型进行识别，返回结果以颜色标签展示。若为病虫害检测模式且识别到病害，系统自动调用后端接口生成对应农药记录。</w:t>
      </w:r>
    </w:p>
    <w:p w14:paraId="049DF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右栏</w:t>
      </w:r>
      <w:r>
        <w:rPr>
          <w:rFonts w:hint="eastAsia"/>
          <w:lang w:bidi="ar"/>
        </w:rPr>
        <w:t>为</w:t>
      </w:r>
      <w:r>
        <w:rPr>
          <w:lang w:bidi="ar"/>
        </w:rPr>
        <w:t>天气与地块区：上部为实时天气信息面板，通过浏览器定位获取经纬度，调用Open-Meteo气象API获取当前天气状况、温度、风速、湿度并展示。下部为常看地块列表，显示地块名称与面积，每个地块提供"查看详情"按钮，点击弹出模态窗口展示该地块的基本施肥记录表与追肥记录表。</w:t>
      </w:r>
    </w:p>
    <w:p w14:paraId="690B8525">
      <w:pPr>
        <w:widowControl/>
        <w:ind w:firstLine="0" w:firstLineChars="0"/>
      </w:pPr>
      <w:r>
        <w:drawing>
          <wp:inline distT="0" distB="0" distL="114300" distR="114300">
            <wp:extent cx="5257800" cy="2519045"/>
            <wp:effectExtent l="0" t="0" r="0" b="10795"/>
            <wp:docPr id="33"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8"/>
                    <pic:cNvPicPr>
                      <a:picLocks noChangeAspect="1"/>
                    </pic:cNvPicPr>
                  </pic:nvPicPr>
                  <pic:blipFill>
                    <a:blip r:embed="rId208"/>
                    <a:stretch>
                      <a:fillRect/>
                    </a:stretch>
                  </pic:blipFill>
                  <pic:spPr>
                    <a:xfrm>
                      <a:off x="0" y="0"/>
                      <a:ext cx="5257800" cy="2519045"/>
                    </a:xfrm>
                    <a:prstGeom prst="rect">
                      <a:avLst/>
                    </a:prstGeom>
                    <a:noFill/>
                    <a:ln>
                      <a:noFill/>
                    </a:ln>
                  </pic:spPr>
                </pic:pic>
              </a:graphicData>
            </a:graphic>
          </wp:inline>
        </w:drawing>
      </w:r>
    </w:p>
    <w:p w14:paraId="73F19C9C">
      <w:pPr>
        <w:widowControl/>
        <w:ind w:firstLine="0" w:firstLineChars="0"/>
        <w:jc w:val="center"/>
        <w:rPr>
          <w:rFonts w:hint="eastAsia" w:ascii="宋体" w:hAnsi="宋体"/>
          <w:sz w:val="18"/>
          <w:szCs w:val="18"/>
        </w:rPr>
      </w:pPr>
      <w:r>
        <w:rPr>
          <w:rFonts w:hint="eastAsia" w:ascii="宋体" w:hAnsi="宋体"/>
          <w:sz w:val="18"/>
          <w:szCs w:val="18"/>
        </w:rPr>
        <w:t>图</w:t>
      </w:r>
      <w:r>
        <w:rPr>
          <w:rFonts w:hint="eastAsia" w:ascii="宋体" w:hAnsi="宋体"/>
          <w:sz w:val="18"/>
          <w:szCs w:val="18"/>
          <w:lang w:val="en-US" w:eastAsia="zh-CN"/>
        </w:rPr>
        <w:t>4</w:t>
      </w:r>
      <w:r>
        <w:rPr>
          <w:rFonts w:hint="eastAsia" w:ascii="宋体" w:hAnsi="宋体"/>
          <w:sz w:val="18"/>
          <w:szCs w:val="18"/>
        </w:rPr>
        <w:t>.</w:t>
      </w:r>
      <w:r>
        <w:rPr>
          <w:rFonts w:hint="eastAsia" w:ascii="宋体" w:hAnsi="宋体"/>
          <w:sz w:val="18"/>
          <w:szCs w:val="18"/>
          <w:lang w:val="en-US" w:eastAsia="zh-CN"/>
        </w:rPr>
        <w:t>2</w:t>
      </w:r>
      <w:r>
        <w:rPr>
          <w:rFonts w:hint="eastAsia" w:ascii="宋体" w:hAnsi="宋体"/>
          <w:sz w:val="18"/>
          <w:szCs w:val="18"/>
        </w:rPr>
        <w:t xml:space="preserve"> 系统首页（病虫害识别示例）</w:t>
      </w:r>
    </w:p>
    <w:p w14:paraId="49572121">
      <w:pPr>
        <w:pStyle w:val="5"/>
      </w:pPr>
      <w:bookmarkStart w:id="71" w:name="_Toc27184"/>
      <w:r>
        <w:rPr>
          <w:rFonts w:ascii="黑体" w:hAnsi="黑体"/>
        </w:rPr>
        <w:t>4.</w:t>
      </w:r>
      <w:r>
        <w:rPr>
          <w:rFonts w:hint="eastAsia" w:ascii="黑体" w:hAnsi="黑体"/>
          <w:lang w:val="en-US" w:eastAsia="zh-CN"/>
        </w:rPr>
        <w:t>1</w:t>
      </w:r>
      <w:r>
        <w:rPr>
          <w:rFonts w:ascii="黑体" w:hAnsi="黑体"/>
        </w:rPr>
        <w:t>.3.</w:t>
      </w:r>
      <w:r>
        <w:t>施肥记录页</w:t>
      </w:r>
      <w:bookmarkEnd w:id="71"/>
    </w:p>
    <w:p w14:paraId="3097DF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施肥数据管理页面，顶部设有</w:t>
      </w:r>
      <w:r>
        <w:rPr>
          <w:rFonts w:hint="eastAsia"/>
          <w:lang w:bidi="ar"/>
        </w:rPr>
        <w:t>“</w:t>
      </w:r>
      <w:r>
        <w:rPr>
          <w:lang w:bidi="ar"/>
        </w:rPr>
        <w:t>基本施肥记录</w:t>
      </w:r>
      <w:r>
        <w:rPr>
          <w:rFonts w:hint="eastAsia"/>
          <w:lang w:bidi="ar"/>
        </w:rPr>
        <w:t>”</w:t>
      </w:r>
      <w:r>
        <w:rPr>
          <w:lang w:bidi="ar"/>
        </w:rPr>
        <w:t>与</w:t>
      </w:r>
      <w:r>
        <w:rPr>
          <w:rFonts w:hint="eastAsia"/>
          <w:lang w:bidi="ar"/>
        </w:rPr>
        <w:t>“</w:t>
      </w:r>
      <w:r>
        <w:rPr>
          <w:lang w:bidi="ar"/>
        </w:rPr>
        <w:t>追肥记录</w:t>
      </w:r>
      <w:r>
        <w:rPr>
          <w:rFonts w:hint="eastAsia"/>
          <w:lang w:bidi="ar"/>
        </w:rPr>
        <w:t>”</w:t>
      </w:r>
      <w:r>
        <w:rPr>
          <w:lang w:bidi="ar"/>
        </w:rPr>
        <w:t>两个选项卡，可切换查看不同类型记录。操作栏包含地块选择下拉框、新建记录按钮与日期筛选器。</w:t>
      </w:r>
    </w:p>
    <w:p w14:paraId="68883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施肥记录表格展示字段包括：记录序号、生长阶段、施肥时间、氮/磷/钾消耗量、总消耗量、操作（删除）。新建基本施肥记录时，弹窗提供生长阶段选择（苗期/还苗期/伸根期/旺长期/成熟期），提交后后端根据地块土质、生长阶段与天气自动计算N/P/K用量并入库；新建追肥记录时，根据缺素情况自动生成。底部为分页导航组件。</w:t>
      </w:r>
    </w:p>
    <w:p w14:paraId="6176462D">
      <w:pPr>
        <w:widowControl/>
        <w:ind w:firstLine="0" w:firstLineChars="0"/>
      </w:pPr>
      <w:r>
        <w:drawing>
          <wp:inline distT="0" distB="0" distL="114300" distR="114300">
            <wp:extent cx="5257800" cy="2519045"/>
            <wp:effectExtent l="0" t="0" r="0" b="10795"/>
            <wp:docPr id="3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0"/>
                    <pic:cNvPicPr>
                      <a:picLocks noChangeAspect="1"/>
                    </pic:cNvPicPr>
                  </pic:nvPicPr>
                  <pic:blipFill>
                    <a:blip r:embed="rId209"/>
                    <a:stretch>
                      <a:fillRect/>
                    </a:stretch>
                  </pic:blipFill>
                  <pic:spPr>
                    <a:xfrm>
                      <a:off x="0" y="0"/>
                      <a:ext cx="5257800" cy="2519045"/>
                    </a:xfrm>
                    <a:prstGeom prst="rect">
                      <a:avLst/>
                    </a:prstGeom>
                    <a:noFill/>
                    <a:ln>
                      <a:noFill/>
                    </a:ln>
                  </pic:spPr>
                </pic:pic>
              </a:graphicData>
            </a:graphic>
          </wp:inline>
        </w:drawing>
      </w:r>
    </w:p>
    <w:p w14:paraId="3E49F8DB">
      <w:pPr>
        <w:widowControl/>
        <w:ind w:firstLine="0" w:firstLineChars="0"/>
        <w:jc w:val="center"/>
        <w:rPr>
          <w:sz w:val="18"/>
          <w:szCs w:val="18"/>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3</w:t>
      </w:r>
      <w:r>
        <w:rPr>
          <w:rFonts w:hint="eastAsia"/>
          <w:sz w:val="18"/>
          <w:szCs w:val="18"/>
        </w:rPr>
        <w:t xml:space="preserve"> 施肥记录页</w:t>
      </w:r>
    </w:p>
    <w:p w14:paraId="78A5183B">
      <w:pPr>
        <w:pStyle w:val="5"/>
      </w:pPr>
      <w:bookmarkStart w:id="72" w:name="_Toc28474"/>
      <w:r>
        <w:rPr>
          <w:rFonts w:ascii="黑体" w:hAnsi="黑体"/>
        </w:rPr>
        <w:t>4.</w:t>
      </w:r>
      <w:r>
        <w:rPr>
          <w:rFonts w:hint="eastAsia" w:ascii="黑体" w:hAnsi="黑体"/>
          <w:lang w:val="en-US" w:eastAsia="zh-CN"/>
        </w:rPr>
        <w:t>1</w:t>
      </w:r>
      <w:r>
        <w:rPr>
          <w:rFonts w:ascii="黑体" w:hAnsi="黑体"/>
        </w:rPr>
        <w:t>.4.</w:t>
      </w:r>
      <w:r>
        <w:t>农药记录页</w:t>
      </w:r>
      <w:bookmarkEnd w:id="72"/>
    </w:p>
    <w:p w14:paraId="5B3163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农药施用记录管理页面，操作栏包含地块选择、新建记录与日期筛选。记录表格展示：记录序号、病害种类、施药时间、农药名称、用量、兑水量、操作（删除）。</w:t>
      </w:r>
    </w:p>
    <w:p w14:paraId="14FFE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新建农药记录时，弹窗提供病害种类选择（白星病/黄叶病/烟青虫/叶厚病），系统内置病害</w:t>
      </w:r>
      <w:r>
        <w:rPr>
          <w:rFonts w:hint="eastAsia"/>
          <w:lang w:bidi="ar"/>
        </w:rPr>
        <w:t>—</w:t>
      </w:r>
      <w:r>
        <w:rPr>
          <w:lang w:bidi="ar"/>
        </w:rPr>
        <w:t>农药映射配置表（如白星病对应50%多菌灵、烟青虫对应4.5%高效氯氰菊酯等），选择病害后自动根据当前地块面积</w:t>
      </w:r>
      <w:r>
        <w:rPr>
          <w:rFonts w:hint="eastAsia"/>
          <w:lang w:bidi="ar"/>
        </w:rPr>
        <w:t>、</w:t>
      </w:r>
      <w:r>
        <w:rPr>
          <w:lang w:bidi="ar"/>
        </w:rPr>
        <w:t>地块土质、生长阶段</w:t>
      </w:r>
      <w:r>
        <w:rPr>
          <w:rFonts w:hint="eastAsia"/>
          <w:lang w:bidi="ar"/>
        </w:rPr>
        <w:t>计算</w:t>
      </w:r>
      <w:r>
        <w:rPr>
          <w:lang w:bidi="ar"/>
        </w:rPr>
        <w:t>推荐用量，并在弹窗中实时预览"将生成"的农药名称与用量信息，确认后一键生成记录。</w:t>
      </w:r>
    </w:p>
    <w:p w14:paraId="176F2361">
      <w:pPr>
        <w:widowControl/>
        <w:ind w:firstLine="0" w:firstLineChars="0"/>
      </w:pPr>
      <w:r>
        <w:drawing>
          <wp:inline distT="0" distB="0" distL="114300" distR="114300">
            <wp:extent cx="5257800" cy="2519045"/>
            <wp:effectExtent l="0" t="0" r="0" b="10795"/>
            <wp:docPr id="3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1"/>
                    <pic:cNvPicPr>
                      <a:picLocks noChangeAspect="1"/>
                    </pic:cNvPicPr>
                  </pic:nvPicPr>
                  <pic:blipFill>
                    <a:blip r:embed="rId210"/>
                    <a:stretch>
                      <a:fillRect/>
                    </a:stretch>
                  </pic:blipFill>
                  <pic:spPr>
                    <a:xfrm>
                      <a:off x="0" y="0"/>
                      <a:ext cx="5257800" cy="2519045"/>
                    </a:xfrm>
                    <a:prstGeom prst="rect">
                      <a:avLst/>
                    </a:prstGeom>
                    <a:noFill/>
                    <a:ln>
                      <a:noFill/>
                    </a:ln>
                  </pic:spPr>
                </pic:pic>
              </a:graphicData>
            </a:graphic>
          </wp:inline>
        </w:drawing>
      </w:r>
    </w:p>
    <w:p w14:paraId="611D0475">
      <w:pPr>
        <w:widowControl/>
        <w:ind w:firstLine="360"/>
        <w:jc w:val="cente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4</w:t>
      </w:r>
      <w:r>
        <w:rPr>
          <w:rFonts w:hint="eastAsia"/>
          <w:sz w:val="18"/>
          <w:szCs w:val="18"/>
        </w:rPr>
        <w:t xml:space="preserve"> 农药记录页</w:t>
      </w:r>
    </w:p>
    <w:p w14:paraId="06A8A40A">
      <w:pPr>
        <w:pStyle w:val="5"/>
      </w:pPr>
      <w:bookmarkStart w:id="73" w:name="_Toc7837"/>
      <w:r>
        <w:rPr>
          <w:rFonts w:ascii="黑体" w:hAnsi="黑体"/>
        </w:rPr>
        <w:t>4.</w:t>
      </w:r>
      <w:r>
        <w:rPr>
          <w:rFonts w:hint="eastAsia" w:ascii="黑体" w:hAnsi="黑体"/>
          <w:lang w:val="en-US" w:eastAsia="zh-CN"/>
        </w:rPr>
        <w:t>1</w:t>
      </w:r>
      <w:r>
        <w:rPr>
          <w:rFonts w:ascii="黑体" w:hAnsi="黑体"/>
        </w:rPr>
        <w:t>.5.</w:t>
      </w:r>
      <w:r>
        <w:t>设备管理页</w:t>
      </w:r>
      <w:bookmarkEnd w:id="73"/>
    </w:p>
    <w:p w14:paraId="49C710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设备运维管理页面，采用左右双栏布局：</w:t>
      </w:r>
    </w:p>
    <w:p w14:paraId="5DA538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bidi="ar"/>
        </w:rPr>
      </w:pPr>
      <w:r>
        <w:rPr>
          <w:lang w:bidi="ar"/>
        </w:rPr>
        <w:t>左栏</w:t>
      </w:r>
      <w:r>
        <w:rPr>
          <w:rFonts w:hint="eastAsia"/>
          <w:lang w:bidi="ar"/>
        </w:rPr>
        <w:t>——</w:t>
      </w:r>
      <w:r>
        <w:rPr>
          <w:lang w:bidi="ar"/>
        </w:rPr>
        <w:t>传感器数据区：深色背景面板，顶部设</w:t>
      </w:r>
      <w:r>
        <w:rPr>
          <w:rFonts w:hint="eastAsia"/>
          <w:lang w:bidi="ar"/>
        </w:rPr>
        <w:t>“</w:t>
      </w:r>
      <w:r>
        <w:rPr>
          <w:lang w:bidi="ar"/>
        </w:rPr>
        <w:t>全部地块</w:t>
      </w:r>
      <w:r>
        <w:rPr>
          <w:rFonts w:hint="eastAsia"/>
          <w:lang w:bidi="ar"/>
        </w:rPr>
        <w:t>”</w:t>
      </w:r>
      <w:r>
        <w:rPr>
          <w:lang w:bidi="ar"/>
        </w:rPr>
        <w:t>与</w:t>
      </w:r>
      <w:r>
        <w:rPr>
          <w:rFonts w:hint="eastAsia"/>
          <w:lang w:bidi="ar"/>
        </w:rPr>
        <w:t>“</w:t>
      </w:r>
      <w:r>
        <w:rPr>
          <w:lang w:bidi="ar"/>
        </w:rPr>
        <w:t>单个地块</w:t>
      </w:r>
      <w:r>
        <w:rPr>
          <w:rFonts w:hint="eastAsia"/>
          <w:lang w:bidi="ar"/>
        </w:rPr>
        <w:t>”</w:t>
      </w:r>
      <w:r>
        <w:rPr>
          <w:lang w:bidi="ar"/>
        </w:rPr>
        <w:t>切换按钮，选择单个地块时展示该地块的传感器具体数值，全部地块时展示数据区间。三个传感器卡片分别展示土壤湿度、空气温度、空气湿度。</w:t>
      </w:r>
    </w:p>
    <w:p w14:paraId="2D9A14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右栏——设备列表区：顶部报警信息条显示传感器数据传输状态，旁边设</w:t>
      </w:r>
      <w:r>
        <w:rPr>
          <w:rFonts w:hint="eastAsia"/>
          <w:lang w:bidi="ar"/>
        </w:rPr>
        <w:t>“</w:t>
      </w:r>
      <w:r>
        <w:rPr>
          <w:lang w:bidi="ar"/>
        </w:rPr>
        <w:t>新建设备</w:t>
      </w:r>
      <w:r>
        <w:rPr>
          <w:rFonts w:hint="eastAsia"/>
          <w:lang w:bidi="ar"/>
        </w:rPr>
        <w:t>”</w:t>
      </w:r>
      <w:r>
        <w:rPr>
          <w:lang w:bidi="ar"/>
        </w:rPr>
        <w:t>按钮。设备列表以卡片形式展</w:t>
      </w:r>
      <w:r>
        <w:rPr>
          <w:lang w:bidi="ar"/>
        </w:rPr>
        <w:t>示每台设备的ID、名称、类型（无人机/传感器/执行器）、所属地块及在线/离线状态。每台设备提供修改、删除按钮与状态切换开关（在线/离线）。新建/修改设备通过模态弹窗操作，可设置设备名称、类型与所属地块。删除操作带二次确认弹窗。</w:t>
      </w:r>
    </w:p>
    <w:p w14:paraId="109B8BBA">
      <w:pPr>
        <w:widowControl/>
        <w:ind w:firstLine="0" w:firstLineChars="0"/>
        <w:jc w:val="left"/>
        <w:rPr>
          <w:rFonts w:hint="eastAsia" w:ascii="宋体" w:hAnsi="宋体" w:cs="宋体"/>
          <w:kern w:val="0"/>
          <w:sz w:val="18"/>
          <w:szCs w:val="18"/>
          <w:lang w:bidi="ar"/>
        </w:rPr>
      </w:pPr>
      <w:r>
        <w:drawing>
          <wp:inline distT="0" distB="0" distL="114300" distR="114300">
            <wp:extent cx="5257800" cy="2519045"/>
            <wp:effectExtent l="0" t="0" r="0" b="10795"/>
            <wp:docPr id="3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2"/>
                    <pic:cNvPicPr>
                      <a:picLocks noChangeAspect="1"/>
                    </pic:cNvPicPr>
                  </pic:nvPicPr>
                  <pic:blipFill>
                    <a:blip r:embed="rId211"/>
                    <a:stretch>
                      <a:fillRect/>
                    </a:stretch>
                  </pic:blipFill>
                  <pic:spPr>
                    <a:xfrm>
                      <a:off x="0" y="0"/>
                      <a:ext cx="5257800" cy="2519045"/>
                    </a:xfrm>
                    <a:prstGeom prst="rect">
                      <a:avLst/>
                    </a:prstGeom>
                    <a:noFill/>
                    <a:ln>
                      <a:noFill/>
                    </a:ln>
                  </pic:spPr>
                </pic:pic>
              </a:graphicData>
            </a:graphic>
          </wp:inline>
        </w:drawing>
      </w:r>
    </w:p>
    <w:p w14:paraId="77CAC758">
      <w:pPr>
        <w:widowControl/>
        <w:ind w:firstLine="360"/>
        <w:jc w:val="center"/>
        <w:rPr>
          <w:sz w:val="18"/>
          <w:szCs w:val="18"/>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5</w:t>
      </w:r>
      <w:r>
        <w:rPr>
          <w:rFonts w:hint="eastAsia"/>
          <w:sz w:val="18"/>
          <w:szCs w:val="18"/>
        </w:rPr>
        <w:t xml:space="preserve"> 设备管理页</w:t>
      </w:r>
    </w:p>
    <w:p w14:paraId="5A88BD46">
      <w:pPr>
        <w:pStyle w:val="5"/>
      </w:pPr>
      <w:bookmarkStart w:id="74" w:name="_Toc25761"/>
      <w:r>
        <w:rPr>
          <w:rFonts w:ascii="黑体" w:hAnsi="黑体"/>
        </w:rPr>
        <w:t>4.</w:t>
      </w:r>
      <w:r>
        <w:rPr>
          <w:rFonts w:hint="eastAsia" w:ascii="黑体" w:hAnsi="黑体"/>
          <w:lang w:val="en-US" w:eastAsia="zh-CN"/>
        </w:rPr>
        <w:t>1</w:t>
      </w:r>
      <w:r>
        <w:rPr>
          <w:rFonts w:ascii="黑体" w:hAnsi="黑体"/>
        </w:rPr>
        <w:t>.6.</w:t>
      </w:r>
      <w:r>
        <w:t>数据分析——缺素情况页</w:t>
      </w:r>
      <w:bookmarkEnd w:id="74"/>
    </w:p>
    <w:p w14:paraId="440B62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缺素数据可视化分析页面，左右双栏布局：</w:t>
      </w:r>
    </w:p>
    <w:p w14:paraId="3867F9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左栏——缺素变化图：基于ECharts的面积折线图，按日期展示缺氮、缺磷、缺钾三条趋势曲线。支持</w:t>
      </w:r>
      <w:r>
        <w:rPr>
          <w:rFonts w:hint="eastAsia"/>
          <w:lang w:bidi="ar"/>
        </w:rPr>
        <w:t>“</w:t>
      </w:r>
      <w:r>
        <w:rPr>
          <w:lang w:bidi="ar"/>
        </w:rPr>
        <w:t>全部地块</w:t>
      </w:r>
      <w:r>
        <w:rPr>
          <w:rFonts w:hint="eastAsia"/>
          <w:lang w:bidi="ar"/>
        </w:rPr>
        <w:t>”</w:t>
      </w:r>
      <w:r>
        <w:rPr>
          <w:lang w:bidi="ar"/>
        </w:rPr>
        <w:t>与</w:t>
      </w:r>
      <w:r>
        <w:rPr>
          <w:rFonts w:hint="eastAsia"/>
          <w:lang w:bidi="ar"/>
        </w:rPr>
        <w:t>“</w:t>
      </w:r>
      <w:r>
        <w:rPr>
          <w:lang w:bidi="ar"/>
        </w:rPr>
        <w:t>单个地块</w:t>
      </w:r>
      <w:r>
        <w:rPr>
          <w:rFonts w:hint="eastAsia"/>
          <w:lang w:bidi="ar"/>
        </w:rPr>
        <w:t>”</w:t>
      </w:r>
      <w:r>
        <w:rPr>
          <w:lang w:bidi="ar"/>
        </w:rPr>
        <w:t>切换，选择单个地块时自动筛选该地块数据。图表下方设自定义图例，点击可控制单条折线的显示/隐藏，切换地块时触发入场动画。</w:t>
      </w:r>
    </w:p>
    <w:p w14:paraId="546ED7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右栏——缺素分析报告：展示缺素统计报告，分别显示缺氮、缺磷、缺钾的记录条数与占比百分比。下方以横向进度条展示三种缺素类型的条数对比与最近缺素状态摘要。</w:t>
      </w:r>
    </w:p>
    <w:p w14:paraId="7075E2D9">
      <w:pPr>
        <w:widowControl/>
        <w:ind w:firstLine="0" w:firstLineChars="0"/>
        <w:jc w:val="center"/>
      </w:pPr>
      <w:r>
        <w:drawing>
          <wp:inline distT="0" distB="0" distL="114300" distR="114300">
            <wp:extent cx="5257800" cy="2519045"/>
            <wp:effectExtent l="0" t="0" r="0" b="10795"/>
            <wp:docPr id="3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3"/>
                    <pic:cNvPicPr>
                      <a:picLocks noChangeAspect="1"/>
                    </pic:cNvPicPr>
                  </pic:nvPicPr>
                  <pic:blipFill>
                    <a:blip r:embed="rId212"/>
                    <a:stretch>
                      <a:fillRect/>
                    </a:stretch>
                  </pic:blipFill>
                  <pic:spPr>
                    <a:xfrm>
                      <a:off x="0" y="0"/>
                      <a:ext cx="5257800" cy="2519045"/>
                    </a:xfrm>
                    <a:prstGeom prst="rect">
                      <a:avLst/>
                    </a:prstGeom>
                    <a:noFill/>
                    <a:ln>
                      <a:noFill/>
                    </a:ln>
                  </pic:spPr>
                </pic:pic>
              </a:graphicData>
            </a:graphic>
          </wp:inline>
        </w:drawing>
      </w:r>
    </w:p>
    <w:p w14:paraId="0EF891D4">
      <w:pPr>
        <w:widowControl/>
        <w:ind w:firstLine="360"/>
        <w:jc w:val="center"/>
        <w:rPr>
          <w:sz w:val="18"/>
          <w:szCs w:val="18"/>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6</w:t>
      </w:r>
      <w:r>
        <w:rPr>
          <w:rFonts w:hint="eastAsia"/>
          <w:sz w:val="18"/>
          <w:szCs w:val="18"/>
        </w:rPr>
        <w:t xml:space="preserve"> 缺素情况页</w:t>
      </w:r>
    </w:p>
    <w:p w14:paraId="34DC267C">
      <w:pPr>
        <w:pStyle w:val="5"/>
      </w:pPr>
      <w:bookmarkStart w:id="75" w:name="_Toc9976"/>
      <w:r>
        <w:rPr>
          <w:rFonts w:ascii="黑体" w:hAnsi="黑体"/>
        </w:rPr>
        <w:t>4.</w:t>
      </w:r>
      <w:r>
        <w:rPr>
          <w:rFonts w:hint="eastAsia" w:ascii="黑体" w:hAnsi="黑体"/>
          <w:lang w:val="en-US" w:eastAsia="zh-CN"/>
        </w:rPr>
        <w:t>1</w:t>
      </w:r>
      <w:r>
        <w:rPr>
          <w:rFonts w:ascii="黑体" w:hAnsi="黑体"/>
        </w:rPr>
        <w:t>.7.</w:t>
      </w:r>
      <w:r>
        <w:t>数据分析——病害情况页</w:t>
      </w:r>
      <w:bookmarkEnd w:id="75"/>
    </w:p>
    <w:p w14:paraId="2E4802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病害数据可视化分析页面，结构与缺素分析页一致。左栏展示白星病、黄叶病、烟青虫、叶厚病四种病害的时间趋势折线图；右栏展示各病害类型的记录条数、占比与进度条对比。支持全部/单个地块切换与自定义图例交互。</w:t>
      </w:r>
    </w:p>
    <w:p w14:paraId="304445DD">
      <w:pPr>
        <w:widowControl/>
        <w:ind w:firstLine="0" w:firstLineChars="0"/>
      </w:pPr>
      <w:r>
        <w:drawing>
          <wp:inline distT="0" distB="0" distL="114300" distR="114300">
            <wp:extent cx="5257800" cy="2519045"/>
            <wp:effectExtent l="0" t="0" r="0" b="10795"/>
            <wp:docPr id="4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4"/>
                    <pic:cNvPicPr>
                      <a:picLocks noChangeAspect="1"/>
                    </pic:cNvPicPr>
                  </pic:nvPicPr>
                  <pic:blipFill>
                    <a:blip r:embed="rId213"/>
                    <a:stretch>
                      <a:fillRect/>
                    </a:stretch>
                  </pic:blipFill>
                  <pic:spPr>
                    <a:xfrm>
                      <a:off x="0" y="0"/>
                      <a:ext cx="5257800" cy="2519045"/>
                    </a:xfrm>
                    <a:prstGeom prst="rect">
                      <a:avLst/>
                    </a:prstGeom>
                    <a:noFill/>
                    <a:ln>
                      <a:noFill/>
                    </a:ln>
                  </pic:spPr>
                </pic:pic>
              </a:graphicData>
            </a:graphic>
          </wp:inline>
        </w:drawing>
      </w:r>
    </w:p>
    <w:p w14:paraId="2338773E">
      <w:pPr>
        <w:widowControl/>
        <w:ind w:firstLine="360"/>
        <w:jc w:val="center"/>
        <w:rPr>
          <w:sz w:val="18"/>
          <w:szCs w:val="18"/>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7</w:t>
      </w:r>
      <w:r>
        <w:rPr>
          <w:rFonts w:hint="eastAsia"/>
          <w:sz w:val="18"/>
          <w:szCs w:val="18"/>
        </w:rPr>
        <w:t xml:space="preserve"> 病害情况页</w:t>
      </w:r>
    </w:p>
    <w:p w14:paraId="73740604">
      <w:pPr>
        <w:pStyle w:val="5"/>
      </w:pPr>
      <w:bookmarkStart w:id="76" w:name="_Toc12288"/>
      <w:r>
        <w:rPr>
          <w:rFonts w:ascii="黑体" w:hAnsi="黑体"/>
        </w:rPr>
        <w:t>4.</w:t>
      </w:r>
      <w:r>
        <w:rPr>
          <w:rFonts w:hint="eastAsia" w:ascii="黑体" w:hAnsi="黑体"/>
          <w:lang w:val="en-US" w:eastAsia="zh-CN"/>
        </w:rPr>
        <w:t>1</w:t>
      </w:r>
      <w:r>
        <w:rPr>
          <w:rFonts w:ascii="黑体" w:hAnsi="黑体"/>
        </w:rPr>
        <w:t>.8.</w:t>
      </w:r>
      <w:r>
        <w:t>智能策略页</w:t>
      </w:r>
      <w:bookmarkEnd w:id="76"/>
    </w:p>
    <w:p w14:paraId="173CD7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智能施肥与施药方案推荐页面，左右双栏布局：</w:t>
      </w:r>
    </w:p>
    <w:p w14:paraId="6FE2E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左栏——方案推荐区：顶部显示当前地块名称，设</w:t>
      </w:r>
      <w:r>
        <w:rPr>
          <w:rFonts w:hint="eastAsia"/>
          <w:lang w:bidi="ar"/>
        </w:rPr>
        <w:t>“</w:t>
      </w:r>
      <w:r>
        <w:rPr>
          <w:lang w:bidi="ar"/>
        </w:rPr>
        <w:t>智能施肥方案</w:t>
      </w:r>
      <w:r>
        <w:rPr>
          <w:rFonts w:hint="eastAsia"/>
          <w:lang w:bidi="ar"/>
        </w:rPr>
        <w:t>”</w:t>
      </w:r>
      <w:r>
        <w:rPr>
          <w:lang w:bidi="ar"/>
        </w:rPr>
        <w:t>与</w:t>
      </w:r>
      <w:r>
        <w:rPr>
          <w:rFonts w:hint="eastAsia"/>
          <w:lang w:bidi="ar"/>
        </w:rPr>
        <w:t>“</w:t>
      </w:r>
      <w:r>
        <w:rPr>
          <w:lang w:bidi="ar"/>
        </w:rPr>
        <w:t>智能施药方案</w:t>
      </w:r>
      <w:r>
        <w:rPr>
          <w:rFonts w:hint="eastAsia"/>
          <w:lang w:bidi="ar"/>
        </w:rPr>
        <w:t>”</w:t>
      </w:r>
      <w:r>
        <w:rPr>
          <w:lang w:bidi="ar"/>
        </w:rPr>
        <w:t>两个切换按钮。施肥方案展示过磷酸钙、硫酸钾型复合肥、硝酸钾、硫酸钾、磷酸二氢钾</w:t>
      </w:r>
      <w:r>
        <w:rPr>
          <w:rFonts w:hint="eastAsia"/>
          <w:lang w:bidi="ar"/>
        </w:rPr>
        <w:t>等</w:t>
      </w:r>
      <w:r>
        <w:rPr>
          <w:lang w:bidi="ar"/>
        </w:rPr>
        <w:t>肥料的施用方案卡片，每张卡片包含总用量、施用方式/时期、注意事项。施药方案展示白星病、黄叶病、烟青虫、叶厚病四种病害对应的农药方案，根据地块面积自动折算建议用量。</w:t>
      </w:r>
    </w:p>
    <w:p w14:paraId="4DB313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右栏——无人机路径规划区：集成高德地图卫星底图，展示地块边界多边形。用户点击</w:t>
      </w:r>
      <w:r>
        <w:rPr>
          <w:rFonts w:hint="eastAsia"/>
          <w:lang w:bidi="ar"/>
        </w:rPr>
        <w:t>“</w:t>
      </w:r>
      <w:r>
        <w:rPr>
          <w:lang w:bidi="ar"/>
        </w:rPr>
        <w:t>显示航迹</w:t>
      </w:r>
      <w:r>
        <w:rPr>
          <w:rFonts w:hint="eastAsia"/>
          <w:lang w:bidi="ar"/>
        </w:rPr>
        <w:t>”</w:t>
      </w:r>
      <w:r>
        <w:rPr>
          <w:lang w:bidi="ar"/>
        </w:rPr>
        <w:t>按钮后，系统基于</w:t>
      </w:r>
      <w:r>
        <w:rPr>
          <w:rFonts w:hint="eastAsia"/>
          <w:lang w:val="en-US" w:eastAsia="zh-CN" w:bidi="ar"/>
        </w:rPr>
        <w:t>改进</w:t>
      </w:r>
      <w:r>
        <w:rPr>
          <w:lang w:bidi="ar"/>
        </w:rPr>
        <w:t>A*算法在地块范围内自动生成无人机遍历路径，路径以绿色渐进动画方式在地图上绘制，辅助规划田间作业航线。</w:t>
      </w:r>
    </w:p>
    <w:p w14:paraId="34C86C1B">
      <w:pPr>
        <w:widowControl/>
        <w:ind w:firstLine="0" w:firstLineChars="0"/>
      </w:pPr>
      <w:r>
        <w:drawing>
          <wp:inline distT="0" distB="0" distL="114300" distR="114300">
            <wp:extent cx="5257800" cy="2519045"/>
            <wp:effectExtent l="0" t="0" r="0" b="10795"/>
            <wp:docPr id="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8"/>
                    <pic:cNvPicPr>
                      <a:picLocks noChangeAspect="1"/>
                    </pic:cNvPicPr>
                  </pic:nvPicPr>
                  <pic:blipFill>
                    <a:blip r:embed="rId214"/>
                    <a:stretch>
                      <a:fillRect/>
                    </a:stretch>
                  </pic:blipFill>
                  <pic:spPr>
                    <a:xfrm>
                      <a:off x="0" y="0"/>
                      <a:ext cx="5257800" cy="2519045"/>
                    </a:xfrm>
                    <a:prstGeom prst="rect">
                      <a:avLst/>
                    </a:prstGeom>
                    <a:noFill/>
                    <a:ln>
                      <a:noFill/>
                    </a:ln>
                  </pic:spPr>
                </pic:pic>
              </a:graphicData>
            </a:graphic>
          </wp:inline>
        </w:drawing>
      </w:r>
    </w:p>
    <w:p w14:paraId="2D1D4383">
      <w:pPr>
        <w:widowControl/>
        <w:ind w:firstLine="360"/>
        <w:jc w:val="center"/>
        <w:rPr>
          <w:sz w:val="18"/>
          <w:szCs w:val="18"/>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8</w:t>
      </w:r>
      <w:r>
        <w:rPr>
          <w:rFonts w:hint="eastAsia"/>
          <w:sz w:val="18"/>
          <w:szCs w:val="18"/>
        </w:rPr>
        <w:t xml:space="preserve"> 智能策略页</w:t>
      </w:r>
    </w:p>
    <w:p w14:paraId="3DC06195">
      <w:pPr>
        <w:pStyle w:val="5"/>
        <w:rPr>
          <w:rFonts w:ascii="黑体" w:hAnsi="黑体"/>
        </w:rPr>
      </w:pPr>
      <w:bookmarkStart w:id="77" w:name="_Toc15669"/>
      <w:r>
        <w:rPr>
          <w:rFonts w:ascii="黑体" w:hAnsi="黑体"/>
        </w:rPr>
        <w:t>4.</w:t>
      </w:r>
      <w:r>
        <w:rPr>
          <w:rFonts w:hint="eastAsia" w:ascii="黑体" w:hAnsi="黑体"/>
          <w:lang w:val="en-US" w:eastAsia="zh-CN"/>
        </w:rPr>
        <w:t>1</w:t>
      </w:r>
      <w:r>
        <w:rPr>
          <w:rFonts w:ascii="黑体" w:hAnsi="黑体"/>
        </w:rPr>
        <w:t>.9.AI咨询页</w:t>
      </w:r>
      <w:bookmarkEnd w:id="77"/>
    </w:p>
    <w:p w14:paraId="61CD0C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叶擎慧航采用即时通讯样式的智能问答交互页面。页面左侧为智能体列表面板，右侧为对话展示区域。用户在底部输入框中输入烟草种植相关问题（如施肥方案、病虫害防治、田间管理技术等），提交后调用后端 AI 咨询接口；接口返回的回答以消息气泡形式展示，消息区自动滚动至最新内容，并通过用户头像与AI头像实现消息来源区分。</w:t>
      </w:r>
    </w:p>
    <w:p w14:paraId="70448ABD">
      <w:pPr>
        <w:widowControl/>
        <w:ind w:firstLine="0" w:firstLineChars="0"/>
      </w:pPr>
      <w:r>
        <w:drawing>
          <wp:inline distT="0" distB="0" distL="114300" distR="114300">
            <wp:extent cx="5257800" cy="2519045"/>
            <wp:effectExtent l="0" t="0" r="0" b="10795"/>
            <wp:docPr id="4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6"/>
                    <pic:cNvPicPr>
                      <a:picLocks noChangeAspect="1"/>
                    </pic:cNvPicPr>
                  </pic:nvPicPr>
                  <pic:blipFill>
                    <a:blip r:embed="rId215"/>
                    <a:stretch>
                      <a:fillRect/>
                    </a:stretch>
                  </pic:blipFill>
                  <pic:spPr>
                    <a:xfrm>
                      <a:off x="0" y="0"/>
                      <a:ext cx="5257800" cy="2519045"/>
                    </a:xfrm>
                    <a:prstGeom prst="rect">
                      <a:avLst/>
                    </a:prstGeom>
                    <a:noFill/>
                    <a:ln>
                      <a:noFill/>
                    </a:ln>
                  </pic:spPr>
                </pic:pic>
              </a:graphicData>
            </a:graphic>
          </wp:inline>
        </w:drawing>
      </w:r>
    </w:p>
    <w:p w14:paraId="018A5DB5">
      <w:pPr>
        <w:widowControl/>
        <w:ind w:firstLine="360"/>
        <w:jc w:val="center"/>
        <w:rPr>
          <w:sz w:val="18"/>
          <w:szCs w:val="18"/>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9</w:t>
      </w:r>
      <w:r>
        <w:rPr>
          <w:rFonts w:hint="eastAsia"/>
          <w:sz w:val="18"/>
          <w:szCs w:val="18"/>
        </w:rPr>
        <w:t xml:space="preserve"> AI咨询页</w:t>
      </w:r>
    </w:p>
    <w:p w14:paraId="68B40311">
      <w:pPr>
        <w:pStyle w:val="4"/>
        <w:rPr>
          <w:rFonts w:hint="eastAsia"/>
          <w:lang w:val="en-US" w:eastAsia="zh-CN"/>
        </w:rPr>
      </w:pPr>
      <w:bookmarkStart w:id="78" w:name="_Toc4954"/>
      <w:r>
        <w:rPr>
          <w:rFonts w:ascii="黑体" w:hAnsi="黑体"/>
        </w:rPr>
        <w:t>4.</w:t>
      </w:r>
      <w:r>
        <w:rPr>
          <w:rFonts w:hint="eastAsia" w:ascii="黑体" w:hAnsi="黑体"/>
          <w:lang w:val="en-US" w:eastAsia="zh-CN"/>
        </w:rPr>
        <w:t>2</w:t>
      </w:r>
      <w:r>
        <w:rPr>
          <w:rFonts w:hint="eastAsia" w:ascii="黑体" w:hAnsi="黑体"/>
        </w:rPr>
        <w:t>.</w:t>
      </w:r>
      <w:r>
        <w:rPr>
          <w:rFonts w:ascii="黑体" w:hAnsi="黑体"/>
        </w:rPr>
        <w:t xml:space="preserve"> </w:t>
      </w:r>
      <w:r>
        <w:rPr>
          <w:rFonts w:hint="eastAsia"/>
          <w:lang w:val="en-US" w:eastAsia="zh-CN"/>
        </w:rPr>
        <w:t>APP界面</w:t>
      </w:r>
      <w:bookmarkEnd w:id="78"/>
    </w:p>
    <w:p w14:paraId="1CC4A5F4">
      <w:pPr>
        <w:pStyle w:val="5"/>
        <w:rPr>
          <w:rFonts w:ascii="黑体" w:hAnsi="黑体"/>
        </w:rPr>
      </w:pPr>
      <w:bookmarkStart w:id="79" w:name="_Toc29578"/>
      <w:r>
        <w:rPr>
          <w:rFonts w:ascii="黑体" w:hAnsi="黑体"/>
        </w:rPr>
        <w:t>4.</w:t>
      </w:r>
      <w:r>
        <w:rPr>
          <w:rFonts w:hint="eastAsia" w:ascii="黑体" w:hAnsi="黑体"/>
          <w:lang w:val="en-US" w:eastAsia="zh-CN"/>
        </w:rPr>
        <w:t>2</w:t>
      </w:r>
      <w:r>
        <w:rPr>
          <w:rFonts w:ascii="黑体" w:hAnsi="黑体"/>
        </w:rPr>
        <w:t>.1.登录页</w:t>
      </w:r>
      <w:bookmarkEnd w:id="79"/>
    </w:p>
    <w:p w14:paraId="43D8E2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系统登录注册页面采用统一的绿色农业风格与卡片式布局。登录页提供用户名、密码输入与登录操作，支持错误提示，提交后调用后端登录接口完成鉴权并保存用户登录状态，成功后进入首页；注册页提供用户名、手机号、密码、确认密码等信息录入，提交后调用注册接口完成账号创建并跳转登录页。配合路由守卫实现未登录用户自动跳转登录、已登录用户拦截访客页访问，保证访问流程清晰与系统安全。</w:t>
      </w:r>
    </w:p>
    <w:p w14:paraId="3AE7E87D">
      <w:pPr>
        <w:rPr>
          <w:rFonts w:hint="default"/>
          <w:lang w:val="en-US" w:eastAsia="zh-CN" w:bidi="ar"/>
        </w:rPr>
      </w:pPr>
    </w:p>
    <w:p w14:paraId="5FD12B15">
      <w:pPr>
        <w:ind w:left="0" w:leftChars="0" w:firstLine="0" w:firstLineChars="0"/>
        <w:jc w:val="center"/>
        <w:rPr>
          <w:rFonts w:hint="default"/>
          <w:lang w:val="en-US" w:eastAsia="zh-CN" w:bidi="ar"/>
        </w:rPr>
      </w:pPr>
      <w:r>
        <w:rPr>
          <w:rFonts w:hint="default"/>
          <w:lang w:val="en-US" w:eastAsia="zh-CN" w:bidi="ar"/>
        </w:rPr>
        <w:drawing>
          <wp:inline distT="0" distB="0" distL="114300" distR="114300">
            <wp:extent cx="2607945" cy="5115560"/>
            <wp:effectExtent l="0" t="0" r="13335" b="5080"/>
            <wp:docPr id="4" name="图片 4" descr="7835080f2c416ad7358e619f7b0b8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835080f2c416ad7358e619f7b0b823f"/>
                    <pic:cNvPicPr>
                      <a:picLocks noChangeAspect="1"/>
                    </pic:cNvPicPr>
                  </pic:nvPicPr>
                  <pic:blipFill>
                    <a:blip r:embed="rId216"/>
                    <a:srcRect t="6894" b="4835"/>
                    <a:stretch>
                      <a:fillRect/>
                    </a:stretch>
                  </pic:blipFill>
                  <pic:spPr>
                    <a:xfrm>
                      <a:off x="0" y="0"/>
                      <a:ext cx="2607945" cy="5115560"/>
                    </a:xfrm>
                    <a:prstGeom prst="rect">
                      <a:avLst/>
                    </a:prstGeom>
                  </pic:spPr>
                </pic:pic>
              </a:graphicData>
            </a:graphic>
          </wp:inline>
        </w:drawing>
      </w:r>
      <w:r>
        <w:rPr>
          <w:rFonts w:hint="default"/>
          <w:lang w:val="en-US" w:eastAsia="zh-CN" w:bidi="ar"/>
        </w:rPr>
        <w:drawing>
          <wp:inline distT="0" distB="0" distL="114300" distR="114300">
            <wp:extent cx="2606675" cy="5115560"/>
            <wp:effectExtent l="0" t="0" r="14605" b="5080"/>
            <wp:docPr id="7" name="图片 7" descr="bd75858e09b81a95ced6c2ef5c92a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75858e09b81a95ced6c2ef5c92a09a"/>
                    <pic:cNvPicPr>
                      <a:picLocks noChangeAspect="1"/>
                    </pic:cNvPicPr>
                  </pic:nvPicPr>
                  <pic:blipFill>
                    <a:blip r:embed="rId217"/>
                    <a:srcRect t="5005" b="5104"/>
                    <a:stretch>
                      <a:fillRect/>
                    </a:stretch>
                  </pic:blipFill>
                  <pic:spPr>
                    <a:xfrm>
                      <a:off x="0" y="0"/>
                      <a:ext cx="2606675" cy="5115560"/>
                    </a:xfrm>
                    <a:prstGeom prst="rect">
                      <a:avLst/>
                    </a:prstGeom>
                  </pic:spPr>
                </pic:pic>
              </a:graphicData>
            </a:graphic>
          </wp:inline>
        </w:drawing>
      </w:r>
    </w:p>
    <w:p w14:paraId="7DF870FF">
      <w:pPr>
        <w:ind w:left="0" w:leftChars="0" w:firstLine="0" w:firstLineChars="0"/>
        <w:jc w:val="center"/>
        <w:rPr>
          <w:rFonts w:hint="eastAsia"/>
          <w:sz w:val="18"/>
          <w:szCs w:val="18"/>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10</w:t>
      </w:r>
      <w:r>
        <w:rPr>
          <w:rFonts w:hint="eastAsia"/>
          <w:sz w:val="18"/>
          <w:szCs w:val="18"/>
        </w:rPr>
        <w:t xml:space="preserve"> </w:t>
      </w:r>
      <w:r>
        <w:rPr>
          <w:rFonts w:hint="eastAsia"/>
          <w:sz w:val="18"/>
          <w:szCs w:val="18"/>
          <w:lang w:val="en-US" w:eastAsia="zh-CN"/>
        </w:rPr>
        <w:t>APP 登录与注册</w:t>
      </w:r>
      <w:r>
        <w:rPr>
          <w:rFonts w:hint="eastAsia"/>
          <w:sz w:val="18"/>
          <w:szCs w:val="18"/>
        </w:rPr>
        <w:t>页</w:t>
      </w:r>
    </w:p>
    <w:p w14:paraId="43CA1A23">
      <w:pPr>
        <w:pStyle w:val="5"/>
        <w:rPr>
          <w:rFonts w:ascii="黑体" w:hAnsi="黑体"/>
        </w:rPr>
      </w:pPr>
      <w:bookmarkStart w:id="80" w:name="_Toc22355"/>
      <w:r>
        <w:rPr>
          <w:rFonts w:ascii="黑体" w:hAnsi="黑体"/>
        </w:rPr>
        <w:t>4.</w:t>
      </w:r>
      <w:r>
        <w:rPr>
          <w:rFonts w:hint="eastAsia" w:ascii="黑体" w:hAnsi="黑体"/>
          <w:lang w:val="en-US" w:eastAsia="zh-CN"/>
        </w:rPr>
        <w:t>2</w:t>
      </w:r>
      <w:r>
        <w:rPr>
          <w:rFonts w:ascii="黑体" w:hAnsi="黑体"/>
        </w:rPr>
        <w:t>.</w:t>
      </w:r>
      <w:r>
        <w:rPr>
          <w:rFonts w:hint="eastAsia" w:ascii="黑体" w:hAnsi="黑体"/>
          <w:lang w:val="en-US" w:eastAsia="zh-CN"/>
        </w:rPr>
        <w:t>2</w:t>
      </w:r>
      <w:r>
        <w:rPr>
          <w:rFonts w:ascii="黑体" w:hAnsi="黑体"/>
        </w:rPr>
        <w:t>.</w:t>
      </w:r>
      <w:r>
        <w:rPr>
          <w:rFonts w:hint="eastAsia" w:ascii="黑体" w:hAnsi="黑体"/>
          <w:lang w:val="en-US" w:eastAsia="zh-CN"/>
        </w:rPr>
        <w:t>首</w:t>
      </w:r>
      <w:r>
        <w:rPr>
          <w:rFonts w:ascii="黑体" w:hAnsi="黑体"/>
        </w:rPr>
        <w:t>页</w:t>
      </w:r>
      <w:bookmarkEnd w:id="80"/>
    </w:p>
    <w:p w14:paraId="07C6A2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r>
        <w:rPr>
          <w:rFonts w:hint="default"/>
          <w:lang w:val="en-US" w:eastAsia="zh-CN" w:bidi="ar"/>
        </w:rPr>
        <w:t>首页在全局顶栏展示品牌与logo、当前用户名与退出；主体上方为天气区，根据定位拉取实况天气并展示天气状况、气温、风速与湿度。中部“作业概览”以柱状图呈现施肥用量概览，横轴为苗期至成熟期五个阶段，纵轴为千克/亩，区分氮、磷、钾肥用量；图下汇总氮肥、磷肥、钾肥累计用量及数据更新日期（由后端地块施肥记录接口汇总）。底部为固定导航，可在首页、识别、作业、设备、策略、无人机与AI等模块间切换。</w:t>
      </w:r>
    </w:p>
    <w:p w14:paraId="094711AB">
      <w:pPr>
        <w:ind w:left="0" w:leftChars="0" w:firstLine="0" w:firstLineChars="0"/>
        <w:rPr>
          <w:rFonts w:hint="default"/>
          <w:lang w:val="en-US" w:eastAsia="zh-CN"/>
        </w:rPr>
      </w:pPr>
    </w:p>
    <w:p w14:paraId="54A88E11">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26" name="图片 26" descr="9a4f659141aeec4c88639db419e6855f"/>
            <wp:cNvGraphicFramePr/>
            <a:graphic xmlns:a="http://schemas.openxmlformats.org/drawingml/2006/main">
              <a:graphicData uri="http://schemas.openxmlformats.org/drawingml/2006/picture">
                <pic:pic xmlns:pic="http://schemas.openxmlformats.org/drawingml/2006/picture">
                  <pic:nvPicPr>
                    <pic:cNvPr id="26" name="图片 26" descr="9a4f659141aeec4c88639db419e6855f"/>
                    <pic:cNvPicPr/>
                  </pic:nvPicPr>
                  <pic:blipFill>
                    <a:blip r:embed="rId218"/>
                    <a:srcRect t="4742" b="2030"/>
                    <a:stretch>
                      <a:fillRect/>
                    </a:stretch>
                  </pic:blipFill>
                  <pic:spPr>
                    <a:xfrm>
                      <a:off x="0" y="0"/>
                      <a:ext cx="2606675" cy="5115560"/>
                    </a:xfrm>
                    <a:prstGeom prst="rect">
                      <a:avLst/>
                    </a:prstGeom>
                  </pic:spPr>
                </pic:pic>
              </a:graphicData>
            </a:graphic>
          </wp:inline>
        </w:drawing>
      </w:r>
    </w:p>
    <w:p w14:paraId="19114735">
      <w:pPr>
        <w:ind w:left="0" w:leftChars="0" w:firstLine="0" w:firstLineChars="0"/>
        <w:jc w:val="center"/>
        <w:rPr>
          <w:rFonts w:hint="default"/>
          <w:lang w:val="en-US" w:eastAsia="zh-CN"/>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11</w:t>
      </w:r>
      <w:r>
        <w:rPr>
          <w:rFonts w:hint="eastAsia"/>
          <w:sz w:val="18"/>
          <w:szCs w:val="18"/>
        </w:rPr>
        <w:t xml:space="preserve"> </w:t>
      </w:r>
      <w:r>
        <w:rPr>
          <w:rFonts w:hint="eastAsia"/>
          <w:sz w:val="18"/>
          <w:szCs w:val="18"/>
          <w:lang w:val="en-US" w:eastAsia="zh-CN"/>
        </w:rPr>
        <w:t>APP 首</w:t>
      </w:r>
      <w:r>
        <w:rPr>
          <w:rFonts w:hint="eastAsia"/>
          <w:sz w:val="18"/>
          <w:szCs w:val="18"/>
        </w:rPr>
        <w:t>页</w:t>
      </w:r>
    </w:p>
    <w:p w14:paraId="1650D63A">
      <w:pPr>
        <w:pStyle w:val="5"/>
        <w:rPr>
          <w:rFonts w:hint="eastAsia" w:ascii="黑体" w:hAnsi="黑体"/>
          <w:lang w:val="en-US" w:eastAsia="zh-CN"/>
        </w:rPr>
      </w:pPr>
      <w:bookmarkStart w:id="81" w:name="_Toc23135"/>
      <w:r>
        <w:rPr>
          <w:rFonts w:ascii="黑体" w:hAnsi="黑体"/>
        </w:rPr>
        <w:t>4.</w:t>
      </w:r>
      <w:r>
        <w:rPr>
          <w:rFonts w:hint="eastAsia" w:ascii="黑体" w:hAnsi="黑体"/>
          <w:lang w:val="en-US" w:eastAsia="zh-CN"/>
        </w:rPr>
        <w:t>2</w:t>
      </w:r>
      <w:r>
        <w:rPr>
          <w:rFonts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缺素/病虫害识别页</w:t>
      </w:r>
      <w:bookmarkEnd w:id="81"/>
    </w:p>
    <w:p w14:paraId="66FF80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r>
        <w:rPr>
          <w:rFonts w:hint="default"/>
          <w:lang w:val="en-US" w:eastAsia="zh-CN" w:bidi="ar"/>
        </w:rPr>
        <w:t>识别页面集成“缺素识别中心 / 病虫害识别中心”双模式切换，支持按地块选择后进行拍照或相册上传识别；页面中部展示待识别/已识别图片，结果区返回如“缺磷”“白星病”等判定信息，并给出后续提示。其中缺素识别采用ResNet模型，病虫害识别采用YOLOv8检测模型：缺素结果可用于后续施肥建议，病虫害结果会自动关联生成对应农药记录，并且关联智能策略。</w:t>
      </w:r>
    </w:p>
    <w:p w14:paraId="58383ADE">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27" name="图片 27" descr="c704a6efa2f4a7bb9637387a4f492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704a6efa2f4a7bb9637387a4f4925cf"/>
                    <pic:cNvPicPr>
                      <a:picLocks noChangeAspect="1"/>
                    </pic:cNvPicPr>
                  </pic:nvPicPr>
                  <pic:blipFill>
                    <a:blip r:embed="rId219"/>
                    <a:srcRect t="4814" b="2253"/>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28" name="图片 28" descr="f13aa93e013c3ed9e39219b53214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13aa93e013c3ed9e39219b532144852"/>
                    <pic:cNvPicPr>
                      <a:picLocks noChangeAspect="1"/>
                    </pic:cNvPicPr>
                  </pic:nvPicPr>
                  <pic:blipFill>
                    <a:blip r:embed="rId220"/>
                    <a:srcRect t="5313" b="2135"/>
                    <a:stretch>
                      <a:fillRect/>
                    </a:stretch>
                  </pic:blipFill>
                  <pic:spPr>
                    <a:xfrm>
                      <a:off x="0" y="0"/>
                      <a:ext cx="2606675" cy="5115560"/>
                    </a:xfrm>
                    <a:prstGeom prst="rect">
                      <a:avLst/>
                    </a:prstGeom>
                  </pic:spPr>
                </pic:pic>
              </a:graphicData>
            </a:graphic>
          </wp:inline>
        </w:drawing>
      </w:r>
    </w:p>
    <w:p w14:paraId="3DF4E430">
      <w:pPr>
        <w:ind w:left="0" w:leftChars="0" w:firstLine="0" w:firstLineChars="0"/>
        <w:jc w:val="center"/>
        <w:rPr>
          <w:rFonts w:hint="default"/>
          <w:sz w:val="18"/>
          <w:szCs w:val="18"/>
          <w:lang w:val="en-US" w:eastAsia="zh-CN"/>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12</w:t>
      </w:r>
      <w:r>
        <w:rPr>
          <w:rFonts w:hint="eastAsia"/>
          <w:sz w:val="18"/>
          <w:szCs w:val="18"/>
        </w:rPr>
        <w:t xml:space="preserve"> </w:t>
      </w:r>
      <w:r>
        <w:rPr>
          <w:rFonts w:hint="eastAsia"/>
          <w:sz w:val="18"/>
          <w:szCs w:val="18"/>
          <w:lang w:val="en-US" w:eastAsia="zh-CN"/>
        </w:rPr>
        <w:t>APP 缺素识别/病虫害识别页</w:t>
      </w:r>
    </w:p>
    <w:p w14:paraId="639112DD">
      <w:pPr>
        <w:pStyle w:val="5"/>
        <w:rPr>
          <w:rFonts w:hint="eastAsia" w:ascii="黑体" w:hAnsi="黑体"/>
          <w:lang w:val="en-US" w:eastAsia="zh-CN"/>
        </w:rPr>
      </w:pPr>
      <w:bookmarkStart w:id="82" w:name="_Toc21428"/>
      <w:r>
        <w:rPr>
          <w:rFonts w:ascii="黑体" w:hAnsi="黑体"/>
        </w:rPr>
        <w:t>4.</w:t>
      </w:r>
      <w:r>
        <w:rPr>
          <w:rFonts w:hint="eastAsia" w:ascii="黑体" w:hAnsi="黑体"/>
          <w:lang w:val="en-US" w:eastAsia="zh-CN"/>
        </w:rPr>
        <w:t>2</w:t>
      </w:r>
      <w:r>
        <w:rPr>
          <w:rFonts w:ascii="黑体" w:hAnsi="黑体"/>
        </w:rPr>
        <w:t>.</w:t>
      </w:r>
      <w:r>
        <w:rPr>
          <w:rFonts w:hint="eastAsia" w:ascii="黑体" w:hAnsi="黑体"/>
          <w:lang w:val="en-US" w:eastAsia="zh-CN"/>
        </w:rPr>
        <w:t>4</w:t>
      </w:r>
      <w:r>
        <w:rPr>
          <w:rFonts w:ascii="黑体" w:hAnsi="黑体"/>
        </w:rPr>
        <w:t>.</w:t>
      </w:r>
      <w:r>
        <w:rPr>
          <w:rFonts w:hint="eastAsia" w:ascii="黑体" w:hAnsi="黑体"/>
          <w:lang w:val="en-US" w:eastAsia="zh-CN"/>
        </w:rPr>
        <w:t>作业记录页</w:t>
      </w:r>
      <w:bookmarkEnd w:id="82"/>
    </w:p>
    <w:p w14:paraId="36F728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r>
        <w:rPr>
          <w:rFonts w:hint="default"/>
          <w:lang w:val="en-US" w:eastAsia="zh-CN" w:bidi="ar"/>
        </w:rPr>
        <w:t>作业页面将施肥记录与农药记录整合在同一入口，顶部支持按地块切换并可新增地块；施肥模块提供“基本施肥记录/追肥记录”双标签查看，以卡片形式展示记录编号、时间、生长阶段（或追肥类型）及 N/P/K 用量、总量，并支持单条删除。系统结合多维信息，通过BP神经网络模型进行化肥/农药参数估算，点击“新建记录”后，基本施肥可按苗期、还苗期、伸根期、旺长期、成熟期创建；追肥记录则结合缺素识别结果自动生成。下方农药记录区展示病害类型、药剂名称、用量与兑水量，形成从识别结果到施肥/施药台账的闭环管理。</w:t>
      </w:r>
    </w:p>
    <w:p w14:paraId="5A8AA1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p>
    <w:p w14:paraId="1DE130B9">
      <w:pPr>
        <w:ind w:left="0" w:leftChars="0" w:firstLine="0" w:firstLineChars="0"/>
        <w:jc w:val="center"/>
        <w:rPr>
          <w:rFonts w:hint="default"/>
          <w:lang w:val="en-US" w:eastAsia="zh-CN"/>
        </w:rPr>
      </w:pPr>
    </w:p>
    <w:p w14:paraId="5D55F85D">
      <w:pPr>
        <w:ind w:left="0" w:leftChars="0" w:firstLine="0" w:firstLineChars="0"/>
        <w:jc w:val="center"/>
        <w:rPr>
          <w:rFonts w:hint="default"/>
          <w:lang w:val="en-US" w:eastAsia="zh-CN"/>
        </w:rPr>
      </w:pPr>
    </w:p>
    <w:p w14:paraId="24375A4A">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32" name="图片 32" descr="0b707b7ffdf4f85df883b04face8a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b707b7ffdf4f85df883b04face8aca5"/>
                    <pic:cNvPicPr>
                      <a:picLocks noChangeAspect="1"/>
                    </pic:cNvPicPr>
                  </pic:nvPicPr>
                  <pic:blipFill>
                    <a:blip r:embed="rId221"/>
                    <a:srcRect t="4764" b="2080"/>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41" name="图片 41" descr="3b71238e960d7afaa4855aca0031a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b71238e960d7afaa4855aca0031ab3c"/>
                    <pic:cNvPicPr>
                      <a:picLocks noChangeAspect="1"/>
                    </pic:cNvPicPr>
                  </pic:nvPicPr>
                  <pic:blipFill>
                    <a:blip r:embed="rId222"/>
                    <a:srcRect t="4799" b="2066"/>
                    <a:stretch>
                      <a:fillRect/>
                    </a:stretch>
                  </pic:blipFill>
                  <pic:spPr>
                    <a:xfrm>
                      <a:off x="0" y="0"/>
                      <a:ext cx="2606675" cy="5115560"/>
                    </a:xfrm>
                    <a:prstGeom prst="rect">
                      <a:avLst/>
                    </a:prstGeom>
                  </pic:spPr>
                </pic:pic>
              </a:graphicData>
            </a:graphic>
          </wp:inline>
        </w:drawing>
      </w:r>
    </w:p>
    <w:p w14:paraId="15EE6E7E">
      <w:pPr>
        <w:ind w:left="0" w:leftChars="0" w:firstLine="0" w:firstLineChars="0"/>
        <w:jc w:val="center"/>
        <w:rPr>
          <w:rFonts w:hint="eastAsia"/>
          <w:sz w:val="18"/>
          <w:szCs w:val="18"/>
          <w:lang w:val="en-US" w:eastAsia="zh-CN"/>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13</w:t>
      </w:r>
      <w:r>
        <w:rPr>
          <w:rFonts w:hint="eastAsia"/>
          <w:sz w:val="18"/>
          <w:szCs w:val="18"/>
        </w:rPr>
        <w:t xml:space="preserve"> </w:t>
      </w:r>
      <w:r>
        <w:rPr>
          <w:rFonts w:hint="eastAsia"/>
          <w:sz w:val="18"/>
          <w:szCs w:val="18"/>
          <w:lang w:val="en-US" w:eastAsia="zh-CN"/>
        </w:rPr>
        <w:t>APP 化肥/农药作业页</w:t>
      </w:r>
    </w:p>
    <w:p w14:paraId="5E029FF4">
      <w:pPr>
        <w:pStyle w:val="5"/>
        <w:rPr>
          <w:rFonts w:hint="eastAsia" w:ascii="黑体" w:hAnsi="黑体"/>
          <w:lang w:val="en-US" w:eastAsia="zh-CN"/>
        </w:rPr>
      </w:pPr>
      <w:bookmarkStart w:id="83" w:name="_Toc30522"/>
      <w:r>
        <w:rPr>
          <w:rFonts w:ascii="黑体" w:hAnsi="黑体"/>
        </w:rPr>
        <w:t>4.</w:t>
      </w:r>
      <w:r>
        <w:rPr>
          <w:rFonts w:hint="eastAsia" w:ascii="黑体" w:hAnsi="黑体"/>
          <w:lang w:val="en-US" w:eastAsia="zh-CN"/>
        </w:rPr>
        <w:t>2</w:t>
      </w:r>
      <w:r>
        <w:rPr>
          <w:rFonts w:ascii="黑体" w:hAnsi="黑体"/>
        </w:rPr>
        <w:t>.</w:t>
      </w:r>
      <w:r>
        <w:rPr>
          <w:rFonts w:hint="eastAsia" w:ascii="黑体" w:hAnsi="黑体"/>
          <w:lang w:val="en-US" w:eastAsia="zh-CN"/>
        </w:rPr>
        <w:t>5</w:t>
      </w:r>
      <w:r>
        <w:rPr>
          <w:rFonts w:ascii="黑体" w:hAnsi="黑体"/>
        </w:rPr>
        <w:t>.</w:t>
      </w:r>
      <w:r>
        <w:rPr>
          <w:rFonts w:hint="eastAsia" w:ascii="黑体" w:hAnsi="黑体"/>
          <w:lang w:val="en-US" w:eastAsia="zh-CN"/>
        </w:rPr>
        <w:t>设备管理页</w:t>
      </w:r>
      <w:bookmarkEnd w:id="83"/>
    </w:p>
    <w:p w14:paraId="57C00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r>
        <w:rPr>
          <w:rFonts w:hint="default"/>
          <w:lang w:val="en-US" w:eastAsia="zh-CN" w:bidi="ar"/>
        </w:rPr>
        <w:t>设备页面支持“全部地块/单个地块”两种查看模式：可按地块筛选后实时查看土壤湿度、空气温度与空气湿度等环境指标；设备区提供设备在线状态、所属地块与类型展示，并支持新建设备、修改、删除及在线/离线切换。页面通过设备接口与地块接口联动，实现农田传感器、执行器和无人机的统一接入与运维管理。</w:t>
      </w:r>
    </w:p>
    <w:p w14:paraId="1229EB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p>
    <w:p w14:paraId="7F0861F3">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3" name="图片 43" descr="2ffc0386c8f4aaced186a1e86da4d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ffc0386c8f4aaced186a1e86da4d461"/>
                    <pic:cNvPicPr>
                      <a:picLocks noChangeAspect="1"/>
                    </pic:cNvPicPr>
                  </pic:nvPicPr>
                  <pic:blipFill>
                    <a:blip r:embed="rId223"/>
                    <a:srcRect t="4957" b="2080"/>
                    <a:stretch>
                      <a:fillRect/>
                    </a:stretch>
                  </pic:blipFill>
                  <pic:spPr>
                    <a:xfrm>
                      <a:off x="0" y="0"/>
                      <a:ext cx="2606675" cy="5115560"/>
                    </a:xfrm>
                    <a:prstGeom prst="rect">
                      <a:avLst/>
                    </a:prstGeom>
                  </pic:spPr>
                </pic:pic>
              </a:graphicData>
            </a:graphic>
          </wp:inline>
        </w:drawing>
      </w:r>
    </w:p>
    <w:p w14:paraId="434B2ED8">
      <w:pPr>
        <w:ind w:left="0" w:leftChars="0" w:firstLine="0" w:firstLineChars="0"/>
        <w:jc w:val="center"/>
        <w:rPr>
          <w:rFonts w:hint="eastAsia"/>
          <w:sz w:val="18"/>
          <w:szCs w:val="18"/>
          <w:lang w:val="en-US" w:eastAsia="zh-CN"/>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14</w:t>
      </w:r>
      <w:r>
        <w:rPr>
          <w:rFonts w:hint="eastAsia"/>
          <w:sz w:val="18"/>
          <w:szCs w:val="18"/>
        </w:rPr>
        <w:t xml:space="preserve"> </w:t>
      </w:r>
      <w:r>
        <w:rPr>
          <w:rFonts w:hint="eastAsia"/>
          <w:sz w:val="18"/>
          <w:szCs w:val="18"/>
          <w:lang w:val="en-US" w:eastAsia="zh-CN"/>
        </w:rPr>
        <w:t>APP 设备管理页</w:t>
      </w:r>
    </w:p>
    <w:p w14:paraId="31749A89">
      <w:pPr>
        <w:pStyle w:val="5"/>
        <w:rPr>
          <w:rFonts w:hint="eastAsia" w:ascii="黑体" w:hAnsi="黑体"/>
          <w:lang w:val="en-US" w:eastAsia="zh-CN"/>
        </w:rPr>
      </w:pPr>
      <w:bookmarkStart w:id="84" w:name="_Toc22858"/>
      <w:r>
        <w:rPr>
          <w:rFonts w:ascii="黑体" w:hAnsi="黑体"/>
        </w:rPr>
        <w:t>4.</w:t>
      </w:r>
      <w:r>
        <w:rPr>
          <w:rFonts w:hint="eastAsia" w:ascii="黑体" w:hAnsi="黑体"/>
          <w:lang w:val="en-US" w:eastAsia="zh-CN"/>
        </w:rPr>
        <w:t>2</w:t>
      </w:r>
      <w:r>
        <w:rPr>
          <w:rFonts w:ascii="黑体" w:hAnsi="黑体"/>
        </w:rPr>
        <w:t>.</w:t>
      </w:r>
      <w:r>
        <w:rPr>
          <w:rFonts w:hint="eastAsia" w:ascii="黑体" w:hAnsi="黑体"/>
          <w:lang w:val="en-US" w:eastAsia="zh-CN"/>
        </w:rPr>
        <w:t>6</w:t>
      </w:r>
      <w:r>
        <w:rPr>
          <w:rFonts w:ascii="黑体" w:hAnsi="黑体"/>
        </w:rPr>
        <w:t>.</w:t>
      </w:r>
      <w:r>
        <w:rPr>
          <w:rFonts w:hint="eastAsia" w:ascii="黑体" w:hAnsi="黑体"/>
          <w:lang w:val="en-US" w:eastAsia="zh-CN"/>
        </w:rPr>
        <w:t>智能策略页</w:t>
      </w:r>
      <w:bookmarkEnd w:id="84"/>
    </w:p>
    <w:p w14:paraId="7D9755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r>
        <w:rPr>
          <w:rFonts w:hint="default"/>
          <w:lang w:val="en-US" w:eastAsia="zh-CN" w:bidi="ar"/>
        </w:rPr>
        <w:t>策略页面围绕地块提供“智能施肥方案/智能施药方案”切换：先选择地块，再按该地块面积自动换算推荐总用量，并结合识别结果中的缺素类型、病害类型动态筛选可执行方案。施肥方案卡片展示肥料名称、总用量、施用时期与注意事项；施药方案卡片展示防治对象、建议用量、施药时期与安全提示。底部提供“无人机路径规划”快捷入口，实现从策略生成到作业执行的联动闭环。</w:t>
      </w:r>
    </w:p>
    <w:p w14:paraId="5E057E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p>
    <w:p w14:paraId="0C7FA2EF">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4" name="图片 44" descr="92e1cb9e12e0e4d6fc7082b2aab5d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2e1cb9e12e0e4d6fc7082b2aab5d800"/>
                    <pic:cNvPicPr>
                      <a:picLocks noChangeAspect="1"/>
                    </pic:cNvPicPr>
                  </pic:nvPicPr>
                  <pic:blipFill>
                    <a:blip r:embed="rId224"/>
                    <a:srcRect t="4620" b="2152"/>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45" name="图片 45" descr="edecdec924cdbe619fd769c9bf36e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decdec924cdbe619fd769c9bf36ea86"/>
                    <pic:cNvPicPr>
                      <a:picLocks noChangeAspect="1"/>
                    </pic:cNvPicPr>
                  </pic:nvPicPr>
                  <pic:blipFill>
                    <a:blip r:embed="rId225"/>
                    <a:srcRect t="4886" b="2360"/>
                    <a:stretch>
                      <a:fillRect/>
                    </a:stretch>
                  </pic:blipFill>
                  <pic:spPr>
                    <a:xfrm>
                      <a:off x="0" y="0"/>
                      <a:ext cx="2606675" cy="5115560"/>
                    </a:xfrm>
                    <a:prstGeom prst="rect">
                      <a:avLst/>
                    </a:prstGeom>
                  </pic:spPr>
                </pic:pic>
              </a:graphicData>
            </a:graphic>
          </wp:inline>
        </w:drawing>
      </w:r>
    </w:p>
    <w:p w14:paraId="571B22A9">
      <w:pPr>
        <w:ind w:left="0" w:leftChars="0" w:firstLine="0" w:firstLineChars="0"/>
        <w:jc w:val="center"/>
        <w:rPr>
          <w:rFonts w:hint="default"/>
          <w:lang w:val="en-US" w:eastAsia="zh-CN"/>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15</w:t>
      </w:r>
      <w:r>
        <w:rPr>
          <w:rFonts w:hint="eastAsia"/>
          <w:sz w:val="18"/>
          <w:szCs w:val="18"/>
        </w:rPr>
        <w:t xml:space="preserve"> </w:t>
      </w:r>
      <w:r>
        <w:rPr>
          <w:rFonts w:hint="eastAsia"/>
          <w:sz w:val="18"/>
          <w:szCs w:val="18"/>
          <w:lang w:val="en-US" w:eastAsia="zh-CN"/>
        </w:rPr>
        <w:t>APP 智能策略页</w:t>
      </w:r>
    </w:p>
    <w:p w14:paraId="41DE56FA">
      <w:pPr>
        <w:pStyle w:val="5"/>
        <w:rPr>
          <w:rFonts w:hint="eastAsia" w:ascii="黑体" w:hAnsi="黑体"/>
          <w:lang w:val="en-US" w:eastAsia="zh-CN"/>
        </w:rPr>
      </w:pPr>
      <w:bookmarkStart w:id="85" w:name="_Toc7079"/>
      <w:r>
        <w:rPr>
          <w:rFonts w:ascii="黑体" w:hAnsi="黑体"/>
        </w:rPr>
        <w:t>4.</w:t>
      </w:r>
      <w:r>
        <w:rPr>
          <w:rFonts w:hint="eastAsia" w:ascii="黑体" w:hAnsi="黑体"/>
          <w:lang w:val="en-US" w:eastAsia="zh-CN"/>
        </w:rPr>
        <w:t>2</w:t>
      </w:r>
      <w:r>
        <w:rPr>
          <w:rFonts w:ascii="黑体" w:hAnsi="黑体"/>
        </w:rPr>
        <w:t>.</w:t>
      </w:r>
      <w:r>
        <w:rPr>
          <w:rFonts w:hint="eastAsia" w:ascii="黑体" w:hAnsi="黑体"/>
          <w:lang w:val="en-US" w:eastAsia="zh-CN"/>
        </w:rPr>
        <w:t>7</w:t>
      </w:r>
      <w:r>
        <w:rPr>
          <w:rFonts w:ascii="黑体" w:hAnsi="黑体"/>
        </w:rPr>
        <w:t>.</w:t>
      </w:r>
      <w:r>
        <w:rPr>
          <w:rFonts w:hint="eastAsia" w:ascii="黑体" w:hAnsi="黑体"/>
          <w:lang w:val="en-US" w:eastAsia="zh-CN"/>
        </w:rPr>
        <w:t>无人机路径规划页</w:t>
      </w:r>
      <w:bookmarkEnd w:id="85"/>
    </w:p>
    <w:p w14:paraId="09F165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r>
        <w:rPr>
          <w:rFonts w:hint="default"/>
          <w:lang w:val="en-US" w:eastAsia="zh-CN" w:bidi="ar"/>
        </w:rPr>
        <w:t>无人机路径规划页面以卫星地图为底图展示作业地块边界，点击“显示航迹”后可自动生成覆盖式飞行路径并动态绘制。页面基于地块多边形离散网格，结合蛇形遍历与改进A*路径搜索完成航迹连通，生成兼顾覆盖率与连续性的喷洒路线；同时保留比例尺与全屏地图视图，便于直接用于后续飞防执行与作业复核。</w:t>
      </w:r>
    </w:p>
    <w:p w14:paraId="111A42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p>
    <w:p w14:paraId="2A24E850">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6" name="图片 46" descr="ae904b7c63eabf7d0128a01b32df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e904b7c63eabf7d0128a01b32dfdcf3"/>
                    <pic:cNvPicPr>
                      <a:picLocks noChangeAspect="1"/>
                    </pic:cNvPicPr>
                  </pic:nvPicPr>
                  <pic:blipFill>
                    <a:blip r:embed="rId226"/>
                    <a:srcRect t="4814" b="2289"/>
                    <a:stretch>
                      <a:fillRect/>
                    </a:stretch>
                  </pic:blipFill>
                  <pic:spPr>
                    <a:xfrm>
                      <a:off x="0" y="0"/>
                      <a:ext cx="2606675" cy="5115560"/>
                    </a:xfrm>
                    <a:prstGeom prst="rect">
                      <a:avLst/>
                    </a:prstGeom>
                  </pic:spPr>
                </pic:pic>
              </a:graphicData>
            </a:graphic>
          </wp:inline>
        </w:drawing>
      </w:r>
    </w:p>
    <w:p w14:paraId="24B5D730">
      <w:pPr>
        <w:ind w:left="0" w:leftChars="0" w:firstLine="0" w:firstLineChars="0"/>
        <w:jc w:val="center"/>
        <w:rPr>
          <w:rFonts w:hint="eastAsia"/>
          <w:sz w:val="18"/>
          <w:szCs w:val="18"/>
          <w:lang w:val="en-US" w:eastAsia="zh-CN"/>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16</w:t>
      </w:r>
      <w:r>
        <w:rPr>
          <w:rFonts w:hint="eastAsia"/>
          <w:sz w:val="18"/>
          <w:szCs w:val="18"/>
        </w:rPr>
        <w:t xml:space="preserve"> </w:t>
      </w:r>
      <w:r>
        <w:rPr>
          <w:rFonts w:hint="eastAsia"/>
          <w:sz w:val="18"/>
          <w:szCs w:val="18"/>
          <w:lang w:val="en-US" w:eastAsia="zh-CN"/>
        </w:rPr>
        <w:t>APP 无人机路径规划页</w:t>
      </w:r>
    </w:p>
    <w:p w14:paraId="05460F92">
      <w:pPr>
        <w:pStyle w:val="5"/>
        <w:rPr>
          <w:rFonts w:hint="eastAsia" w:ascii="黑体" w:hAnsi="黑体"/>
          <w:lang w:val="en-US" w:eastAsia="zh-CN"/>
        </w:rPr>
      </w:pPr>
      <w:bookmarkStart w:id="86" w:name="_Toc28567"/>
      <w:r>
        <w:rPr>
          <w:rFonts w:ascii="黑体" w:hAnsi="黑体"/>
        </w:rPr>
        <w:t>4.</w:t>
      </w:r>
      <w:r>
        <w:rPr>
          <w:rFonts w:hint="eastAsia" w:ascii="黑体" w:hAnsi="黑体"/>
          <w:lang w:val="en-US" w:eastAsia="zh-CN"/>
        </w:rPr>
        <w:t>2</w:t>
      </w:r>
      <w:r>
        <w:rPr>
          <w:rFonts w:ascii="黑体" w:hAnsi="黑体"/>
        </w:rPr>
        <w:t>.</w:t>
      </w:r>
      <w:r>
        <w:rPr>
          <w:rFonts w:hint="eastAsia" w:ascii="黑体" w:hAnsi="黑体"/>
          <w:lang w:val="en-US" w:eastAsia="zh-CN"/>
        </w:rPr>
        <w:t>8</w:t>
      </w:r>
      <w:r>
        <w:rPr>
          <w:rFonts w:ascii="黑体" w:hAnsi="黑体"/>
        </w:rPr>
        <w:t>.</w:t>
      </w:r>
      <w:r>
        <w:rPr>
          <w:rFonts w:hint="eastAsia" w:ascii="黑体" w:hAnsi="黑体"/>
          <w:lang w:val="en-US" w:eastAsia="zh-CN"/>
        </w:rPr>
        <w:t>AI咨询页</w:t>
      </w:r>
      <w:bookmarkEnd w:id="86"/>
    </w:p>
    <w:p w14:paraId="0CCF4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r>
        <w:rPr>
          <w:rFonts w:hint="default"/>
          <w:lang w:val="en-US" w:eastAsia="zh-CN" w:bidi="ar"/>
        </w:rPr>
        <w:t>AI咨询页采用对话式交互，顶部展示助手身份，中部聊天区支持示例问题一键提问与多轮问答，底部输入框可手动提交施肥、病虫害、田间管理等问题。页面前端将问题发送到后端接口并实时回复，内置加载状态、超时与异常提示机制，确保在移动端也能稳定完成农业知识咨询与决策辅助。</w:t>
      </w:r>
    </w:p>
    <w:p w14:paraId="57B4F7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bidi="ar"/>
        </w:rPr>
      </w:pPr>
    </w:p>
    <w:p w14:paraId="3F07F011">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7" name="图片 47" descr="e54bf768a4ebeb3225ba9a1c52224586"/>
            <wp:cNvGraphicFramePr/>
            <a:graphic xmlns:a="http://schemas.openxmlformats.org/drawingml/2006/main">
              <a:graphicData uri="http://schemas.openxmlformats.org/drawingml/2006/picture">
                <pic:pic xmlns:pic="http://schemas.openxmlformats.org/drawingml/2006/picture">
                  <pic:nvPicPr>
                    <pic:cNvPr id="47" name="图片 47" descr="e54bf768a4ebeb3225ba9a1c52224586"/>
                    <pic:cNvPicPr/>
                  </pic:nvPicPr>
                  <pic:blipFill>
                    <a:blip r:embed="rId227"/>
                    <a:srcRect t="4792" b="2231"/>
                    <a:stretch>
                      <a:fillRect/>
                    </a:stretch>
                  </pic:blipFill>
                  <pic:spPr>
                    <a:xfrm>
                      <a:off x="0" y="0"/>
                      <a:ext cx="2606675" cy="5115560"/>
                    </a:xfrm>
                    <a:prstGeom prst="rect">
                      <a:avLst/>
                    </a:prstGeom>
                  </pic:spPr>
                </pic:pic>
              </a:graphicData>
            </a:graphic>
          </wp:inline>
        </w:drawing>
      </w:r>
    </w:p>
    <w:p w14:paraId="325B5E8A">
      <w:pPr>
        <w:ind w:left="0" w:leftChars="0" w:firstLine="0" w:firstLineChars="0"/>
        <w:jc w:val="center"/>
        <w:rPr>
          <w:rFonts w:hint="default"/>
          <w:lang w:val="en-US" w:eastAsia="zh-CN"/>
        </w:rPr>
      </w:pPr>
      <w:r>
        <w:rPr>
          <w:rFonts w:hint="eastAsia"/>
          <w:sz w:val="18"/>
          <w:szCs w:val="18"/>
        </w:rPr>
        <w:t>图</w:t>
      </w:r>
      <w:r>
        <w:rPr>
          <w:rFonts w:hint="eastAsia"/>
          <w:sz w:val="18"/>
          <w:szCs w:val="18"/>
          <w:lang w:val="en-US" w:eastAsia="zh-CN"/>
        </w:rPr>
        <w:t>4</w:t>
      </w:r>
      <w:r>
        <w:rPr>
          <w:rFonts w:hint="eastAsia"/>
          <w:sz w:val="18"/>
          <w:szCs w:val="18"/>
        </w:rPr>
        <w:t>.</w:t>
      </w:r>
      <w:r>
        <w:rPr>
          <w:rFonts w:hint="eastAsia"/>
          <w:sz w:val="18"/>
          <w:szCs w:val="18"/>
          <w:lang w:val="en-US" w:eastAsia="zh-CN"/>
        </w:rPr>
        <w:t>17</w:t>
      </w:r>
      <w:r>
        <w:rPr>
          <w:rFonts w:hint="eastAsia"/>
          <w:sz w:val="18"/>
          <w:szCs w:val="18"/>
        </w:rPr>
        <w:t xml:space="preserve"> </w:t>
      </w:r>
      <w:r>
        <w:rPr>
          <w:rFonts w:hint="eastAsia"/>
          <w:sz w:val="18"/>
          <w:szCs w:val="18"/>
          <w:lang w:val="en-US" w:eastAsia="zh-CN"/>
        </w:rPr>
        <w:t>APP AI咨询页</w:t>
      </w:r>
    </w:p>
    <w:p w14:paraId="0D69097E">
      <w:pPr>
        <w:rPr>
          <w:rFonts w:hint="eastAsia"/>
          <w:i/>
          <w:iCs/>
        </w:rPr>
      </w:pPr>
    </w:p>
    <w:p w14:paraId="71E2808A">
      <w:pPr>
        <w:rPr>
          <w:rFonts w:hint="eastAsia"/>
          <w:i/>
          <w:iCs/>
        </w:rPr>
      </w:pPr>
    </w:p>
    <w:p w14:paraId="1FF6366B">
      <w:pPr>
        <w:pStyle w:val="14"/>
        <w:numPr>
          <w:ilvl w:val="0"/>
          <w:numId w:val="1"/>
        </w:numPr>
        <w:ind w:firstLineChars="0"/>
        <w:rPr>
          <w:sz w:val="40"/>
          <w:szCs w:val="40"/>
        </w:rPr>
      </w:pPr>
      <w:r>
        <w:rPr>
          <w:rFonts w:hint="eastAsia"/>
          <w:sz w:val="40"/>
          <w:szCs w:val="40"/>
        </w:rPr>
        <w:t>创新与特色</w:t>
      </w:r>
    </w:p>
    <w:p w14:paraId="0F293533">
      <w:pPr>
        <w:pStyle w:val="4"/>
        <w:rPr>
          <w:rFonts w:hint="eastAsia"/>
        </w:rPr>
      </w:pPr>
      <w:bookmarkStart w:id="87" w:name="_Toc1306"/>
      <w:r>
        <w:rPr>
          <w:rFonts w:hint="eastAsia" w:ascii="黑体" w:hAnsi="黑体"/>
        </w:rPr>
        <w:t>5.1.</w:t>
      </w:r>
      <w:r>
        <w:rPr>
          <w:rFonts w:hint="eastAsia"/>
        </w:rPr>
        <w:t xml:space="preserve"> </w:t>
      </w:r>
      <w:r>
        <w:t>全覆盖路径规划与地形自适应算法</w:t>
      </w:r>
      <w:bookmarkEnd w:id="87"/>
    </w:p>
    <w:p w14:paraId="6F802A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在传统A*算法基础上，增加动态避障机制和多目标优化策略，在坡度</w:t>
      </w:r>
      <w:r>
        <w:rPr>
          <w:rFonts w:hint="eastAsia"/>
          <w:lang w:bidi="ar"/>
        </w:rPr>
        <w:t>&gt;</w:t>
      </w:r>
      <w:r>
        <w:rPr>
          <w:lang w:bidi="ar"/>
        </w:rPr>
        <w:t>25°的梯田场景下通过Gazebo仿真验证，路径规划通过率100%，日均作业面积达200亩，较人工效率提升40倍。</w:t>
      </w:r>
    </w:p>
    <w:p w14:paraId="436B6E16">
      <w:pPr>
        <w:widowControl/>
        <w:ind w:firstLine="480"/>
        <w:jc w:val="center"/>
      </w:pPr>
      <w:r>
        <w:rPr>
          <w:rFonts w:hint="eastAsia"/>
        </w:rPr>
        <w:drawing>
          <wp:inline distT="0" distB="0" distL="114300" distR="114300">
            <wp:extent cx="2389505" cy="4039870"/>
            <wp:effectExtent l="0" t="0" r="3175" b="13970"/>
            <wp:docPr id="21" name="图片 21"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背景"/>
                    <pic:cNvPicPr>
                      <a:picLocks noChangeAspect="1"/>
                    </pic:cNvPicPr>
                  </pic:nvPicPr>
                  <pic:blipFill>
                    <a:blip r:embed="rId228"/>
                    <a:stretch>
                      <a:fillRect/>
                    </a:stretch>
                  </pic:blipFill>
                  <pic:spPr>
                    <a:xfrm>
                      <a:off x="0" y="0"/>
                      <a:ext cx="2389505" cy="4039870"/>
                    </a:xfrm>
                    <a:prstGeom prst="rect">
                      <a:avLst/>
                    </a:prstGeom>
                  </pic:spPr>
                </pic:pic>
              </a:graphicData>
            </a:graphic>
          </wp:inline>
        </w:drawing>
      </w:r>
    </w:p>
    <w:p w14:paraId="45206925">
      <w:pPr>
        <w:widowControl/>
        <w:ind w:firstLine="360"/>
        <w:jc w:val="center"/>
        <w:rPr>
          <w:sz w:val="18"/>
          <w:szCs w:val="18"/>
        </w:rPr>
      </w:pPr>
      <w:r>
        <w:rPr>
          <w:rFonts w:hint="eastAsia"/>
          <w:sz w:val="18"/>
          <w:szCs w:val="18"/>
        </w:rPr>
        <w:t>图5.1 传统A*算法流程图</w:t>
      </w:r>
    </w:p>
    <w:p w14:paraId="6556A7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改进后的A</w:t>
      </w:r>
      <w:r>
        <w:rPr>
          <w:rFonts w:hint="eastAsia"/>
          <w:lang w:bidi="ar"/>
        </w:rPr>
        <w:t>*</w:t>
      </w:r>
      <w:r>
        <w:rPr>
          <w:lang w:bidi="ar"/>
        </w:rPr>
        <w:t>算法在传统算法基础上引入动态避障机制与地形自适应权重模型，显著提升了复杂地形下的路径规划效率与精准性。传统A</w:t>
      </w:r>
      <w:r>
        <w:rPr>
          <w:rFonts w:hint="eastAsia"/>
          <w:lang w:bidi="ar"/>
        </w:rPr>
        <w:t>*</w:t>
      </w:r>
      <w:r>
        <w:rPr>
          <w:lang w:bidi="ar"/>
        </w:rPr>
        <w:t>算法仅基于曼哈顿距离的启发函数</w:t>
      </w:r>
      <w:r>
        <w:rPr>
          <w:rFonts w:hint="eastAsia"/>
          <w:lang w:bidi="ar"/>
        </w:rPr>
        <w:t>：</w:t>
      </w:r>
    </w:p>
    <w:p w14:paraId="1DA400AD">
      <w:pPr>
        <w:widowControl/>
        <w:ind w:firstLine="480"/>
        <w:jc w:val="center"/>
        <w:rPr>
          <w:rFonts w:hint="eastAsia" w:ascii="宋体" w:hAnsi="宋体" w:cs="宋体"/>
          <w:kern w:val="0"/>
          <w:sz w:val="18"/>
          <w:szCs w:val="18"/>
          <w:lang w:bidi="ar"/>
        </w:rPr>
      </w:pPr>
      <w:r>
        <w:rPr>
          <w:rFonts w:ascii="宋体" w:hAnsi="宋体" w:cs="宋体"/>
          <w:kern w:val="0"/>
          <w:position w:val="-14"/>
          <w:lang w:bidi="ar"/>
        </w:rPr>
        <w:object>
          <v:shape id="_x0000_i1044" o:spt="75" type="#_x0000_t75" style="height:20.05pt;width:105.2pt;" o:ole="t" filled="f" o:preferrelative="t" stroked="f" coordsize="21600,21600">
            <v:path/>
            <v:fill on="f" focussize="0,0"/>
            <v:stroke on="f" joinstyle="miter"/>
            <v:imagedata r:id="rId230" o:title=""/>
            <o:lock v:ext="edit" aspectratio="t"/>
            <w10:wrap type="none"/>
            <w10:anchorlock/>
          </v:shape>
          <o:OLEObject Type="Embed" ProgID="Equation.KSEE3" ShapeID="_x0000_i1044" DrawAspect="Content" ObjectID="_1468075819" r:id="rId229">
            <o:LockedField>false</o:LockedField>
          </o:OLEObject>
        </w:object>
      </w:r>
    </w:p>
    <w:p w14:paraId="47412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进行节点扩展，在梯田、丘陵等不规则地块中易陷入局部最优（覆盖率仅80%）且无法实时避障（漏喷率25%）。改进后算法通过双启发函数优化</w:t>
      </w:r>
      <w:r>
        <w:rPr>
          <w:rFonts w:hint="eastAsia"/>
          <w:lang w:bidi="ar"/>
        </w:rPr>
        <w:t>：</w:t>
      </w:r>
    </w:p>
    <w:p w14:paraId="65384C75">
      <w:pPr>
        <w:widowControl/>
        <w:ind w:firstLine="480"/>
        <w:jc w:val="center"/>
        <w:rPr>
          <w:rFonts w:hint="eastAsia" w:ascii="宋体" w:hAnsi="宋体" w:cs="宋体"/>
          <w:kern w:val="0"/>
          <w:sz w:val="18"/>
          <w:szCs w:val="18"/>
          <w:lang w:bidi="ar"/>
        </w:rPr>
      </w:pPr>
      <w:r>
        <w:rPr>
          <w:rFonts w:ascii="宋体" w:hAnsi="宋体" w:cs="宋体"/>
          <w:kern w:val="0"/>
          <w:position w:val="-10"/>
          <w:lang w:bidi="ar"/>
        </w:rPr>
        <w:object>
          <v:shape id="_x0000_i1045" o:spt="75" type="#_x0000_t75" style="height:16.9pt;width:112.7pt;" o:ole="t" filled="f" o:preferrelative="t" stroked="f" coordsize="21600,21600">
            <v:path/>
            <v:fill on="f" focussize="0,0"/>
            <v:stroke on="f" joinstyle="miter"/>
            <v:imagedata r:id="rId232" o:title=""/>
            <o:lock v:ext="edit" aspectratio="t"/>
            <w10:wrap type="none"/>
            <w10:anchorlock/>
          </v:shape>
          <o:OLEObject Type="Embed" ProgID="Equation.KSEE3" ShapeID="_x0000_i1045" DrawAspect="Content" ObjectID="_1468075820" r:id="rId231">
            <o:LockedField>false</o:LockedField>
          </o:OLEObject>
        </w:object>
      </w:r>
    </w:p>
    <w:p w14:paraId="178F50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结合地形曲率权重</w:t>
      </w:r>
      <w:r>
        <w:rPr>
          <w:rFonts w:hint="eastAsia"/>
          <w:lang w:bidi="ar"/>
        </w:rPr>
        <w:t>：</w:t>
      </w:r>
    </w:p>
    <w:p w14:paraId="6538BA09">
      <w:pPr>
        <w:widowControl/>
        <w:ind w:firstLine="480"/>
        <w:jc w:val="center"/>
        <w:rPr>
          <w:rFonts w:hint="eastAsia" w:ascii="宋体" w:hAnsi="宋体" w:cs="宋体"/>
          <w:kern w:val="0"/>
          <w:sz w:val="18"/>
          <w:szCs w:val="18"/>
          <w:lang w:bidi="ar"/>
        </w:rPr>
      </w:pPr>
      <w:r>
        <w:rPr>
          <w:rFonts w:ascii="宋体" w:hAnsi="宋体" w:cs="宋体"/>
          <w:kern w:val="0"/>
          <w:position w:val="-10"/>
          <w:lang w:bidi="ar"/>
        </w:rPr>
        <w:object>
          <v:shape id="_x0000_i1046" o:spt="75" type="#_x0000_t75" style="height:16.9pt;width:142.75pt;" o:ole="t" filled="f" o:preferrelative="t" stroked="f" coordsize="21600,21600">
            <v:path/>
            <v:fill on="f" focussize="0,0"/>
            <v:stroke on="f" joinstyle="miter"/>
            <v:imagedata r:id="rId234" o:title=""/>
            <o:lock v:ext="edit" aspectratio="t"/>
            <w10:wrap type="none"/>
            <w10:anchorlock/>
          </v:shape>
          <o:OLEObject Type="Embed" ProgID="Equation.KSEE3" ShapeID="_x0000_i1046" DrawAspect="Content" ObjectID="_1468075821" r:id="rId233">
            <o:LockedField>false</o:LockedField>
          </o:OLEObject>
        </w:object>
      </w:r>
    </w:p>
    <w:p w14:paraId="57AA73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动态调整栅格通行成本：坡度&gt;25°时提升坡度权重（α从0.4增至0.7），障碍密集区（如梯田田埂）增加障碍密度权重（β从0.3增至0.6），确保路径规划更贴合实际地形。同时，通过LiDAR实时扫描前方5米障碍物，触发动态重规划，使通过率从80%提升至100%</w:t>
      </w:r>
      <w:r>
        <w:rPr>
          <w:rFonts w:hint="eastAsia"/>
          <w:lang w:bidi="ar"/>
        </w:rPr>
        <w:t>。</w:t>
      </w:r>
      <w:r>
        <w:rPr>
          <w:lang w:bidi="ar"/>
        </w:rPr>
        <w:t>漏喷率从25%降至2%，路径长度缩短18%，电池续航提升15%。此外，改进算法通过闭环反馈机制（喷洒覆盖率&lt;95%时触发局部补喷）实现精准作业，肥料利用率提升至43%，单位面积碳排放强度下降20%，契合《化肥减量增效工作方案》与《碳排放权交易管理暂行条例》的政策要求。改进后的A*算法不仅填补了传统方法在复杂场景下的技术空白，更为精准农业的规模化推广提供了高效、可靠的技术支撑</w:t>
      </w:r>
      <w:r>
        <w:rPr>
          <w:rFonts w:hint="eastAsia"/>
          <w:lang w:bidi="ar"/>
        </w:rPr>
        <w:t>。</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_Ref225504293 \r \h</w:instrText>
      </w:r>
      <w:r>
        <w:rPr>
          <w:vertAlign w:val="superscript"/>
          <w:lang w:bidi="ar"/>
        </w:rPr>
        <w:instrText xml:space="preserve">  \* MERGEFORMAT </w:instrText>
      </w:r>
      <w:r>
        <w:rPr>
          <w:vertAlign w:val="superscript"/>
          <w:lang w:bidi="ar"/>
        </w:rPr>
        <w:fldChar w:fldCharType="separate"/>
      </w:r>
      <w:r>
        <w:rPr>
          <w:vertAlign w:val="superscript"/>
          <w:lang w:bidi="ar"/>
        </w:rPr>
        <w:t>[</w:t>
      </w:r>
      <w:r>
        <w:rPr>
          <w:rFonts w:hint="eastAsia"/>
          <w:vertAlign w:val="superscript"/>
          <w:lang w:val="en-US" w:eastAsia="zh-CN" w:bidi="ar"/>
        </w:rPr>
        <w:t>8</w:t>
      </w:r>
      <w:r>
        <w:rPr>
          <w:vertAlign w:val="superscript"/>
          <w:lang w:bidi="ar"/>
        </w:rPr>
        <w:t>]</w:t>
      </w:r>
      <w:r>
        <w:rPr>
          <w:vertAlign w:val="superscript"/>
          <w:lang w:bidi="ar"/>
        </w:rPr>
        <w:fldChar w:fldCharType="end"/>
      </w:r>
    </w:p>
    <w:p w14:paraId="2F1C02D1">
      <w:pPr>
        <w:widowControl/>
        <w:ind w:firstLine="480"/>
        <w:jc w:val="center"/>
        <w:rPr>
          <w:rFonts w:eastAsia="仿宋"/>
        </w:rPr>
      </w:pPr>
      <w:r>
        <w:rPr>
          <w:rFonts w:hint="eastAsia" w:eastAsia="仿宋"/>
        </w:rPr>
        <w:drawing>
          <wp:inline distT="0" distB="0" distL="114300" distR="114300">
            <wp:extent cx="4014470" cy="5457190"/>
            <wp:effectExtent l="0" t="0" r="8890" b="13970"/>
            <wp:docPr id="17" name="图片 17" descr="未命名文件 (1) (1)-已去除(lightpdf.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命名文件 (1) (1)-已去除(lightpdf.cn)"/>
                    <pic:cNvPicPr>
                      <a:picLocks noChangeAspect="1"/>
                    </pic:cNvPicPr>
                  </pic:nvPicPr>
                  <pic:blipFill>
                    <a:blip r:embed="rId235"/>
                    <a:stretch>
                      <a:fillRect/>
                    </a:stretch>
                  </pic:blipFill>
                  <pic:spPr>
                    <a:xfrm>
                      <a:off x="0" y="0"/>
                      <a:ext cx="4014470" cy="5457190"/>
                    </a:xfrm>
                    <a:prstGeom prst="rect">
                      <a:avLst/>
                    </a:prstGeom>
                  </pic:spPr>
                </pic:pic>
              </a:graphicData>
            </a:graphic>
          </wp:inline>
        </w:drawing>
      </w:r>
    </w:p>
    <w:p w14:paraId="01920710">
      <w:pPr>
        <w:widowControl/>
        <w:ind w:firstLine="360"/>
        <w:jc w:val="center"/>
        <w:rPr>
          <w:sz w:val="18"/>
          <w:szCs w:val="18"/>
        </w:rPr>
      </w:pPr>
      <w:r>
        <w:rPr>
          <w:rFonts w:hint="eastAsia"/>
          <w:sz w:val="18"/>
          <w:szCs w:val="18"/>
        </w:rPr>
        <w:t>图5.2 改进后的A*算法</w:t>
      </w:r>
    </w:p>
    <w:p w14:paraId="7C4AA106">
      <w:pPr>
        <w:ind w:firstLine="480"/>
        <w:rPr>
          <w:lang w:bidi="ar"/>
        </w:rPr>
      </w:pPr>
      <w:r>
        <w:rPr>
          <w:rFonts w:hint="eastAsia"/>
          <w:lang w:bidi="ar"/>
        </w:rPr>
        <w:t>引入A*算法后，使得无人机能够在不规则边界及遇到障碍物时改变方向，使得路径规划的适应性更强，更灵活。</w:t>
      </w:r>
    </w:p>
    <w:p w14:paraId="79137737">
      <w:pPr>
        <w:widowControl/>
        <w:ind w:firstLine="480"/>
      </w:pPr>
      <w:r>
        <w:drawing>
          <wp:inline distT="0" distB="0" distL="114300" distR="114300">
            <wp:extent cx="4664710" cy="3087370"/>
            <wp:effectExtent l="0" t="0" r="13970" b="635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236"/>
                    <a:srcRect b="5150"/>
                    <a:stretch>
                      <a:fillRect/>
                    </a:stretch>
                  </pic:blipFill>
                  <pic:spPr>
                    <a:xfrm>
                      <a:off x="0" y="0"/>
                      <a:ext cx="4664710" cy="3087370"/>
                    </a:xfrm>
                    <a:prstGeom prst="rect">
                      <a:avLst/>
                    </a:prstGeom>
                    <a:noFill/>
                    <a:ln w="9525">
                      <a:noFill/>
                    </a:ln>
                  </pic:spPr>
                </pic:pic>
              </a:graphicData>
            </a:graphic>
          </wp:inline>
        </w:drawing>
      </w:r>
    </w:p>
    <w:p w14:paraId="549AC75C">
      <w:pPr>
        <w:widowControl/>
        <w:ind w:firstLine="360"/>
        <w:jc w:val="center"/>
        <w:rPr>
          <w:sz w:val="18"/>
          <w:szCs w:val="18"/>
        </w:rPr>
      </w:pPr>
      <w:r>
        <w:rPr>
          <w:rFonts w:hint="eastAsia"/>
          <w:sz w:val="18"/>
          <w:szCs w:val="18"/>
        </w:rPr>
        <w:t>图5.3 不规则图形全覆盖路径规划</w:t>
      </w:r>
    </w:p>
    <w:p w14:paraId="1320439B">
      <w:pPr>
        <w:pStyle w:val="4"/>
        <w:rPr>
          <w:rFonts w:hint="eastAsia" w:ascii="黑体" w:hAnsi="黑体"/>
        </w:rPr>
      </w:pPr>
      <w:bookmarkStart w:id="88" w:name="_Toc11885"/>
      <w:bookmarkStart w:id="89" w:name="_Toc26185"/>
      <w:r>
        <w:rPr>
          <w:rFonts w:hint="eastAsia" w:ascii="黑体" w:hAnsi="黑体"/>
        </w:rPr>
        <w:t xml:space="preserve">5.2. </w:t>
      </w:r>
      <w:r>
        <w:rPr>
          <w:rFonts w:ascii="黑体" w:hAnsi="黑体"/>
        </w:rPr>
        <w:t>多模态数据融合的缺素</w:t>
      </w:r>
      <w:r>
        <w:rPr>
          <w:rFonts w:hint="eastAsia" w:ascii="黑体" w:hAnsi="黑体"/>
        </w:rPr>
        <w:t>/病害</w:t>
      </w:r>
      <w:r>
        <w:rPr>
          <w:rFonts w:ascii="黑体" w:hAnsi="黑体"/>
        </w:rPr>
        <w:t>检测与分析</w:t>
      </w:r>
      <w:bookmarkEnd w:id="88"/>
      <w:bookmarkEnd w:id="89"/>
    </w:p>
    <w:p w14:paraId="5EDCD9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本系统面向烟草生产场景，采用RGB可见光与多光谱（400–1000 nm）等多源信息协同的缺素与病害分析方案，而非依赖单一图像模态。缺素侧以ResNet等深度网络对叶片表型特征进行编码，并结合多光谱反射率曲线反映的氮</w:t>
      </w:r>
      <w:r>
        <w:rPr>
          <w:rFonts w:hint="eastAsia"/>
          <w:lang w:bidi="ar"/>
        </w:rPr>
        <w:t>、</w:t>
      </w:r>
      <w:r>
        <w:rPr>
          <w:lang w:bidi="ar"/>
        </w:rPr>
        <w:t>磷</w:t>
      </w:r>
      <w:r>
        <w:rPr>
          <w:rFonts w:hint="eastAsia"/>
          <w:lang w:bidi="ar"/>
        </w:rPr>
        <w:t>、</w:t>
      </w:r>
      <w:r>
        <w:rPr>
          <w:lang w:bidi="ar"/>
        </w:rPr>
        <w:t>钾</w:t>
      </w:r>
      <w:r>
        <w:rPr>
          <w:rFonts w:hint="eastAsia"/>
          <w:lang w:bidi="ar"/>
        </w:rPr>
        <w:t>等</w:t>
      </w:r>
      <w:r>
        <w:rPr>
          <w:lang w:bidi="ar"/>
        </w:rPr>
        <w:t>相关吸收特征，通过特征级融合（如归一化后加权拼接或注意力加权）形成统一表征，再经分类头输出缺素类型；相较仅凭人眼或单张RGB判断，可将缺素类型由经验性的少数几类扩展到N、P、K、Ca、Mg、B等8类分级体系，并在验证集上达到约95%的识别准确率（相对传统人工约78%的水平，提升约21.8个百分点）。病害侧采用YOLOv8n轻量化检测框架，在RGB上完成目标级定位与分类，对烟草典型叶部问题（如白星病、黄叶病、烟青虫、叶厚病等）进行框级检出；在光照复杂或背景干扰较大时，可引入多光谱或环境因子作为模态补充与置信度校正，降低误检漏检。整体上，系统形成“ResNet缺素分类 + YOLOv8n病害检测+多模态融合增强鲁棒性”的链路，兼顾实例级病害区域与地块级缺素诊断，为后续施肥建议、施药记录与数据分析模块提供可解释的检测结果支撑。</w:t>
      </w:r>
    </w:p>
    <w:p w14:paraId="32D44D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双模态数据融合技术分析作物缺素与病害情况由两个阶段组成：</w:t>
      </w:r>
    </w:p>
    <w:p w14:paraId="424414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第一阶段：双模态数据协同</w:t>
      </w:r>
      <w:r>
        <w:rPr>
          <w:rFonts w:hint="eastAsia"/>
          <w:lang w:bidi="ar"/>
        </w:rPr>
        <w:t>：</w:t>
      </w:r>
      <w:r>
        <w:rPr>
          <w:lang w:bidi="ar"/>
        </w:rPr>
        <w:t>本系统通过集成RGB工业相机与400–1000 nm高光谱传感器，实现形态信息与生化信息的协同采集。RGB相机以约0.2 mm/像素级空间分辨率获取叶片表观特征（黄化面积、病斑形态、虫害取食痕迹等），覆盖HSV等色彩空间信息，便于刻画可见光下的纹理与边界；高光谱数据则解析与生理相关的敏感波段，例如叶绿素在680</w:t>
      </w:r>
      <w:r>
        <w:rPr>
          <w:rFonts w:hint="eastAsia"/>
          <w:lang w:bidi="ar"/>
        </w:rPr>
        <w:t xml:space="preserve"> </w:t>
      </w:r>
      <w:r>
        <w:rPr>
          <w:lang w:bidi="ar"/>
        </w:rPr>
        <w:t>nm附近的吸收特征，以及氮、磷、钾等元素相关的反射率差异（如磷营养状态在550nm一带常呈现可区分的反射特征）。通过时间同步触发、统一坐标系与几何配准，对同一视场完成双模态时空对齐，避免“图像与光谱不是同一叶片、同一时刻”导致的误判。相较于单一数据源：RGB侧重形态与纹理，高光谱侧重内部生化与胁迫早期信号；在叶片感兴趣区域（ROI）提取时，既可依据RGB的颜色与纹理勾画边界，又可结合高光谱叶绿素梯度、光谱角一致性等约束，提高病健交界、轻微黄化区的定位可靠性，为后续特征融合与双任务推理提供对齐良好的输入。</w:t>
      </w:r>
    </w:p>
    <w:p w14:paraId="1CBEC30A">
      <w:pPr>
        <w:widowControl/>
        <w:ind w:firstLine="0" w:firstLineChars="0"/>
        <w:rPr>
          <w:rFonts w:hint="eastAsia" w:ascii="仿宋" w:hAnsi="仿宋" w:eastAsia="仿宋" w:cs="仿宋"/>
        </w:rPr>
      </w:pPr>
      <w:r>
        <w:rPr>
          <w:rFonts w:hint="eastAsia" w:ascii="仿宋" w:hAnsi="仿宋" w:eastAsia="仿宋" w:cs="仿宋"/>
        </w:rPr>
        <w:drawing>
          <wp:inline distT="0" distB="0" distL="114300" distR="114300">
            <wp:extent cx="5271135" cy="2667000"/>
            <wp:effectExtent l="0" t="0" r="1905" b="0"/>
            <wp:docPr id="22" name="图片 22" descr="95b668c1539277281008b28cdbf7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5b668c1539277281008b28cdbf7c3c"/>
                    <pic:cNvPicPr>
                      <a:picLocks noChangeAspect="1"/>
                    </pic:cNvPicPr>
                  </pic:nvPicPr>
                  <pic:blipFill>
                    <a:blip r:embed="rId237"/>
                    <a:stretch>
                      <a:fillRect/>
                    </a:stretch>
                  </pic:blipFill>
                  <pic:spPr>
                    <a:xfrm>
                      <a:off x="0" y="0"/>
                      <a:ext cx="5271135" cy="2667000"/>
                    </a:xfrm>
                    <a:prstGeom prst="rect">
                      <a:avLst/>
                    </a:prstGeom>
                  </pic:spPr>
                </pic:pic>
              </a:graphicData>
            </a:graphic>
          </wp:inline>
        </w:drawing>
      </w:r>
    </w:p>
    <w:p w14:paraId="73CAC0A7">
      <w:pPr>
        <w:widowControl/>
        <w:ind w:firstLine="360"/>
        <w:jc w:val="center"/>
        <w:rPr>
          <w:rFonts w:hint="eastAsia" w:ascii="宋体" w:hAnsi="宋体" w:cs="仿宋"/>
        </w:rPr>
      </w:pPr>
      <w:r>
        <w:rPr>
          <w:rFonts w:ascii="宋体" w:hAnsi="宋体"/>
          <w:sz w:val="18"/>
          <w:szCs w:val="18"/>
        </w:rPr>
        <w:t>图</w:t>
      </w:r>
      <w:r>
        <w:rPr>
          <w:rFonts w:hint="eastAsia" w:ascii="宋体" w:hAnsi="宋体"/>
          <w:sz w:val="18"/>
          <w:szCs w:val="18"/>
        </w:rPr>
        <w:t>5.4</w:t>
      </w:r>
      <w:r>
        <w:rPr>
          <w:rFonts w:ascii="宋体" w:hAnsi="宋体"/>
          <w:sz w:val="18"/>
          <w:szCs w:val="18"/>
        </w:rPr>
        <w:t xml:space="preserve"> 不同波段下光谱反射变化趋势图</w:t>
      </w:r>
    </w:p>
    <w:p w14:paraId="16929E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第二阶段：特征级融合与模型处理</w:t>
      </w:r>
      <w:r>
        <w:rPr>
          <w:rFonts w:hint="eastAsia"/>
          <w:lang w:bidi="ar"/>
        </w:rPr>
        <w:t>：</w:t>
      </w:r>
      <w:r>
        <w:rPr>
          <w:lang w:bidi="ar"/>
        </w:rPr>
        <w:t>在特征级融合阶段，系统将RGB分支与高光谱分支分别经深度网络编码为同维或可对齐的特征向量，再进行拼接、加权求和或注意力加权等融合，得到同时承载“外在形态”与“内在生化”的融合表征。缺素诊断分支以该融合特征为主输入，经ResNet等分类网络输出缺素类型及程度（可多类、多等级），突出对光谱敏感、RGB尚不明显的早期缺素的判别能力。病害检测分支在RGB上采用YOLOv8n完成目标检测（病斑、虫害等框级定位与类别判别），保证实时性与田间可用性；当光照恶劣或背景复杂时，可将高光谱编码特征作为辅助通道，用于置信度修正、难例二次判别或模态权重动态调整（例如阴天降低对纯RGB纹理的依赖、提高光谱分支权重），从而在同一套双模态数据流上同时支撑缺素分析与病害检测</w:t>
      </w:r>
      <w:r>
        <w:rPr>
          <w:rFonts w:hint="eastAsia"/>
          <w:lang w:bidi="ar"/>
        </w:rPr>
        <w:t>。</w:t>
      </w:r>
    </w:p>
    <w:p w14:paraId="60E9C50A">
      <w:pPr>
        <w:pStyle w:val="4"/>
        <w:rPr>
          <w:rFonts w:hint="eastAsia"/>
        </w:rPr>
      </w:pPr>
      <w:bookmarkStart w:id="90" w:name="_Toc20305"/>
      <w:r>
        <w:rPr>
          <w:rFonts w:hint="eastAsia" w:ascii="黑体" w:hAnsi="黑体"/>
        </w:rPr>
        <w:t>5.3.</w:t>
      </w:r>
      <w:r>
        <w:rPr>
          <w:rFonts w:hint="eastAsia"/>
        </w:rPr>
        <w:t xml:space="preserve"> 轻量化抗干扰模型架构</w:t>
      </w:r>
      <w:bookmarkEnd w:id="90"/>
    </w:p>
    <w:p w14:paraId="374CF3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针对田间光照变化大、背景复杂、设备算力有限等约束，本系统在“双模态输入—轻量骨干—特征融合—抗干扰决策”链条上做了统一设计：在保障YOLOv8n病害检测与ResNet缺素识别精度的前提下，控制参数量与推理时延，并通过模态权重、门控与预处理削弱环境干扰，形成可部署、可联动的轻量化抗干扰架构。</w:t>
      </w:r>
    </w:p>
    <w:p w14:paraId="48522781">
      <w:pPr>
        <w:widowControl/>
        <w:ind w:firstLine="480"/>
        <w:jc w:val="center"/>
      </w:pPr>
      <w:r>
        <w:rPr>
          <w:rFonts w:hint="eastAsia"/>
        </w:rPr>
        <w:drawing>
          <wp:inline distT="0" distB="0" distL="114300" distR="114300">
            <wp:extent cx="3886200" cy="2171700"/>
            <wp:effectExtent l="0" t="0" r="0" b="7620"/>
            <wp:docPr id="3" name="图片 3" descr="1eb6dbbc53d43ac3bcc908da4256a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eb6dbbc53d43ac3bcc908da4256a4c4"/>
                    <pic:cNvPicPr>
                      <a:picLocks noChangeAspect="1"/>
                    </pic:cNvPicPr>
                  </pic:nvPicPr>
                  <pic:blipFill>
                    <a:blip r:embed="rId238"/>
                    <a:stretch>
                      <a:fillRect/>
                    </a:stretch>
                  </pic:blipFill>
                  <pic:spPr>
                    <a:xfrm>
                      <a:off x="0" y="0"/>
                      <a:ext cx="3886200" cy="2171700"/>
                    </a:xfrm>
                    <a:prstGeom prst="rect">
                      <a:avLst/>
                    </a:prstGeom>
                  </pic:spPr>
                </pic:pic>
              </a:graphicData>
            </a:graphic>
          </wp:inline>
        </w:drawing>
      </w:r>
    </w:p>
    <w:p w14:paraId="615EB92C">
      <w:pPr>
        <w:widowControl/>
        <w:ind w:firstLine="360"/>
        <w:jc w:val="center"/>
        <w:rPr>
          <w:rFonts w:hint="eastAsia" w:ascii="宋体" w:hAnsi="宋体"/>
          <w:sz w:val="18"/>
          <w:szCs w:val="18"/>
        </w:rPr>
      </w:pPr>
      <w:r>
        <w:rPr>
          <w:rFonts w:ascii="宋体" w:hAnsi="宋体"/>
          <w:sz w:val="18"/>
          <w:szCs w:val="18"/>
        </w:rPr>
        <w:t>图</w:t>
      </w:r>
      <w:r>
        <w:rPr>
          <w:rFonts w:hint="eastAsia" w:ascii="宋体" w:hAnsi="宋体"/>
          <w:sz w:val="18"/>
          <w:szCs w:val="18"/>
        </w:rPr>
        <w:t>5.5</w:t>
      </w:r>
      <w:r>
        <w:rPr>
          <w:rFonts w:ascii="宋体" w:hAnsi="宋体"/>
          <w:sz w:val="18"/>
          <w:szCs w:val="18"/>
        </w:rPr>
        <w:t xml:space="preserve"> 轻量化抗干扰模型总体架构</w:t>
      </w:r>
    </w:p>
    <w:p w14:paraId="0B370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轻量化设计要点</w:t>
      </w:r>
      <w:r>
        <w:rPr>
          <w:rFonts w:hint="eastAsia"/>
          <w:lang w:bidi="ar"/>
        </w:rPr>
        <w:t>：</w:t>
      </w:r>
      <w:r>
        <w:rPr>
          <w:lang w:bidi="ar"/>
        </w:rPr>
        <w:t>病害识别采用YOLOv8n，在同等输入分辨率下相较更大模型显著降低FLOPs与显存占用，适合边缘端或服务器并发推理；通过合理设置输入尺寸、批大小与TensorRT/FP16等推理加速，满足实时或近实时田间应用。缺素诊断采用ResNet18等较小深度的残差网络，在ImageNet预训练基础上做迁移学习，以较少参数提取叶片表型特征；与高光谱分支配合时，可采用降维光谱特征 + 浅层1D卷积等方式控制光谱支路复杂度，避免双模态叠加后模型过重。模型导出ONNX，部署阶段可选TensorRT与INT8/FP16量化，在精度损失可控的前提下压缩体积、提升帧率，与平台“上传—识别—策略”闭环时延要求一致。</w:t>
      </w:r>
    </w:p>
    <w:p w14:paraId="6B24AD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抗干扰机制要点</w:t>
      </w:r>
      <w:r>
        <w:rPr>
          <w:rFonts w:hint="eastAsia"/>
          <w:lang w:bidi="ar"/>
        </w:rPr>
        <w:t>：RGB提供纹理、形状与可见病斑信息；400—1000nm高光谱提供N、P、K等相关波段的生化线索。单一模态在逆光、阴天、阴影下易失效时，另一模态可补偿，从数据源头上提高鲁棒性。双模态经同步采集与几何配准后，在特征提取前完成对齐，减少“光谱与像素不对应”带来的噪声；叶片ROI可结合RGB边界与高光谱梯度一致性约束，降低背景与土壤对特征的污染。引入熵权、注意力或环境规则（如光照不足时提高光谱分支权重），对RGB与光谱特征进行加权融合；对输出置信度低于阈值的样本触发保守策略（不触发强执行动作或转人工复核），避免误动作，属于决策层的抗干扰设计。训练阶段采用随机亮度、对比度、噪声、模糊等增强，模拟田间多变环境；配合Dropout、权重衰减、早停等抑制过拟合，使轻量化模型在未见天气与地块上仍保持稳定表现。</w:t>
      </w:r>
    </w:p>
    <w:p w14:paraId="0C3B3D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在同一套双模态与前处理之上，病害走YOLOv8n框级检测路径，侧重空间定位与多类别目标；缺素走融合特征+ ResNet分类路径，侧重全叶或ROI级的营养状态判别。二者可并行推理，结果汇入平台「数据分析/施肥与施药记录」模块，实现“轻量、双任务、抗环境扰动”的一体化架构。</w:t>
      </w:r>
    </w:p>
    <w:p w14:paraId="25EDA24F">
      <w:pPr>
        <w:pStyle w:val="4"/>
        <w:rPr>
          <w:rFonts w:hint="eastAsia" w:ascii="黑体" w:hAnsi="黑体"/>
        </w:rPr>
      </w:pPr>
      <w:bookmarkStart w:id="91" w:name="_Toc11584"/>
      <w:r>
        <w:rPr>
          <w:rFonts w:hint="eastAsia" w:ascii="黑体" w:hAnsi="黑体"/>
        </w:rPr>
        <w:t>5.4. 多源信息协同施肥/喷药决策模型</w:t>
      </w:r>
      <w:bookmarkEnd w:id="91"/>
    </w:p>
    <w:p w14:paraId="70A482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针对烟草生产“地块差异大、阶段需求不同、环境波动频繁”的特点，本系统构建多源信息协同的施肥与喷药决策模型：在缺素识别、病害识别等智能感知结果基础上，融合烟草生长阶段、土壤质地（肥力等级）、气象实况与预报、地块面积与历史作业记录等多维信息，通过神经网络学习多参数之间的非线性映射，再由农业专家经验与农艺安全规则进行校正与约束，输出可落地的个性化施肥方案与针对性施药建议，并与平台中的施肥记录</w:t>
      </w:r>
      <w:r>
        <w:rPr>
          <w:rFonts w:hint="eastAsia"/>
          <w:lang w:bidi="ar"/>
        </w:rPr>
        <w:t>/</w:t>
      </w:r>
      <w:r>
        <w:rPr>
          <w:lang w:bidi="ar"/>
        </w:rPr>
        <w:t>农药记录、设备联动等业务闭环对接。</w:t>
      </w:r>
    </w:p>
    <w:p w14:paraId="251465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缺素检测结果由ResNet及双模态融合模块输出，包含缺素类型、程度及置信度，是追肥与叶面调控的重要依据；病害检测结果由YOLOv8n输出，明确病害类别与检出置信度，如白星病、黄叶病、烟青虫、叶厚病等，可用于触发或修正施药方案，还能与农药记录模块联动，根据识别结果自动推荐登记用药类型。</w:t>
      </w:r>
    </w:p>
    <w:p w14:paraId="7A4512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生长阶段采用与平台一致的烟草生育期划分，具体包括苗期、还苗期、伸根期、旺长期、成熟期，不同生育阶段的氮磷钾需求比例与追肥策略存在差异，会参与施肥模型的时间维度决策，为个性化施肥提供时间层面的支撑。</w:t>
      </w:r>
    </w:p>
    <w:p w14:paraId="7B1492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土壤肥力</w:t>
      </w:r>
      <w:r>
        <w:rPr>
          <w:rFonts w:hint="eastAsia"/>
          <w:lang w:bidi="ar"/>
        </w:rPr>
        <w:t>按照土地PH</w:t>
      </w:r>
      <w:r>
        <w:rPr>
          <w:lang w:bidi="ar"/>
        </w:rPr>
        <w:t>、有机质、全氮、有效磷、速效钾</w:t>
      </w:r>
      <w:r>
        <w:rPr>
          <w:rFonts w:hint="eastAsia"/>
          <w:lang w:bidi="ar"/>
        </w:rPr>
        <w:t>含量为标准，</w:t>
      </w:r>
      <w:r>
        <w:rPr>
          <w:lang w:bidi="ar"/>
        </w:rPr>
        <w:t>划分</w:t>
      </w:r>
      <w:r>
        <w:rPr>
          <w:rFonts w:hint="eastAsia"/>
          <w:lang w:bidi="ar"/>
        </w:rPr>
        <w:t>为</w:t>
      </w:r>
      <w:r>
        <w:rPr>
          <w:lang w:bidi="ar"/>
        </w:rPr>
        <w:t>高、中、低肥力</w:t>
      </w:r>
      <w:r>
        <w:rPr>
          <w:rFonts w:hint="eastAsia"/>
          <w:lang w:bidi="ar"/>
        </w:rPr>
        <w:t>三大等级</w:t>
      </w:r>
      <w:r>
        <w:rPr>
          <w:lang w:bidi="ar"/>
        </w:rPr>
        <w:t>，作为基肥与追肥推荐的基础修正因子，能够实现“同一推荐算法、不同地力不同剂量”的个性化调控，确保施肥方案贴合地块实际肥力状况。地块面积主要用于将“每亩推荐量”折算为整块地总用量，且折算逻辑与农药页面中“按面积折算用量、按亩配水”的规则保持一致，减少人工计算误差，保障用量核算的统一性和准确性。系统对接实时气象与短期预报数据，涵盖温度、湿度、风速、降雨概率等关键指标，在施肥环节可用于指导施肥减量或推迟作业，例如降雨前减少随水追肥、大风天气推迟叶面喷施；在喷药环节则用于安全窗口判断，大风、强降雨前禁止或延迟喷药作业，与专家规则层协同作用，保障作业的可执行性与安全性。历史与行为数据包含历史施肥记录（含基本施肥、追肥）、历史农药记录及执行反馈，其作用在于约束重复过量施药、规范施药间隔期并控制成本，同时为神经网络提供时序或统计特征，如本季已施氮磷钾累计量，避免后续作业与前期作业产生冲突。</w:t>
      </w:r>
    </w:p>
    <w:p w14:paraId="6111CE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施肥决策子模型以多源特征向量为输入，涵盖缺素标签与置信度、生长阶段编码、土壤肥力等级、气象特征、地块面积、历史N/P/K用量等信息，采用BP全连接网络或“MLP +轻量时序模块（如近几日气象）”的结构，输出多任务结果，包括是否追肥/叶面补肥、肥料类型倾向、推荐施用量（或N/P/K拆分）、建议施用时间窗口（如雨后、清晨、避开高温时段）。其训练目标采用多任务联合损失（分类+回归），使模型能够同时学习“阶段—地力—环境—缺素”之间的综合非线性关系，提升决策推荐的精准度。同时设置专家经验校准层，在模型输出结果后强制执行农艺规范，例如明确旺长期与成熟期的钾肥上限、给出忌氯提示、限制烟草品质相关的</w:t>
      </w:r>
      <w:r>
        <w:rPr>
          <w:rFonts w:hint="eastAsia"/>
          <w:lang w:bidi="ar"/>
        </w:rPr>
        <w:t>肥料</w:t>
      </w:r>
      <w:r>
        <w:rPr>
          <w:lang w:bidi="ar"/>
        </w:rPr>
        <w:t>后期用量等，将数据驱动的结果严格限制在农艺允许区间内，保障施肥方案的合理性与安全性。</w:t>
      </w:r>
    </w:p>
    <w:p w14:paraId="1F5C6D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喷药决策子模型以病害类型、发生程度（可由检测框面积占比或等级映射得出）、气象数据、生育期、历史施药记录为输入，采用轻量神经网络或规则—神经网络混合结构，输出是否施药、药剂类别、稀释倍数、每亩/每地块用量及建议施药时段等关键决策信息。模型与项目前端逻辑保持一致，实现病害种类与药剂库的精准映射，如多菌灵、高效氯氰菊酯、磷酸二氢钾与硼肥组合等，兑水量可按亩或按地块面积自动折算，有效减少人工计算误差，提升作业效率。覆盖全面的安全规则，包括安全间隔期、大风禁喷、雨前禁喷、剂量上下限等，形成“模型推荐</w:t>
      </w:r>
      <w:r>
        <w:rPr>
          <w:rFonts w:hint="eastAsia"/>
          <w:lang w:bidi="ar"/>
        </w:rPr>
        <w:t xml:space="preserve"> </w:t>
      </w:r>
      <w:r>
        <w:rPr>
          <w:lang w:bidi="ar"/>
        </w:rPr>
        <w:t>+</w:t>
      </w:r>
      <w:r>
        <w:rPr>
          <w:rFonts w:hint="eastAsia"/>
          <w:lang w:bidi="ar"/>
        </w:rPr>
        <w:t xml:space="preserve"> </w:t>
      </w:r>
      <w:r>
        <w:rPr>
          <w:lang w:bidi="ar"/>
        </w:rPr>
        <w:t>规则兜底”的双层决策模式，既保证决策的精准性，又保障喷药作业的安全性与合规性。</w:t>
      </w:r>
    </w:p>
    <w:p w14:paraId="46730B66">
      <w:pPr>
        <w:pStyle w:val="4"/>
        <w:rPr>
          <w:rFonts w:hint="eastAsia" w:ascii="黑体" w:hAnsi="黑体"/>
        </w:rPr>
      </w:pPr>
      <w:bookmarkStart w:id="92" w:name="_Toc19472"/>
      <w:r>
        <w:rPr>
          <w:rFonts w:hint="eastAsia" w:ascii="黑体" w:hAnsi="黑体"/>
        </w:rPr>
        <w:t>5.5. 安全传输与智能感知鲁棒性保障</w:t>
      </w:r>
      <w:bookmarkEnd w:id="92"/>
    </w:p>
    <w:p w14:paraId="37CC3090">
      <w:pPr>
        <w:pStyle w:val="5"/>
        <w:rPr>
          <w:rFonts w:ascii="黑体" w:hAnsi="黑体"/>
        </w:rPr>
      </w:pPr>
      <w:bookmarkStart w:id="93" w:name="_Toc5754"/>
      <w:r>
        <w:rPr>
          <w:rFonts w:ascii="黑体" w:hAnsi="黑体"/>
        </w:rPr>
        <w:t>5.5.1.</w:t>
      </w:r>
      <w:r>
        <w:rPr>
          <w:rFonts w:hint="default" w:ascii="黑体" w:hAnsi="黑体"/>
        </w:rPr>
        <w:t>双向TLS 1.3与双向证书认证</w:t>
      </w:r>
      <w:bookmarkEnd w:id="93"/>
    </w:p>
    <w:p w14:paraId="0D5AAF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田间物联网场景中，图像、环境数据与控制指令经无线网络与互联网汇聚至业务平台。若仅部署单向HTTPS，用户浏览器或移动应用可借助服务器证书及信任链验证所连服务端身份，但平台侧通常缺乏与之对等的强机制以核验接入终端是否确为经授权设备，存在未授权终端仿冒合法节点接入、伪造上报数据或滥用接口的风险。本项目在设备与平台之间的传输通道采用TLS 1.3，并在关键接入链路启用双向TLS认证（mutual TLS，mTLS）：握手阶段服务端与客户端各自出示数字证书，双方均验证对端证书链的合法性、有效期、用途扩展及可选的名称约束，任一方校验失败即终止连接，业务逻辑层不处理该会话。由此将“是否允许接入”的判断前移至传输层，在协议层面落实接入身份鉴别。</w:t>
      </w:r>
    </w:p>
    <w:p w14:paraId="71FC95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TLS 1.3相较早期版本缩短握手路径、废弃弱算法组合，并采用具备前向安全的密钥协商方式，有利于移动终端与弱网环境下的建链成功率与时延控制。记录层采用AEAD等模式，对应用数据同时提供机密性与完整性保护：链路上第三方难以解读明文内容，对密文的非法篡改将导致校验失败并被接收端拒绝。在已完成服务端身份校验的单向认证基础上，双向证书认证进一步要求客户端出示经可信证书机构签发的设备证书并完成服务端校验，从而将接入主体的身份绑定至非对称密钥体系。相较仅依赖共享口令或长期静态访问令牌的机制，该方式在身份凭证强度、抗泄露与抗重放能力方面更具优势，可有效降低设备接入场景中因口令或令牌失窃、重放及批量猜解所带来的安全风险。</w:t>
      </w:r>
    </w:p>
    <w:p w14:paraId="7127E2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设备侧证书宜与硬件身份及业务属性绑定：证书主题或扩展字段可承载设备序列号、资产编号、所属地块、接入网关标识等信息，平台侧维护设备白名单与证书序列号映射表，实现入网注册、变更与注销的闭环。私钥应在设备安全存储区域内生成并不可导出，或通过安全元件与TPM等机制保护；证书生命周期包括申请、签发、更新、吊销与到期预警，对遗失、报废或转出管理的设备及时吊销证书并同步更新白名单，以立即撤销其接入能力。测试环境与生产环境采用独立信任锚与签发策略，避免测试用根证书或设备证书误入生产信任域。</w:t>
      </w:r>
    </w:p>
    <w:p w14:paraId="584C33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对MCU、低功耗模组等算力与内存受限的终端，可在田间部署边缘安全网关：网关与云平台之间建立mTLS，内网侧终端采用局域网隔离、端口收敛、MAC或预共享密钥等轻量机制，由网关代理汇聚与策略转发。该架构在策划文本中应明确信任边界——平台强信任止于网关，网关以内通过物理与网络隔离降低横向渗透风险。多类设备（摄像头、传感器、执行器、无人机地面站）可分级要求：高敏感或高权限指令通道强制mTLS，只读且风险可控的数据源可采用单向TLS叠加应用层签名等折中方案，以兼顾安全强度与改造成本。</w:t>
      </w:r>
    </w:p>
    <w:p w14:paraId="4CACA8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通过TLS 1.3与双向证书认证的组合，项目在传输层同时满足接入身份可信、通信机密性与数据完整性要求，为上层识别、决策与控制业务提供可审计、可撤销的信任基础。</w:t>
      </w:r>
    </w:p>
    <w:p w14:paraId="1FC015DF">
      <w:pPr>
        <w:pStyle w:val="5"/>
      </w:pPr>
      <w:bookmarkStart w:id="94" w:name="_Toc4251"/>
      <w:r>
        <w:rPr>
          <w:rFonts w:ascii="黑体" w:hAnsi="黑体"/>
        </w:rPr>
        <w:t>5.5.2.</w:t>
      </w:r>
      <w:r>
        <w:t>对抗训练与模型鲁棒性</w:t>
      </w:r>
      <w:bookmarkEnd w:id="94"/>
    </w:p>
    <w:p w14:paraId="25AC9F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烟草田间图像的获取与传输链路决定了输入分布具有显著的不确定性。弱照与高感光度会引入颗粒噪声，强光与逆光易产生饱和与高光溢出，手持或风动会造成运动模糊，移动终端与边缘设备普遍采用有损压缩以节省带宽，从而在叶片纹理与病斑边缘处产生块效应与细节损失。上述因素在效果上常表现为对输入像素的连续小扰动或结构化失真，足以使深度网络输出的置信度出现跳变，进而诱发单帧误报、漏报或相邻时刻结果不一致。若识别结果直接驱动施肥、施药建议或设备动作，这种不稳定性将转化为业务层面的误判风险，因此有必要在算法侧显式提升模型对扰动与失真的鲁棒性。</w:t>
      </w:r>
    </w:p>
    <w:p w14:paraId="490D80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对抗训练通过在优化目标中引入对抗风险项，使模型在干净样本及其邻域内保持预测一致。具体而言，在给定范数约束下，沿损失函数对输入的梯度方向构造对抗扰动（如单步的FGSM或多步迭代的PGD），并在同一批次中同时最小化干净损失与对抗损失，从而将决策边界推向对微扰更不敏感的区域。该方法最初针对恶意构造的对抗样本提出，但对田间常见的非恶意扰动同样具有归纳作用，可显著降低网络对高频噪声与局部对比度变化的过度反应。扰动预算需与物理成像尺度相匹配，避免为追求指标而采用超出传感器噪声合理范围的过大扰动，以免损害对真实病斑细部特征的辨别能力。</w:t>
      </w:r>
    </w:p>
    <w:p w14:paraId="33528E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单一依赖对抗训练可能出现对某一种扰动类型的过拟合，因此本项目将对抗项与常规数据增强协同使用：包括高斯与泊松噪声、运动与高斯模糊、色彩与亮度对比度随机化、随机JPEG质量因子重压缩等，以覆盖“环境随机性”与“链路失真”两类来源</w:t>
      </w:r>
      <w:r>
        <w:rPr>
          <w:vertAlign w:val="superscript"/>
          <w:lang w:bidi="ar"/>
        </w:rPr>
        <w:fldChar w:fldCharType="begin"/>
      </w:r>
      <w:r>
        <w:rPr>
          <w:vertAlign w:val="superscript"/>
          <w:lang w:bidi="ar"/>
        </w:rPr>
        <w:instrText xml:space="preserve"> REF _Ref225504322 \r \h  \* MERGEFORMAT </w:instrText>
      </w:r>
      <w:r>
        <w:rPr>
          <w:vertAlign w:val="superscript"/>
          <w:lang w:bidi="ar"/>
        </w:rPr>
        <w:fldChar w:fldCharType="separate"/>
      </w:r>
      <w:r>
        <w:rPr>
          <w:vertAlign w:val="superscript"/>
          <w:lang w:bidi="ar"/>
        </w:rPr>
        <w:t>[</w:t>
      </w:r>
      <w:r>
        <w:rPr>
          <w:rFonts w:hint="eastAsia"/>
          <w:vertAlign w:val="superscript"/>
          <w:lang w:val="en-US" w:eastAsia="zh-CN" w:bidi="ar"/>
        </w:rPr>
        <w:t>9</w:t>
      </w:r>
      <w:r>
        <w:rPr>
          <w:vertAlign w:val="superscript"/>
          <w:lang w:bidi="ar"/>
        </w:rPr>
        <w:t>]</w:t>
      </w:r>
      <w:r>
        <w:rPr>
          <w:vertAlign w:val="superscript"/>
          <w:lang w:bidi="ar"/>
        </w:rPr>
        <w:fldChar w:fldCharType="end"/>
      </w:r>
      <w:r>
        <w:rPr>
          <w:lang w:bidi="ar"/>
        </w:rPr>
        <w:t>。对病害检测任务，扰动施加需与标注框及目标尺度相协调，可采用全图扰动配合检测头正则，或在裁剪补丁上施加扰动并保持框内语义不被结构性破坏；对缺素分类任务，可在整幅图像或作物感兴趣区域上施加扰动，并结合多尺度输入与随机裁剪增强尺度不变性。训练可采用课程式策略，先以较弱扰动与较强增强建立稳定基线，再逐步提高对抗强度或迭代步数，以平衡收敛速度与最终鲁棒性。</w:t>
      </w:r>
    </w:p>
    <w:p w14:paraId="289E1F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评价维度除常规准确率、mAP、F1等指标外，增设鲁棒评测子集：在测试集上施加固定强度噪声、固定质量因子的JPEG再压缩、模拟曝光异常与雾化等退化算子，分别统计性能下降幅度；对连续帧或时序采集数据，可统计置信度方差、预测翻转率与短时误报率，用以刻画田间连续运行中的稳定性。</w:t>
      </w:r>
    </w:p>
    <w:p w14:paraId="2948D8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对抗训练通常带来训练时间延长与算力消耗上升，并可能在极端干净条件下略微拉低极限精度。</w:t>
      </w:r>
      <w:r>
        <w:rPr>
          <w:rFonts w:hint="eastAsia"/>
          <w:lang w:bidi="ar"/>
        </w:rPr>
        <w:t>因此</w:t>
      </w:r>
      <w:r>
        <w:rPr>
          <w:lang w:bidi="ar"/>
        </w:rPr>
        <w:t>以业务可接受的误报、漏报阈值为约束，在验证集与田间小样本试验上联合确定扰动强度、对抗项权重与早停策略，形成可复现的训练配置。通过上述措施，模型在阴天、逆光、轻度污损镜头与压缩失真等复杂成像条件下仍能保持相对稳定输出，为后续多源决策与农艺规则层提供连续可信的感知输入，降低因单帧异常触发的错误策略风险。</w:t>
      </w:r>
    </w:p>
    <w:p w14:paraId="069162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p>
    <w:p w14:paraId="10EF1100">
      <w:pPr>
        <w:pStyle w:val="14"/>
        <w:numPr>
          <w:ilvl w:val="0"/>
          <w:numId w:val="1"/>
        </w:numPr>
        <w:ind w:firstLineChars="0"/>
        <w:rPr>
          <w:sz w:val="40"/>
          <w:szCs w:val="40"/>
        </w:rPr>
      </w:pPr>
      <w:r>
        <w:rPr>
          <w:rFonts w:hint="eastAsia"/>
          <w:sz w:val="40"/>
          <w:szCs w:val="40"/>
        </w:rPr>
        <w:t>项目应用前景及社会价值</w:t>
      </w:r>
    </w:p>
    <w:p w14:paraId="37FCC09B">
      <w:pPr>
        <w:pStyle w:val="4"/>
        <w:rPr>
          <w:rFonts w:hint="eastAsia"/>
          <w:lang w:bidi="ar"/>
        </w:rPr>
      </w:pPr>
      <w:bookmarkStart w:id="95" w:name="_Toc19244"/>
      <w:r>
        <w:rPr>
          <w:rFonts w:hint="eastAsia" w:ascii="黑体" w:hAnsi="黑体"/>
          <w:lang w:val="en-US" w:eastAsia="zh-CN" w:bidi="ar"/>
        </w:rPr>
        <w:t>6</w:t>
      </w:r>
      <w:r>
        <w:rPr>
          <w:rFonts w:hint="eastAsia" w:ascii="黑体" w:hAnsi="黑体"/>
          <w:lang w:bidi="ar"/>
        </w:rPr>
        <w:t>.1.</w:t>
      </w:r>
      <w:r>
        <w:rPr>
          <w:rFonts w:hint="eastAsia"/>
          <w:lang w:bidi="ar"/>
        </w:rPr>
        <w:t xml:space="preserve"> 政策驱动</w:t>
      </w:r>
      <w:bookmarkEnd w:id="95"/>
    </w:p>
    <w:p w14:paraId="7675C0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本项目紧密契合国家乡村振兴与农业绿色转型战略。2024年中央一号文件明确提出“强化农业科技支撑”“发展智慧农业”，为精准农业技术推广提供顶层政策保障；农业农村部《到2025年化肥减量化行动方案》和《到2025年化学农药减量化行动方案》要求化肥农药使用量零增长</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_Ref225503846 \r \h</w:instrText>
      </w:r>
      <w:r>
        <w:rPr>
          <w:vertAlign w:val="superscript"/>
          <w:lang w:bidi="ar"/>
        </w:rPr>
        <w:instrText xml:space="preserve">  \* MERGEFORMAT </w:instrText>
      </w:r>
      <w:r>
        <w:rPr>
          <w:vertAlign w:val="superscript"/>
          <w:lang w:bidi="ar"/>
        </w:rPr>
        <w:fldChar w:fldCharType="separate"/>
      </w:r>
      <w:r>
        <w:rPr>
          <w:vertAlign w:val="superscript"/>
          <w:lang w:bidi="ar"/>
        </w:rPr>
        <w:t>[1</w:t>
      </w:r>
      <w:r>
        <w:rPr>
          <w:rFonts w:hint="eastAsia"/>
          <w:vertAlign w:val="superscript"/>
          <w:lang w:val="en-US" w:eastAsia="zh-CN" w:bidi="ar"/>
        </w:rPr>
        <w:t>0</w:t>
      </w:r>
      <w:r>
        <w:rPr>
          <w:vertAlign w:val="superscript"/>
          <w:lang w:bidi="ar"/>
        </w:rPr>
        <w:t>]</w:t>
      </w:r>
      <w:r>
        <w:rPr>
          <w:vertAlign w:val="superscript"/>
          <w:lang w:bidi="ar"/>
        </w:rPr>
        <w:fldChar w:fldCharType="end"/>
      </w:r>
      <w:r>
        <w:rPr>
          <w:rFonts w:hint="eastAsia"/>
          <w:lang w:bidi="ar"/>
        </w:rPr>
        <w:t>，本项目通过AI检测+智能决策实现精准施肥施药，直接支撑减量增效目标；中国烟草总公司大力推行“绿色防控”体系，要求化学农药使用量减少30%以上，本项目的精准喷洒与生物防治方案可有效助力绿色烟叶生产；同时，项目采用数据加密传输与脱敏技术，完全符合《数据安全法》和《个人信息保护法》要求，具备合规优势。</w:t>
      </w:r>
    </w:p>
    <w:p w14:paraId="1E7008F9">
      <w:pPr>
        <w:pStyle w:val="4"/>
        <w:rPr>
          <w:rFonts w:hint="eastAsia" w:ascii="黑体" w:hAnsi="黑体"/>
          <w:lang w:bidi="ar"/>
        </w:rPr>
      </w:pPr>
      <w:bookmarkStart w:id="96" w:name="_Toc30260"/>
      <w:r>
        <w:rPr>
          <w:rFonts w:hint="eastAsia" w:ascii="黑体" w:hAnsi="黑体"/>
          <w:lang w:val="en-US" w:eastAsia="zh-CN" w:bidi="ar"/>
        </w:rPr>
        <w:t>6</w:t>
      </w:r>
      <w:r>
        <w:rPr>
          <w:rFonts w:hint="eastAsia" w:ascii="黑体" w:hAnsi="黑体"/>
          <w:lang w:bidi="ar"/>
        </w:rPr>
        <w:t>.2. 技术应用前景</w:t>
      </w:r>
      <w:bookmarkEnd w:id="96"/>
    </w:p>
    <w:p w14:paraId="4B150B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lang w:bidi="ar"/>
        </w:rPr>
        <w:t>主要功能模块应用价值及预期效果</w:t>
      </w:r>
    </w:p>
    <w:tbl>
      <w:tblPr>
        <w:tblStyle w:val="11"/>
        <w:tblW w:w="8725" w:type="dxa"/>
        <w:tblInd w:w="-2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3460"/>
        <w:gridCol w:w="3265"/>
      </w:tblGrid>
      <w:tr w14:paraId="7A14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uto" w:sz="4" w:space="0"/>
              <w:left w:val="single" w:color="auto" w:sz="4" w:space="0"/>
              <w:bottom w:val="single" w:color="auto" w:sz="4" w:space="0"/>
              <w:right w:val="single" w:color="auto" w:sz="4" w:space="0"/>
            </w:tcBorders>
            <w:vAlign w:val="center"/>
          </w:tcPr>
          <w:p w14:paraId="0157CBB3">
            <w:pPr>
              <w:ind w:firstLine="0" w:firstLineChars="0"/>
              <w:jc w:val="center"/>
              <w:rPr>
                <w:lang w:bidi="ar"/>
              </w:rPr>
            </w:pPr>
            <w:r>
              <w:rPr>
                <w:rFonts w:hint="eastAsia"/>
                <w:b/>
                <w:bCs/>
                <w:lang w:bidi="ar"/>
              </w:rPr>
              <w:t>功能模块</w:t>
            </w:r>
          </w:p>
        </w:tc>
        <w:tc>
          <w:tcPr>
            <w:tcW w:w="3460" w:type="dxa"/>
            <w:tcBorders>
              <w:top w:val="single" w:color="auto" w:sz="4" w:space="0"/>
              <w:left w:val="single" w:color="auto" w:sz="4" w:space="0"/>
              <w:bottom w:val="single" w:color="auto" w:sz="4" w:space="0"/>
              <w:right w:val="single" w:color="auto" w:sz="4" w:space="0"/>
            </w:tcBorders>
            <w:vAlign w:val="center"/>
          </w:tcPr>
          <w:p w14:paraId="202E510B">
            <w:pPr>
              <w:ind w:firstLine="0" w:firstLineChars="0"/>
              <w:jc w:val="center"/>
              <w:rPr>
                <w:lang w:bidi="ar"/>
              </w:rPr>
            </w:pPr>
            <w:r>
              <w:rPr>
                <w:rFonts w:hint="eastAsia"/>
                <w:b/>
                <w:bCs/>
                <w:lang w:bidi="ar"/>
              </w:rPr>
              <w:t>应用价值</w:t>
            </w:r>
          </w:p>
        </w:tc>
        <w:tc>
          <w:tcPr>
            <w:tcW w:w="3265" w:type="dxa"/>
            <w:tcBorders>
              <w:top w:val="single" w:color="auto" w:sz="4" w:space="0"/>
              <w:left w:val="single" w:color="auto" w:sz="4" w:space="0"/>
              <w:bottom w:val="single" w:color="auto" w:sz="4" w:space="0"/>
              <w:right w:val="single" w:color="auto" w:sz="4" w:space="0"/>
            </w:tcBorders>
            <w:vAlign w:val="center"/>
          </w:tcPr>
          <w:p w14:paraId="2BE7E39F">
            <w:pPr>
              <w:ind w:firstLine="0" w:firstLineChars="0"/>
              <w:jc w:val="center"/>
              <w:rPr>
                <w:lang w:bidi="ar"/>
              </w:rPr>
            </w:pPr>
            <w:r>
              <w:rPr>
                <w:rFonts w:hint="eastAsia"/>
                <w:b/>
                <w:bCs/>
                <w:lang w:bidi="ar"/>
              </w:rPr>
              <w:t>预期效果</w:t>
            </w:r>
          </w:p>
        </w:tc>
      </w:tr>
      <w:tr w14:paraId="0BE8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uto" w:sz="4" w:space="0"/>
              <w:left w:val="single" w:color="auto" w:sz="4" w:space="0"/>
              <w:bottom w:val="single" w:color="auto" w:sz="4" w:space="0"/>
              <w:right w:val="single" w:color="auto" w:sz="4" w:space="0"/>
            </w:tcBorders>
            <w:vAlign w:val="center"/>
          </w:tcPr>
          <w:p w14:paraId="7055DA7E">
            <w:pPr>
              <w:ind w:firstLine="0" w:firstLineChars="0"/>
              <w:jc w:val="center"/>
              <w:rPr>
                <w:lang w:bidi="ar"/>
              </w:rPr>
            </w:pPr>
            <w:r>
              <w:rPr>
                <w:rFonts w:hint="eastAsia"/>
                <w:lang w:bidi="ar"/>
              </w:rPr>
              <w:t>缺素识别</w:t>
            </w:r>
          </w:p>
        </w:tc>
        <w:tc>
          <w:tcPr>
            <w:tcW w:w="3460" w:type="dxa"/>
            <w:tcBorders>
              <w:top w:val="single" w:color="auto" w:sz="4" w:space="0"/>
              <w:left w:val="single" w:color="auto" w:sz="4" w:space="0"/>
              <w:bottom w:val="single" w:color="auto" w:sz="4" w:space="0"/>
              <w:right w:val="single" w:color="auto" w:sz="4" w:space="0"/>
            </w:tcBorders>
            <w:vAlign w:val="center"/>
          </w:tcPr>
          <w:p w14:paraId="28AC0118">
            <w:pPr>
              <w:ind w:firstLine="0" w:firstLineChars="0"/>
              <w:rPr>
                <w:lang w:bidi="ar"/>
              </w:rPr>
            </w:pPr>
            <w:r>
              <w:rPr>
                <w:rFonts w:hint="eastAsia"/>
                <w:lang w:bidi="ar"/>
              </w:rPr>
              <w:t>替代人工巡检，早期发现缺素症状</w:t>
            </w:r>
          </w:p>
        </w:tc>
        <w:tc>
          <w:tcPr>
            <w:tcW w:w="3265" w:type="dxa"/>
            <w:tcBorders>
              <w:top w:val="single" w:color="auto" w:sz="4" w:space="0"/>
              <w:left w:val="single" w:color="auto" w:sz="4" w:space="0"/>
              <w:bottom w:val="single" w:color="auto" w:sz="4" w:space="0"/>
              <w:right w:val="single" w:color="auto" w:sz="4" w:space="0"/>
            </w:tcBorders>
            <w:vAlign w:val="center"/>
          </w:tcPr>
          <w:p w14:paraId="69B2D028">
            <w:pPr>
              <w:ind w:firstLine="0" w:firstLineChars="0"/>
              <w:rPr>
                <w:lang w:bidi="ar"/>
              </w:rPr>
            </w:pPr>
            <w:r>
              <w:rPr>
                <w:rFonts w:hint="eastAsia"/>
                <w:lang w:bidi="ar"/>
              </w:rPr>
              <w:t>检测效率提升10-15倍，识别准确率≥90%</w:t>
            </w:r>
          </w:p>
        </w:tc>
      </w:tr>
      <w:tr w14:paraId="2DB7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uto" w:sz="4" w:space="0"/>
              <w:left w:val="single" w:color="auto" w:sz="4" w:space="0"/>
              <w:bottom w:val="single" w:color="auto" w:sz="4" w:space="0"/>
              <w:right w:val="single" w:color="auto" w:sz="4" w:space="0"/>
            </w:tcBorders>
            <w:vAlign w:val="center"/>
          </w:tcPr>
          <w:p w14:paraId="6F5A6646">
            <w:pPr>
              <w:ind w:firstLine="0" w:firstLineChars="0"/>
              <w:jc w:val="center"/>
              <w:rPr>
                <w:lang w:bidi="ar"/>
              </w:rPr>
            </w:pPr>
            <w:r>
              <w:rPr>
                <w:rFonts w:hint="eastAsia"/>
                <w:lang w:bidi="ar"/>
              </w:rPr>
              <w:t>病虫害检测</w:t>
            </w:r>
          </w:p>
        </w:tc>
        <w:tc>
          <w:tcPr>
            <w:tcW w:w="3460" w:type="dxa"/>
            <w:tcBorders>
              <w:top w:val="single" w:color="auto" w:sz="4" w:space="0"/>
              <w:left w:val="single" w:color="auto" w:sz="4" w:space="0"/>
              <w:bottom w:val="single" w:color="auto" w:sz="4" w:space="0"/>
              <w:right w:val="single" w:color="auto" w:sz="4" w:space="0"/>
            </w:tcBorders>
            <w:vAlign w:val="center"/>
          </w:tcPr>
          <w:p w14:paraId="7A128303">
            <w:pPr>
              <w:ind w:firstLine="0" w:firstLineChars="0"/>
              <w:rPr>
                <w:lang w:bidi="ar"/>
              </w:rPr>
            </w:pPr>
            <w:r>
              <w:rPr>
                <w:rFonts w:hint="eastAsia"/>
                <w:lang w:bidi="ar"/>
              </w:rPr>
              <w:t>四种主要病虫害自动识别与预警</w:t>
            </w:r>
          </w:p>
        </w:tc>
        <w:tc>
          <w:tcPr>
            <w:tcW w:w="3265" w:type="dxa"/>
            <w:tcBorders>
              <w:top w:val="single" w:color="auto" w:sz="4" w:space="0"/>
              <w:left w:val="single" w:color="auto" w:sz="4" w:space="0"/>
              <w:bottom w:val="single" w:color="auto" w:sz="4" w:space="0"/>
              <w:right w:val="single" w:color="auto" w:sz="4" w:space="0"/>
            </w:tcBorders>
            <w:vAlign w:val="center"/>
          </w:tcPr>
          <w:p w14:paraId="33390666">
            <w:pPr>
              <w:ind w:firstLine="0" w:firstLineChars="0"/>
              <w:rPr>
                <w:lang w:bidi="ar"/>
              </w:rPr>
            </w:pPr>
            <w:r>
              <w:rPr>
                <w:rFonts w:hint="eastAsia"/>
                <w:lang w:bidi="ar"/>
              </w:rPr>
              <w:t>减少病害损失15%-30%</w:t>
            </w:r>
          </w:p>
        </w:tc>
      </w:tr>
      <w:tr w14:paraId="088E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uto" w:sz="4" w:space="0"/>
              <w:left w:val="single" w:color="auto" w:sz="4" w:space="0"/>
              <w:bottom w:val="single" w:color="auto" w:sz="4" w:space="0"/>
              <w:right w:val="single" w:color="auto" w:sz="4" w:space="0"/>
            </w:tcBorders>
            <w:vAlign w:val="center"/>
          </w:tcPr>
          <w:p w14:paraId="68E15E51">
            <w:pPr>
              <w:ind w:firstLine="0" w:firstLineChars="0"/>
              <w:jc w:val="center"/>
              <w:rPr>
                <w:lang w:bidi="ar"/>
              </w:rPr>
            </w:pPr>
            <w:r>
              <w:rPr>
                <w:rFonts w:hint="eastAsia"/>
                <w:lang w:bidi="ar"/>
              </w:rPr>
              <w:t>智能追肥方案</w:t>
            </w:r>
          </w:p>
        </w:tc>
        <w:tc>
          <w:tcPr>
            <w:tcW w:w="3460" w:type="dxa"/>
            <w:tcBorders>
              <w:top w:val="single" w:color="auto" w:sz="4" w:space="0"/>
              <w:left w:val="single" w:color="auto" w:sz="4" w:space="0"/>
              <w:bottom w:val="single" w:color="auto" w:sz="4" w:space="0"/>
              <w:right w:val="single" w:color="auto" w:sz="4" w:space="0"/>
            </w:tcBorders>
            <w:vAlign w:val="center"/>
          </w:tcPr>
          <w:p w14:paraId="28EC266A">
            <w:pPr>
              <w:ind w:firstLine="0" w:firstLineChars="0"/>
              <w:rPr>
                <w:lang w:bidi="ar"/>
              </w:rPr>
            </w:pPr>
            <w:r>
              <w:rPr>
                <w:rFonts w:hint="eastAsia"/>
                <w:lang w:bidi="ar"/>
              </w:rPr>
              <w:t>结合天气、地块、施肥记录综合决策</w:t>
            </w:r>
          </w:p>
        </w:tc>
        <w:tc>
          <w:tcPr>
            <w:tcW w:w="3265" w:type="dxa"/>
            <w:tcBorders>
              <w:top w:val="single" w:color="auto" w:sz="4" w:space="0"/>
              <w:left w:val="single" w:color="auto" w:sz="4" w:space="0"/>
              <w:bottom w:val="single" w:color="auto" w:sz="4" w:space="0"/>
              <w:right w:val="single" w:color="auto" w:sz="4" w:space="0"/>
            </w:tcBorders>
            <w:vAlign w:val="center"/>
          </w:tcPr>
          <w:p w14:paraId="068A73F2">
            <w:pPr>
              <w:ind w:firstLine="0" w:firstLineChars="0"/>
              <w:rPr>
                <w:lang w:bidi="ar"/>
              </w:rPr>
            </w:pPr>
            <w:r>
              <w:rPr>
                <w:rFonts w:hint="eastAsia"/>
                <w:lang w:bidi="ar"/>
              </w:rPr>
              <w:t>减少化肥使用量10%-20%，提升烟叶品质</w:t>
            </w:r>
          </w:p>
        </w:tc>
      </w:tr>
      <w:tr w14:paraId="3B45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uto" w:sz="4" w:space="0"/>
              <w:left w:val="single" w:color="auto" w:sz="4" w:space="0"/>
              <w:bottom w:val="single" w:color="auto" w:sz="4" w:space="0"/>
              <w:right w:val="single" w:color="auto" w:sz="4" w:space="0"/>
            </w:tcBorders>
            <w:vAlign w:val="center"/>
          </w:tcPr>
          <w:p w14:paraId="69E83471">
            <w:pPr>
              <w:ind w:firstLine="0" w:firstLineChars="0"/>
              <w:jc w:val="center"/>
              <w:rPr>
                <w:lang w:bidi="ar"/>
              </w:rPr>
            </w:pPr>
            <w:r>
              <w:rPr>
                <w:rFonts w:hint="eastAsia"/>
                <w:lang w:bidi="ar"/>
              </w:rPr>
              <w:t>精准喷洒路径规划</w:t>
            </w:r>
          </w:p>
        </w:tc>
        <w:tc>
          <w:tcPr>
            <w:tcW w:w="3460" w:type="dxa"/>
            <w:tcBorders>
              <w:top w:val="single" w:color="auto" w:sz="4" w:space="0"/>
              <w:left w:val="single" w:color="auto" w:sz="4" w:space="0"/>
              <w:bottom w:val="single" w:color="auto" w:sz="4" w:space="0"/>
              <w:right w:val="single" w:color="auto" w:sz="4" w:space="0"/>
            </w:tcBorders>
            <w:vAlign w:val="center"/>
          </w:tcPr>
          <w:p w14:paraId="0C30CAB7">
            <w:pPr>
              <w:ind w:firstLine="0" w:firstLineChars="0"/>
              <w:rPr>
                <w:lang w:bidi="ar"/>
              </w:rPr>
            </w:pPr>
            <w:r>
              <w:rPr>
                <w:rFonts w:hint="eastAsia"/>
                <w:lang w:bidi="ar"/>
              </w:rPr>
              <w:t>A*+ORCA算法适应复杂地形</w:t>
            </w:r>
          </w:p>
        </w:tc>
        <w:tc>
          <w:tcPr>
            <w:tcW w:w="3265" w:type="dxa"/>
            <w:tcBorders>
              <w:top w:val="single" w:color="auto" w:sz="4" w:space="0"/>
              <w:left w:val="single" w:color="auto" w:sz="4" w:space="0"/>
              <w:bottom w:val="single" w:color="auto" w:sz="4" w:space="0"/>
              <w:right w:val="single" w:color="auto" w:sz="4" w:space="0"/>
            </w:tcBorders>
            <w:vAlign w:val="center"/>
          </w:tcPr>
          <w:p w14:paraId="46DD8507">
            <w:pPr>
              <w:ind w:firstLine="0" w:firstLineChars="0"/>
              <w:rPr>
                <w:lang w:bidi="ar"/>
              </w:rPr>
            </w:pPr>
            <w:r>
              <w:rPr>
                <w:rFonts w:hint="eastAsia"/>
                <w:lang w:bidi="ar"/>
              </w:rPr>
              <w:t>喷洒覆盖率≥95%，减少农药浪费20%</w:t>
            </w:r>
            <w:bookmarkStart w:id="119" w:name="_GoBack"/>
            <w:bookmarkEnd w:id="119"/>
          </w:p>
        </w:tc>
      </w:tr>
      <w:tr w14:paraId="25EB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Borders>
              <w:top w:val="single" w:color="auto" w:sz="4" w:space="0"/>
              <w:left w:val="single" w:color="auto" w:sz="4" w:space="0"/>
              <w:bottom w:val="single" w:color="auto" w:sz="4" w:space="0"/>
              <w:right w:val="single" w:color="auto" w:sz="4" w:space="0"/>
            </w:tcBorders>
            <w:vAlign w:val="center"/>
          </w:tcPr>
          <w:p w14:paraId="07A78F82">
            <w:pPr>
              <w:ind w:firstLine="0" w:firstLineChars="0"/>
              <w:jc w:val="center"/>
              <w:rPr>
                <w:lang w:bidi="ar"/>
              </w:rPr>
            </w:pPr>
            <w:r>
              <w:rPr>
                <w:rFonts w:hint="eastAsia"/>
                <w:lang w:bidi="ar"/>
              </w:rPr>
              <w:t>AI咨询</w:t>
            </w:r>
          </w:p>
        </w:tc>
        <w:tc>
          <w:tcPr>
            <w:tcW w:w="3460" w:type="dxa"/>
            <w:tcBorders>
              <w:top w:val="single" w:color="auto" w:sz="4" w:space="0"/>
              <w:left w:val="single" w:color="auto" w:sz="4" w:space="0"/>
              <w:bottom w:val="single" w:color="auto" w:sz="4" w:space="0"/>
              <w:right w:val="single" w:color="auto" w:sz="4" w:space="0"/>
            </w:tcBorders>
            <w:vAlign w:val="center"/>
          </w:tcPr>
          <w:p w14:paraId="4239235A">
            <w:pPr>
              <w:ind w:firstLine="0" w:firstLineChars="0"/>
              <w:rPr>
                <w:lang w:bidi="ar"/>
              </w:rPr>
            </w:pPr>
            <w:r>
              <w:rPr>
                <w:rFonts w:hint="eastAsia"/>
                <w:lang w:bidi="ar"/>
              </w:rPr>
              <w:t>智能问答辅助种植管理</w:t>
            </w:r>
          </w:p>
        </w:tc>
        <w:tc>
          <w:tcPr>
            <w:tcW w:w="3265" w:type="dxa"/>
            <w:tcBorders>
              <w:top w:val="single" w:color="auto" w:sz="4" w:space="0"/>
              <w:left w:val="single" w:color="auto" w:sz="4" w:space="0"/>
              <w:bottom w:val="single" w:color="auto" w:sz="4" w:space="0"/>
              <w:right w:val="single" w:color="auto" w:sz="4" w:space="0"/>
            </w:tcBorders>
            <w:vAlign w:val="center"/>
          </w:tcPr>
          <w:p w14:paraId="250E0538">
            <w:pPr>
              <w:ind w:firstLine="0" w:firstLineChars="0"/>
              <w:rPr>
                <w:lang w:bidi="ar"/>
              </w:rPr>
            </w:pPr>
            <w:r>
              <w:rPr>
                <w:rFonts w:hint="eastAsia"/>
                <w:lang w:bidi="ar"/>
              </w:rPr>
              <w:t>降低技术门槛，惠及基层烟农</w:t>
            </w:r>
          </w:p>
        </w:tc>
      </w:tr>
    </w:tbl>
    <w:p w14:paraId="438A6894">
      <w:pPr>
        <w:ind w:firstLine="0" w:firstLineChars="0"/>
        <w:jc w:val="center"/>
        <w:rPr>
          <w:rFonts w:hint="eastAsia" w:ascii="宋体" w:hAnsi="宋体"/>
          <w:sz w:val="18"/>
          <w:szCs w:val="18"/>
          <w:lang w:bidi="ar"/>
        </w:rPr>
      </w:pPr>
      <w:r>
        <w:rPr>
          <w:rFonts w:hint="eastAsia"/>
          <w:lang w:bidi="ar"/>
        </w:rPr>
        <w:t xml:space="preserve"> </w:t>
      </w:r>
      <w:r>
        <w:rPr>
          <w:rFonts w:hint="eastAsia" w:ascii="宋体" w:hAnsi="宋体"/>
          <w:sz w:val="18"/>
          <w:szCs w:val="18"/>
          <w:lang w:bidi="ar"/>
        </w:rPr>
        <w:t>表6.</w:t>
      </w:r>
      <w:r>
        <w:rPr>
          <w:rFonts w:hint="eastAsia" w:ascii="宋体" w:hAnsi="宋体"/>
          <w:sz w:val="18"/>
          <w:szCs w:val="18"/>
          <w:lang w:val="en-US" w:eastAsia="zh-CN" w:bidi="ar"/>
        </w:rPr>
        <w:t>1</w:t>
      </w:r>
      <w:r>
        <w:rPr>
          <w:rFonts w:hint="eastAsia" w:ascii="宋体" w:hAnsi="宋体"/>
          <w:sz w:val="18"/>
          <w:szCs w:val="18"/>
          <w:lang w:bidi="ar"/>
        </w:rPr>
        <w:t xml:space="preserve"> 应用价值及预期效果</w:t>
      </w:r>
    </w:p>
    <w:p w14:paraId="2FDAC0C5">
      <w:pPr>
        <w:pStyle w:val="4"/>
        <w:rPr>
          <w:rFonts w:hint="eastAsia"/>
          <w:lang w:bidi="ar"/>
        </w:rPr>
      </w:pPr>
      <w:bookmarkStart w:id="97" w:name="_Toc661"/>
      <w:r>
        <w:rPr>
          <w:rFonts w:hint="eastAsia" w:ascii="黑体" w:hAnsi="黑体"/>
          <w:lang w:val="en-US" w:eastAsia="zh-CN" w:bidi="ar"/>
        </w:rPr>
        <w:t>6</w:t>
      </w:r>
      <w:r>
        <w:rPr>
          <w:rFonts w:hint="eastAsia" w:ascii="黑体" w:hAnsi="黑体"/>
          <w:lang w:bidi="ar"/>
        </w:rPr>
        <w:t>.3.</w:t>
      </w:r>
      <w:r>
        <w:rPr>
          <w:rFonts w:hint="eastAsia"/>
          <w:lang w:bidi="ar"/>
        </w:rPr>
        <w:t xml:space="preserve"> 社会价值</w:t>
      </w:r>
      <w:bookmarkEnd w:id="97"/>
    </w:p>
    <w:p w14:paraId="76221895">
      <w:pPr>
        <w:pStyle w:val="5"/>
        <w:rPr>
          <w:lang w:bidi="ar"/>
        </w:rPr>
      </w:pPr>
      <w:bookmarkStart w:id="98" w:name="_Toc10743"/>
      <w:r>
        <w:rPr>
          <w:rFonts w:hint="eastAsia" w:ascii="黑体" w:hAnsi="黑体"/>
          <w:lang w:val="en-US" w:eastAsia="zh-CN" w:bidi="ar"/>
        </w:rPr>
        <w:t>6</w:t>
      </w:r>
      <w:r>
        <w:rPr>
          <w:rFonts w:ascii="黑体" w:hAnsi="黑体"/>
          <w:lang w:bidi="ar"/>
        </w:rPr>
        <w:t>.3.1.</w:t>
      </w:r>
      <w:r>
        <w:rPr>
          <w:lang w:bidi="ar"/>
        </w:rPr>
        <w:t>农业现代化领域</w:t>
      </w:r>
      <w:bookmarkEnd w:id="98"/>
    </w:p>
    <w:p w14:paraId="15161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本项目通过AI驱动的缺素识别、病虫害检测与智能决策系统，推动烟草种植从传统人工巡检向精准化、智能化全面升级，不仅显著提升烟草产业的经济效益和生产稳定性，还能大幅提高单产与烟叶品质，为全国烟叶主产区提供一套标准化、可复制的精准农业技术解决方案。项目所形成的“检测</w:t>
      </w:r>
      <w:r>
        <w:rPr>
          <w:rFonts w:hint="eastAsia"/>
          <w:lang w:bidi="ar"/>
        </w:rPr>
        <w:t>—</w:t>
      </w:r>
      <w:r>
        <w:rPr>
          <w:lang w:bidi="ar"/>
        </w:rPr>
        <w:t>决策</w:t>
      </w:r>
      <w:r>
        <w:rPr>
          <w:rFonts w:hint="eastAsia"/>
          <w:lang w:bidi="ar"/>
        </w:rPr>
        <w:t>—</w:t>
      </w:r>
      <w:r>
        <w:rPr>
          <w:lang w:bidi="ar"/>
        </w:rPr>
        <w:t>执行”全链条闭环模式，可直接服务于规模化基地、专业合作社及散户等不同种植主体，填补当前经济作物领域智能化应用空白，助力我国农业现代化进程加速，为其他经济作物（如茶叶、果蔬）提供成熟的技术借鉴范例。</w:t>
      </w:r>
    </w:p>
    <w:p w14:paraId="0B5F598F">
      <w:pPr>
        <w:pStyle w:val="5"/>
        <w:rPr>
          <w:rFonts w:ascii="黑体" w:hAnsi="黑体"/>
          <w:lang w:bidi="ar"/>
        </w:rPr>
      </w:pPr>
      <w:bookmarkStart w:id="99" w:name="_Toc12141"/>
      <w:r>
        <w:rPr>
          <w:rFonts w:hint="eastAsia" w:ascii="黑体" w:hAnsi="黑体"/>
          <w:lang w:val="en-US" w:eastAsia="zh-CN" w:bidi="ar"/>
        </w:rPr>
        <w:t>6</w:t>
      </w:r>
      <w:r>
        <w:rPr>
          <w:rFonts w:ascii="黑体" w:hAnsi="黑体"/>
          <w:lang w:bidi="ar"/>
        </w:rPr>
        <w:t>.3.2.生态环境保护领域</w:t>
      </w:r>
      <w:bookmarkEnd w:id="99"/>
    </w:p>
    <w:p w14:paraId="63FB76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项目通过精准识别缺素症状与病虫害，实现化肥农药的按需施用，可有效减少过量使用带来的土壤板结、水体富营养化等农业面源污染问题，同时降低田间碳排放与温室气体释放，实现农业生产的绿色低碳转型。该方案直接契合国家“双碳”目标与生态文明建设要求，通过“减药减肥”技术路径，预计在推广区域内可将化学农药使用量降低20%以上，保护烟区生态环境，保障土壤健康与生物多样性，为构建可持续农业生态系统提供有力支撑。</w:t>
      </w:r>
    </w:p>
    <w:p w14:paraId="40ECA5EB">
      <w:pPr>
        <w:pStyle w:val="5"/>
        <w:rPr>
          <w:lang w:bidi="ar"/>
        </w:rPr>
      </w:pPr>
      <w:bookmarkStart w:id="100" w:name="_Toc18598"/>
      <w:r>
        <w:rPr>
          <w:rFonts w:hint="eastAsia" w:ascii="黑体" w:hAnsi="黑体"/>
          <w:lang w:val="en-US" w:eastAsia="zh-CN" w:bidi="ar"/>
        </w:rPr>
        <w:t>6</w:t>
      </w:r>
      <w:r>
        <w:rPr>
          <w:rFonts w:ascii="黑体" w:hAnsi="黑体"/>
          <w:lang w:bidi="ar"/>
        </w:rPr>
        <w:t>.3.3.</w:t>
      </w:r>
      <w:r>
        <w:rPr>
          <w:lang w:bidi="ar"/>
        </w:rPr>
        <w:t>乡村振兴领域</w:t>
      </w:r>
      <w:bookmarkEnd w:id="100"/>
    </w:p>
    <w:p w14:paraId="51A5F0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本项目大幅降低烟草种植的劳动强度，将传统繁重的巡检、决策工作转化为“一键巡检”和AI辅助操作，有效缓解烟农（尤其是50岁以上群体）的体力负担，提升种植效率与收入水平，从而吸引更多青壮年劳动力回流农村，缓解农村劳动力外流问题。通过增加种植户年均收入，项目将直接促进烟区农村经济发展，增强乡村产业活力，为乡村振兴战略实施提供科技赋能路径，同时助力烟农实现从“经验种植”向“智慧种植”的转变，提升农村整体生活质量。</w:t>
      </w:r>
    </w:p>
    <w:p w14:paraId="65F522B7">
      <w:pPr>
        <w:pStyle w:val="5"/>
        <w:rPr>
          <w:rFonts w:ascii="黑体" w:hAnsi="黑体"/>
          <w:lang w:bidi="ar"/>
        </w:rPr>
      </w:pPr>
      <w:bookmarkStart w:id="101" w:name="_Toc27354"/>
      <w:r>
        <w:rPr>
          <w:rFonts w:hint="eastAsia" w:ascii="黑体" w:hAnsi="黑体"/>
          <w:lang w:val="en-US" w:eastAsia="zh-CN" w:bidi="ar"/>
        </w:rPr>
        <w:t>6</w:t>
      </w:r>
      <w:r>
        <w:rPr>
          <w:rFonts w:ascii="黑体" w:hAnsi="黑体"/>
          <w:lang w:bidi="ar"/>
        </w:rPr>
        <w:t>.3.4.烟草产业标准化领域</w:t>
      </w:r>
      <w:bookmarkEnd w:id="101"/>
    </w:p>
    <w:p w14:paraId="41F87C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项目构建</w:t>
      </w:r>
      <w:r>
        <w:rPr>
          <w:rFonts w:hint="eastAsia"/>
          <w:lang w:bidi="ar"/>
        </w:rPr>
        <w:t>的</w:t>
      </w:r>
      <w:r>
        <w:rPr>
          <w:lang w:bidi="ar"/>
        </w:rPr>
        <w:t>智能决策模型与标准化喷洒方案，可为烟草种植提供统一、可量化的检测与施肥标准，推动全国烟叶生产从分散经验管理转向规范化、数据化管理模式，有效提升烟叶原料品质的稳定性和一致性。该标准化成果不仅能满足中国烟草总公司“绿色烟叶”生产要求，还可形成行业技术规范，为烟草产业高质量发展奠定基础，最终保障烟草产业链上下游（种植</w:t>
      </w:r>
      <w:r>
        <w:rPr>
          <w:rFonts w:hint="eastAsia"/>
          <w:lang w:bidi="ar"/>
        </w:rPr>
        <w:t>—</w:t>
      </w:r>
      <w:r>
        <w:rPr>
          <w:lang w:bidi="ar"/>
        </w:rPr>
        <w:t>加工</w:t>
      </w:r>
      <w:r>
        <w:rPr>
          <w:rFonts w:hint="eastAsia"/>
          <w:lang w:bidi="ar"/>
        </w:rPr>
        <w:t>—</w:t>
      </w:r>
      <w:r>
        <w:rPr>
          <w:lang w:bidi="ar"/>
        </w:rPr>
        <w:t>制品）的健康协同发展，提升我国烟草产业在全球市场的竞争力与可持续发展能力。</w:t>
      </w:r>
    </w:p>
    <w:p w14:paraId="3FE6950F">
      <w:pPr>
        <w:pStyle w:val="14"/>
        <w:numPr>
          <w:numId w:val="0"/>
        </w:numPr>
        <w:ind w:leftChars="0"/>
        <w:rPr>
          <w:lang w:bidi="ar"/>
        </w:rPr>
      </w:pPr>
    </w:p>
    <w:p w14:paraId="4C5D3CA8">
      <w:pPr>
        <w:pStyle w:val="14"/>
        <w:numPr>
          <w:ilvl w:val="0"/>
          <w:numId w:val="1"/>
        </w:numPr>
        <w:ind w:firstLineChars="0"/>
        <w:rPr>
          <w:sz w:val="40"/>
          <w:szCs w:val="40"/>
        </w:rPr>
      </w:pPr>
      <w:r>
        <w:rPr>
          <w:rFonts w:hint="eastAsia"/>
          <w:sz w:val="40"/>
          <w:szCs w:val="40"/>
        </w:rPr>
        <w:t>项目存在的问题及改进方向</w:t>
      </w:r>
    </w:p>
    <w:p w14:paraId="3AD3681E">
      <w:pPr>
        <w:pStyle w:val="4"/>
        <w:rPr>
          <w:rFonts w:hint="eastAsia"/>
          <w:lang w:bidi="ar"/>
        </w:rPr>
      </w:pPr>
      <w:bookmarkStart w:id="102" w:name="_Toc26791"/>
      <w:r>
        <w:rPr>
          <w:rFonts w:hint="eastAsia" w:ascii="黑体" w:hAnsi="黑体"/>
          <w:lang w:val="en-US" w:eastAsia="zh-CN" w:bidi="ar"/>
        </w:rPr>
        <w:t>7</w:t>
      </w:r>
      <w:r>
        <w:rPr>
          <w:rFonts w:hint="eastAsia" w:ascii="黑体" w:hAnsi="黑体"/>
          <w:lang w:bidi="ar"/>
        </w:rPr>
        <w:t>.1.</w:t>
      </w:r>
      <w:r>
        <w:rPr>
          <w:rFonts w:hint="eastAsia"/>
          <w:lang w:bidi="ar"/>
        </w:rPr>
        <w:t xml:space="preserve"> 跨场景泛化数据不足</w:t>
      </w:r>
      <w:bookmarkEnd w:id="102"/>
    </w:p>
    <w:p w14:paraId="5B4E26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现有公开数据集（如PlantVillage）基本不包含烟草专项数据，本项目已采集的四种主要病虫害和多种缺素症状样本受季节、地域和品种限制，覆盖的烟草品种（如K326、云烟87、红花大金元等）及不同产区环境条件仍较有限，导致模型在新场景下的泛化能力不足，田间复杂光照、遮挡、多病并发时易出现漏检或误检。</w:t>
      </w:r>
    </w:p>
    <w:p w14:paraId="6030B9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改进方向：与云南省烟草科学研究院、中国烟草总公司郑州烟草研究院等单位合作，开展多产区、多品种、多季节的实地数据采集，建立烟草专用病虫害与缺素症状数据集；同时引入旋转、裁剪、色彩变换等数据增强技术和GAN合成数据扩充样本量，并采用迁移学习、联邦学习机制，利用实际部署后的反馈数据持续优化模型，提升跨场景泛化能力。</w:t>
      </w:r>
    </w:p>
    <w:p w14:paraId="485BE185">
      <w:pPr>
        <w:pStyle w:val="4"/>
        <w:rPr>
          <w:rFonts w:hint="eastAsia"/>
          <w:lang w:bidi="ar"/>
        </w:rPr>
      </w:pPr>
      <w:bookmarkStart w:id="103" w:name="_Toc1577"/>
      <w:r>
        <w:rPr>
          <w:rFonts w:hint="eastAsia" w:ascii="黑体" w:hAnsi="黑体"/>
          <w:lang w:val="en-US" w:eastAsia="zh-CN" w:bidi="ar"/>
        </w:rPr>
        <w:t>7</w:t>
      </w:r>
      <w:r>
        <w:rPr>
          <w:rFonts w:hint="eastAsia" w:ascii="黑体" w:hAnsi="黑体"/>
          <w:lang w:bidi="ar"/>
        </w:rPr>
        <w:t>.2.</w:t>
      </w:r>
      <w:r>
        <w:rPr>
          <w:rFonts w:hint="eastAsia"/>
          <w:lang w:bidi="ar"/>
        </w:rPr>
        <w:t xml:space="preserve"> 实时干预算法待优化</w:t>
      </w:r>
      <w:bookmarkEnd w:id="103"/>
    </w:p>
    <w:p w14:paraId="07E797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轻量化模型（如YOLOv8-nano、</w:t>
      </w:r>
      <w:r>
        <w:rPr>
          <w:rFonts w:hint="eastAsia"/>
          <w:lang w:bidi="ar"/>
        </w:rPr>
        <w:t>ResNet</w:t>
      </w:r>
      <w:r>
        <w:rPr>
          <w:lang w:bidi="ar"/>
        </w:rPr>
        <w:t>）在Jetson Nano/Xavier等边缘设备上运行时，精度与推理速度仍存在明显权衡，无人机载荷限制（电池续航、计算模块重量）以及多光谱图像处理计算量大，进一步影响了“检测</w:t>
      </w:r>
      <w:r>
        <w:rPr>
          <w:rFonts w:hint="eastAsia"/>
          <w:lang w:bidi="ar"/>
        </w:rPr>
        <w:t>—</w:t>
      </w:r>
      <w:r>
        <w:rPr>
          <w:lang w:bidi="ar"/>
        </w:rPr>
        <w:t>决策</w:t>
      </w:r>
      <w:r>
        <w:rPr>
          <w:rFonts w:hint="eastAsia"/>
          <w:lang w:bidi="ar"/>
        </w:rPr>
        <w:t>—</w:t>
      </w:r>
      <w:r>
        <w:rPr>
          <w:lang w:bidi="ar"/>
        </w:rPr>
        <w:t>执行”全链条的实时性，在高并发、大面积地块作业场景下决策效率有待提升。</w:t>
      </w:r>
    </w:p>
    <w:p w14:paraId="5AAC61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改进方向：采用知识蒸馏、模型剪枝和量化压缩技术，进一步减小模型体积；集成TensorRT或ONNX Runtime等高效推理引擎，同时优化数据传输协议，减少延迟；探索分布式计算架构，将部分复杂任务分配至边缘节点或云端协同处理，提升系统整体并发能力和实时干预效率。</w:t>
      </w:r>
    </w:p>
    <w:p w14:paraId="2225F87F">
      <w:pPr>
        <w:pStyle w:val="4"/>
        <w:rPr>
          <w:rFonts w:hint="eastAsia" w:ascii="黑体" w:hAnsi="黑体"/>
          <w:lang w:bidi="ar"/>
        </w:rPr>
      </w:pPr>
      <w:bookmarkStart w:id="104" w:name="_Toc30723"/>
      <w:r>
        <w:rPr>
          <w:rFonts w:hint="eastAsia" w:ascii="黑体" w:hAnsi="黑体"/>
          <w:lang w:val="en-US" w:eastAsia="zh-CN" w:bidi="ar"/>
        </w:rPr>
        <w:t>7</w:t>
      </w:r>
      <w:r>
        <w:rPr>
          <w:rFonts w:hint="eastAsia" w:ascii="黑体" w:hAnsi="黑体"/>
          <w:lang w:bidi="ar"/>
        </w:rPr>
        <w:t>.3. 路径规划实际适用性不足</w:t>
      </w:r>
      <w:bookmarkEnd w:id="104"/>
    </w:p>
    <w:p w14:paraId="25BAD7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全局A</w:t>
      </w:r>
      <w:r>
        <w:rPr>
          <w:rFonts w:hint="eastAsia"/>
          <w:lang w:bidi="ar"/>
        </w:rPr>
        <w:t>*</w:t>
      </w:r>
      <w:r>
        <w:rPr>
          <w:lang w:bidi="ar"/>
        </w:rPr>
        <w:t>算法在大面积（百亩级）烟田中计算效率易成瓶颈，ORCA局部避障算法在烟田实际障碍物（灌溉设施、电线杆、田埂、相邻无人机）场景下的参数需大量实地调优，且民用GPS定位精度（1-3米）难以满足行间精准喷洒要求，整体路径规划的实用性仍需加强。</w:t>
      </w:r>
    </w:p>
    <w:p w14:paraId="0BD939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改进方向：引入分层规划策略，全局层面采用改进A或RRT算法进行区域划分，局部层面使用DWA实时避障；集成RTK差分定位技术，将定位精度提升至厘米级；同时研究多机协同作业调度算法，实现多无人机协同覆盖，提升大规模地块的作业效率和路径规划的实际适用性。</w:t>
      </w:r>
    </w:p>
    <w:p w14:paraId="2789A31E">
      <w:pPr>
        <w:pStyle w:val="4"/>
        <w:rPr>
          <w:rFonts w:hint="eastAsia" w:ascii="黑体" w:hAnsi="黑体"/>
          <w:lang w:bidi="ar"/>
        </w:rPr>
      </w:pPr>
      <w:bookmarkStart w:id="105" w:name="_Toc15937"/>
      <w:r>
        <w:rPr>
          <w:rFonts w:hint="eastAsia" w:ascii="黑体" w:hAnsi="黑体"/>
          <w:lang w:val="en-US" w:eastAsia="zh-CN" w:bidi="ar"/>
        </w:rPr>
        <w:t>7</w:t>
      </w:r>
      <w:r>
        <w:rPr>
          <w:rFonts w:hint="eastAsia" w:ascii="黑体" w:hAnsi="黑体"/>
          <w:lang w:bidi="ar"/>
        </w:rPr>
        <w:t>.4. 服务网络与硬件成本优化不足</w:t>
      </w:r>
      <w:bookmarkEnd w:id="105"/>
    </w:p>
    <w:p w14:paraId="2EE73C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烟农平均年龄偏大（多为50岁以上），对智能化系统操作门槛较高；烟草行业管理体系封闭，前期硬件投入（无人机+多光谱相机+边缘计算设备）单套成本约5-15万元，且部分老旧无人机兼容性不足，初期服务网络和推广渠道有限，影响项目大规模推广。</w:t>
      </w:r>
    </w:p>
    <w:p w14:paraId="602C4D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lang w:bidi="ar"/>
        </w:rPr>
        <w:t>改进方向：开发支持语音交互、方言识别和“一键巡检”傻瓜式移动端APP，降低烟农操作门槛；与烟草技术推广部门、农业社会化服务机构合作，建立覆盖全国的技术支持与售后服务网络；优化硬件配置方案，选择性价比更高的传感器平台并开发通用硬件接口，同时探索SaaS按亩/按次收费模式，显著降低用户初期投入成本。</w:t>
      </w:r>
    </w:p>
    <w:p w14:paraId="5033A5CC">
      <w:pPr>
        <w:pStyle w:val="14"/>
        <w:numPr>
          <w:numId w:val="0"/>
        </w:numPr>
        <w:ind w:leftChars="0"/>
        <w:rPr>
          <w:lang w:bidi="ar"/>
        </w:rPr>
      </w:pPr>
    </w:p>
    <w:p w14:paraId="56CAAAF2">
      <w:pPr>
        <w:rPr>
          <w:i/>
          <w:iCs/>
        </w:rPr>
      </w:pPr>
    </w:p>
    <w:p w14:paraId="06C0F668">
      <w:pPr>
        <w:rPr>
          <w:i/>
          <w:iCs/>
        </w:rPr>
      </w:pPr>
    </w:p>
    <w:p w14:paraId="31F02349">
      <w:pPr>
        <w:pStyle w:val="14"/>
        <w:numPr>
          <w:numId w:val="0"/>
        </w:numPr>
        <w:ind w:leftChars="0"/>
        <w:rPr>
          <w:rFonts w:hint="eastAsia"/>
        </w:rPr>
      </w:pPr>
      <w:bookmarkStart w:id="106" w:name="_Toc17656"/>
      <w:bookmarkStart w:id="107" w:name="_Toc146625991"/>
      <w:bookmarkStart w:id="108" w:name="_Toc26457"/>
      <w:r>
        <w:rPr>
          <w:rFonts w:hint="eastAsia"/>
          <w:sz w:val="40"/>
          <w:szCs w:val="40"/>
        </w:rPr>
        <w:t>参考</w:t>
      </w:r>
      <w:bookmarkEnd w:id="106"/>
      <w:bookmarkEnd w:id="107"/>
      <w:r>
        <w:rPr>
          <w:rFonts w:hint="eastAsia"/>
          <w:sz w:val="40"/>
          <w:szCs w:val="40"/>
        </w:rPr>
        <w:t>资料</w:t>
      </w:r>
      <w:bookmarkEnd w:id="108"/>
    </w:p>
    <w:p w14:paraId="37506A5E">
      <w:pPr>
        <w:pStyle w:val="14"/>
        <w:widowControl/>
        <w:numPr>
          <w:ilvl w:val="0"/>
          <w:numId w:val="2"/>
        </w:numPr>
        <w:ind w:firstLineChars="0"/>
        <w:jc w:val="left"/>
        <w:rPr>
          <w:rFonts w:ascii="Times New Roman" w:hAnsi="Times New Roman" w:cs="Times New Roman" w:eastAsiaTheme="minorEastAsia"/>
        </w:rPr>
      </w:pPr>
      <w:bookmarkStart w:id="109" w:name="_Ref225504033"/>
      <w:r>
        <w:rPr>
          <w:rFonts w:ascii="Times New Roman" w:hAnsi="Times New Roman" w:cs="Times New Roman"/>
        </w:rPr>
        <w:t>IETF. RFC 8446: The Transport Layer Security (TLS) Protocol Version 1.3[EB/OL]. 2018.</w:t>
      </w:r>
      <w:bookmarkEnd w:id="109"/>
    </w:p>
    <w:p w14:paraId="36AE067C">
      <w:pPr>
        <w:pStyle w:val="14"/>
        <w:widowControl/>
        <w:numPr>
          <w:ilvl w:val="0"/>
          <w:numId w:val="2"/>
        </w:numPr>
        <w:ind w:firstLineChars="0"/>
        <w:jc w:val="left"/>
        <w:rPr>
          <w:rFonts w:ascii="Times New Roman" w:hAnsi="Times New Roman" w:cs="Times New Roman"/>
        </w:rPr>
      </w:pPr>
      <w:bookmarkStart w:id="110" w:name="_Ref225504062"/>
      <w:r>
        <w:rPr>
          <w:rFonts w:ascii="Times New Roman" w:hAnsi="Times New Roman" w:cs="Times New Roman" w:eastAsiaTheme="minorEastAsia"/>
        </w:rPr>
        <w:t>Lin T. Y., Goyal P., Girshick R., He K., Dollár P. Focal Loss for Dense Object Detection. ICCV 2017.</w:t>
      </w:r>
      <w:bookmarkEnd w:id="110"/>
    </w:p>
    <w:p w14:paraId="1C555FC1">
      <w:pPr>
        <w:pStyle w:val="14"/>
        <w:widowControl/>
        <w:numPr>
          <w:ilvl w:val="0"/>
          <w:numId w:val="2"/>
        </w:numPr>
        <w:ind w:firstLineChars="0"/>
        <w:jc w:val="left"/>
        <w:rPr>
          <w:rFonts w:ascii="Times New Roman" w:hAnsi="Times New Roman" w:cs="Times New Roman"/>
        </w:rPr>
      </w:pPr>
      <w:bookmarkStart w:id="111" w:name="_Ref225504087"/>
      <w:r>
        <w:rPr>
          <w:rFonts w:ascii="Times New Roman" w:hAnsi="Times New Roman" w:cs="Times New Roman"/>
        </w:rPr>
        <w:t>Szegedy C., Vanhoucke V., Ioffe S., Shlens J., Wojna Z. Rethinking the Inception Architecture for Computer Vision. CVPR 2016.</w:t>
      </w:r>
      <w:bookmarkEnd w:id="111"/>
    </w:p>
    <w:p w14:paraId="6DCF780C">
      <w:pPr>
        <w:pStyle w:val="14"/>
        <w:widowControl/>
        <w:numPr>
          <w:ilvl w:val="0"/>
          <w:numId w:val="2"/>
        </w:numPr>
        <w:ind w:firstLineChars="0"/>
        <w:jc w:val="left"/>
        <w:rPr>
          <w:rFonts w:ascii="Times New Roman" w:hAnsi="Times New Roman" w:cs="Times New Roman"/>
        </w:rPr>
      </w:pPr>
      <w:bookmarkStart w:id="112" w:name="_Ref225504136"/>
      <w:r>
        <w:rPr>
          <w:rFonts w:hint="eastAsia" w:ascii="宋体" w:hAnsi="宋体"/>
        </w:rPr>
        <w:t>李茂，肖洋轶，宗望远，等.基于改进YOLOv8模型的轻量化板栗果实识别方法[J].农业工程学报，</w:t>
      </w:r>
      <w:r>
        <w:rPr>
          <w:rFonts w:ascii="Times New Roman" w:hAnsi="Times New Roman" w:cs="Times New Roman"/>
        </w:rPr>
        <w:t>2024，40(1)：201-209.</w:t>
      </w:r>
      <w:bookmarkEnd w:id="112"/>
    </w:p>
    <w:p w14:paraId="5D45F315">
      <w:pPr>
        <w:pStyle w:val="14"/>
        <w:widowControl/>
        <w:numPr>
          <w:ilvl w:val="0"/>
          <w:numId w:val="2"/>
        </w:numPr>
        <w:ind w:firstLineChars="0"/>
        <w:jc w:val="left"/>
        <w:rPr>
          <w:rFonts w:ascii="Times New Roman" w:hAnsi="Times New Roman" w:cs="Times New Roman"/>
        </w:rPr>
      </w:pPr>
      <w:bookmarkStart w:id="113" w:name="_Ref225504175"/>
      <w:r>
        <w:rPr>
          <w:rFonts w:ascii="Times New Roman" w:hAnsi="Times New Roman" w:cs="Times New Roman"/>
        </w:rPr>
        <w:t>He K., Zhang X., Ren S., Sun J. Deep Residual Learning for Image Recognition. CVPR 2016.</w:t>
      </w:r>
      <w:bookmarkEnd w:id="113"/>
    </w:p>
    <w:p w14:paraId="22223948">
      <w:pPr>
        <w:pStyle w:val="14"/>
        <w:widowControl/>
        <w:numPr>
          <w:ilvl w:val="0"/>
          <w:numId w:val="2"/>
        </w:numPr>
        <w:ind w:firstLineChars="0"/>
        <w:jc w:val="left"/>
        <w:rPr>
          <w:rFonts w:ascii="Times New Roman" w:hAnsi="Times New Roman" w:cs="Times New Roman"/>
        </w:rPr>
      </w:pPr>
      <w:bookmarkStart w:id="114" w:name="_Ref225504201"/>
      <w:bookmarkStart w:id="115" w:name="_Ref225504112"/>
      <w:r>
        <w:rPr>
          <w:rFonts w:ascii="Times New Roman" w:hAnsi="Times New Roman" w:cs="Times New Roman"/>
        </w:rPr>
        <w:t>Rumelhart D. E., Hinton G. E., Williams R. J. Learning representations by back-propagating errors. Nature, 1986, 323(6088): 533–536.</w:t>
      </w:r>
      <w:bookmarkEnd w:id="114"/>
    </w:p>
    <w:p w14:paraId="214EAA12">
      <w:pPr>
        <w:pStyle w:val="14"/>
        <w:widowControl/>
        <w:numPr>
          <w:ilvl w:val="0"/>
          <w:numId w:val="2"/>
        </w:numPr>
        <w:ind w:firstLineChars="0"/>
        <w:jc w:val="left"/>
        <w:rPr>
          <w:rFonts w:ascii="Times New Roman" w:hAnsi="Times New Roman" w:cs="Times New Roman"/>
        </w:rPr>
      </w:pPr>
      <w:r>
        <w:rPr>
          <w:rFonts w:hint="eastAsia" w:ascii="宋体" w:hAnsi="宋体"/>
        </w:rPr>
        <w:t>陈伟强. 基于GIS的烟草施肥决策支持系统研究[J]. 测绘科学技术学报，</w:t>
      </w:r>
      <w:r>
        <w:rPr>
          <w:rFonts w:ascii="Times New Roman" w:hAnsi="Times New Roman" w:cs="Times New Roman"/>
        </w:rPr>
        <w:t>2008, 06, v.25 455-458.</w:t>
      </w:r>
      <w:bookmarkEnd w:id="115"/>
    </w:p>
    <w:p w14:paraId="7DA0D9EC">
      <w:pPr>
        <w:pStyle w:val="14"/>
        <w:widowControl/>
        <w:numPr>
          <w:ilvl w:val="0"/>
          <w:numId w:val="2"/>
        </w:numPr>
        <w:ind w:firstLineChars="0"/>
        <w:jc w:val="left"/>
        <w:rPr>
          <w:rFonts w:ascii="Times New Roman" w:hAnsi="Times New Roman" w:cs="Times New Roman"/>
        </w:rPr>
      </w:pPr>
      <w:bookmarkStart w:id="116" w:name="_Ref225504293"/>
      <w:r>
        <w:rPr>
          <w:rFonts w:hint="eastAsia" w:ascii="宋体" w:hAnsi="宋体"/>
        </w:rPr>
        <w:t>杨泽，郑立华，李民赞，等. 基于 R 树空间索引的植保无人机与植保作业匹配算法[J]. 农业工程学报，</w:t>
      </w:r>
      <w:r>
        <w:rPr>
          <w:rFonts w:ascii="Times New Roman" w:hAnsi="Times New Roman" w:cs="Times New Roman"/>
        </w:rPr>
        <w:t>2017，33（S1）：92-98.</w:t>
      </w:r>
      <w:bookmarkEnd w:id="116"/>
    </w:p>
    <w:p w14:paraId="1BAF1E19">
      <w:pPr>
        <w:pStyle w:val="14"/>
        <w:widowControl/>
        <w:numPr>
          <w:ilvl w:val="0"/>
          <w:numId w:val="2"/>
        </w:numPr>
        <w:ind w:firstLineChars="0"/>
        <w:jc w:val="left"/>
        <w:rPr>
          <w:rFonts w:ascii="Times New Roman" w:hAnsi="Times New Roman" w:cs="Times New Roman"/>
        </w:rPr>
      </w:pPr>
      <w:bookmarkStart w:id="117" w:name="_Ref225504322"/>
      <w:r>
        <w:rPr>
          <w:rFonts w:hint="eastAsia" w:ascii="宋体" w:hAnsi="宋体"/>
        </w:rPr>
        <w:t>老明瑞，李正，丁兆云，等. 面向轻量级模型鲁棒性的对抗排序蒸馏方法[J].计算机研究与发展，</w:t>
      </w:r>
      <w:r>
        <w:rPr>
          <w:rFonts w:ascii="Times New Roman" w:hAnsi="Times New Roman" w:cs="Times New Roman"/>
        </w:rPr>
        <w:t>2025，TP18;TP391.41.</w:t>
      </w:r>
      <w:bookmarkEnd w:id="117"/>
    </w:p>
    <w:p w14:paraId="3F2C9198">
      <w:pPr>
        <w:pStyle w:val="14"/>
        <w:numPr>
          <w:ilvl w:val="0"/>
          <w:numId w:val="2"/>
        </w:numPr>
        <w:ind w:firstLineChars="0"/>
        <w:jc w:val="left"/>
        <w:rPr>
          <w:rFonts w:ascii="Times New Roman" w:hAnsi="Times New Roman" w:cs="Times New Roman"/>
        </w:rPr>
      </w:pPr>
      <w:bookmarkStart w:id="118" w:name="_Ref225503846"/>
      <w:r>
        <w:rPr>
          <w:rFonts w:hint="eastAsia" w:ascii="宋体" w:hAnsi="宋体"/>
          <w:lang w:bidi="ar"/>
        </w:rPr>
        <w:t>农业农村部. 关于印发《到2025年化肥减量化行动方案》和《到2025年化学农药减量化行动方案》的通知</w:t>
      </w:r>
      <w:r>
        <w:rPr>
          <w:rFonts w:ascii="Times New Roman" w:hAnsi="Times New Roman" w:cs="Times New Roman"/>
          <w:lang w:bidi="ar"/>
        </w:rPr>
        <w:t xml:space="preserve">[Z/OL]. 2022-11-16[2026-03-19]. </w:t>
      </w:r>
      <w:r>
        <w:fldChar w:fldCharType="begin"/>
      </w:r>
      <w:r>
        <w:instrText xml:space="preserve"> HYPERLINK "https://www.moa.gov.cn/nybgb/2022/202212/202301/t20230104_6418252.htm." </w:instrText>
      </w:r>
      <w:r>
        <w:fldChar w:fldCharType="separate"/>
      </w:r>
      <w:r>
        <w:rPr>
          <w:rStyle w:val="13"/>
          <w:rFonts w:ascii="Times New Roman" w:hAnsi="Times New Roman" w:cs="Times New Roman"/>
          <w:color w:val="auto"/>
          <w:u w:val="none"/>
          <w:lang w:bidi="ar"/>
        </w:rPr>
        <w:t>https://www.moa.gov.cn/nybgb/2022/202212/202301/t20230104_6418252.htm.</w:t>
      </w:r>
      <w:r>
        <w:rPr>
          <w:rStyle w:val="13"/>
          <w:rFonts w:ascii="Times New Roman" w:hAnsi="Times New Roman" w:cs="Times New Roman"/>
          <w:color w:val="auto"/>
          <w:u w:val="none"/>
          <w:lang w:bidi="ar"/>
        </w:rPr>
        <w:fldChar w:fldCharType="end"/>
      </w:r>
      <w:bookmarkEnd w:id="118"/>
    </w:p>
    <w:p w14:paraId="31A521AF">
      <w:pPr>
        <w:rPr>
          <w:i/>
          <w:iCs/>
        </w:rPr>
      </w:pPr>
    </w:p>
    <w:p w14:paraId="54580BF3"/>
    <w:p w14:paraId="50CF54F3"/>
    <w:p w14:paraId="3CFAC8CB"/>
    <w:p w14:paraId="7BF5D767"/>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宋">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6F2E1">
    <w:pPr>
      <w:pStyle w:val="7"/>
      <w:jc w:val="center"/>
    </w:pPr>
    <w:r>
      <w:rPr>
        <w:rFonts w:ascii="宋体" w:hAnsi="宋体" w:eastAsia="宋体"/>
        <w:lang w:val="zh-CN"/>
      </w:rPr>
      <w:t xml:space="preserve"> </w:t>
    </w:r>
    <w:r>
      <w:rPr>
        <w:rFonts w:ascii="宋体" w:hAnsi="宋体" w:eastAsia="宋体"/>
        <w:b/>
        <w:bCs/>
        <w:sz w:val="24"/>
        <w:szCs w:val="24"/>
      </w:rPr>
      <w:fldChar w:fldCharType="begin"/>
    </w:r>
    <w:r>
      <w:rPr>
        <w:rFonts w:ascii="宋体" w:hAnsi="宋体" w:eastAsia="宋体"/>
        <w:b/>
        <w:bCs/>
      </w:rPr>
      <w:instrText xml:space="preserve">PAGE</w:instrText>
    </w:r>
    <w:r>
      <w:rPr>
        <w:rFonts w:ascii="宋体" w:hAnsi="宋体" w:eastAsia="宋体"/>
        <w:b/>
        <w:bCs/>
        <w:sz w:val="24"/>
        <w:szCs w:val="24"/>
      </w:rPr>
      <w:fldChar w:fldCharType="separate"/>
    </w:r>
    <w:r>
      <w:rPr>
        <w:rFonts w:ascii="宋体" w:hAnsi="宋体" w:eastAsia="宋体"/>
        <w:b/>
        <w:bCs/>
      </w:rPr>
      <w:t>1</w:t>
    </w:r>
    <w:r>
      <w:rPr>
        <w:rFonts w:ascii="宋体" w:hAnsi="宋体" w:eastAsia="宋体"/>
        <w:b/>
        <w:bCs/>
        <w:sz w:val="24"/>
        <w:szCs w:val="24"/>
      </w:rPr>
      <w:fldChar w:fldCharType="end"/>
    </w:r>
    <w:r>
      <w:rPr>
        <w:rFonts w:ascii="宋体" w:hAnsi="宋体" w:eastAsia="宋体"/>
        <w:lang w:val="zh-CN"/>
      </w:rPr>
      <w:t xml:space="preserve"> / </w:t>
    </w:r>
    <w:r>
      <w:rPr>
        <w:rFonts w:ascii="宋体" w:hAnsi="宋体" w:eastAsia="宋体"/>
        <w:b/>
        <w:bCs/>
        <w:sz w:val="24"/>
        <w:szCs w:val="24"/>
      </w:rPr>
      <w:fldChar w:fldCharType="begin"/>
    </w:r>
    <w:r>
      <w:rPr>
        <w:rFonts w:ascii="宋体" w:hAnsi="宋体" w:eastAsia="宋体"/>
        <w:b/>
        <w:bCs/>
      </w:rPr>
      <w:instrText xml:space="preserve">NUMPAGES</w:instrText>
    </w:r>
    <w:r>
      <w:rPr>
        <w:rFonts w:ascii="宋体" w:hAnsi="宋体" w:eastAsia="宋体"/>
        <w:b/>
        <w:bCs/>
        <w:sz w:val="24"/>
        <w:szCs w:val="24"/>
      </w:rPr>
      <w:fldChar w:fldCharType="separate"/>
    </w:r>
    <w:r>
      <w:rPr>
        <w:rFonts w:ascii="宋体" w:hAnsi="宋体" w:eastAsia="宋体"/>
        <w:b/>
        <w:bCs/>
      </w:rPr>
      <w:t>2</w:t>
    </w:r>
    <w:r>
      <w:rPr>
        <w:rFonts w:ascii="宋体" w:hAnsi="宋体" w:eastAsia="宋体"/>
        <w:b/>
        <w:bCs/>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22B90">
    <w:pPr>
      <w:pStyle w:val="8"/>
    </w:pPr>
    <w:r>
      <w:rPr>
        <w:rFonts w:hint="eastAsia"/>
      </w:rPr>
      <w:t>中国高校计算机大赛-网络技术挑战赛选拔赛阶段作品设计文档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F6868"/>
    <w:multiLevelType w:val="multilevel"/>
    <w:tmpl w:val="139F686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A8C2802"/>
    <w:multiLevelType w:val="multilevel"/>
    <w:tmpl w:val="7A8C2802"/>
    <w:lvl w:ilvl="0" w:tentative="0">
      <w:start w:val="1"/>
      <w:numFmt w:val="japaneseCounting"/>
      <w:lvlText w:val="%1、"/>
      <w:lvlJc w:val="left"/>
      <w:pPr>
        <w:ind w:left="427" w:hanging="427"/>
      </w:pPr>
      <w:rPr>
        <w:rFonts w:hint="eastAsia"/>
        <w:sz w:val="40"/>
        <w:szCs w:val="4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1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59A"/>
    <w:rsid w:val="00066E0A"/>
    <w:rsid w:val="002C5801"/>
    <w:rsid w:val="002F3D3E"/>
    <w:rsid w:val="003737C9"/>
    <w:rsid w:val="003B0A98"/>
    <w:rsid w:val="004442D3"/>
    <w:rsid w:val="00457E58"/>
    <w:rsid w:val="007A1CC6"/>
    <w:rsid w:val="0081549D"/>
    <w:rsid w:val="008311C0"/>
    <w:rsid w:val="0095259A"/>
    <w:rsid w:val="00A1409A"/>
    <w:rsid w:val="00A603AC"/>
    <w:rsid w:val="00A97B84"/>
    <w:rsid w:val="00AB31B8"/>
    <w:rsid w:val="00B670B1"/>
    <w:rsid w:val="00BA0A27"/>
    <w:rsid w:val="00BA4CDC"/>
    <w:rsid w:val="00BC4979"/>
    <w:rsid w:val="00E46E7A"/>
    <w:rsid w:val="00FA2057"/>
    <w:rsid w:val="39460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3"/>
    <w:qFormat/>
    <w:uiPriority w:val="0"/>
    <w:pPr>
      <w:tabs>
        <w:tab w:val="left" w:pos="420"/>
      </w:tabs>
      <w:spacing w:before="240" w:after="240" w:line="300" w:lineRule="auto"/>
      <w:ind w:firstLine="0" w:firstLineChars="0"/>
      <w:jc w:val="left"/>
      <w:outlineLvl w:val="0"/>
    </w:pPr>
    <w:rPr>
      <w:rFonts w:ascii="宋体" w:hAnsi="宋体" w:eastAsia="黑体" w:cs="Times New Roman"/>
      <w:b/>
      <w:bCs/>
      <w:kern w:val="44"/>
      <w:sz w:val="32"/>
      <w:szCs w:val="48"/>
    </w:rPr>
  </w:style>
  <w:style w:type="paragraph" w:styleId="4">
    <w:name w:val="heading 2"/>
    <w:basedOn w:val="1"/>
    <w:next w:val="1"/>
    <w:unhideWhenUsed/>
    <w:qFormat/>
    <w:uiPriority w:val="0"/>
    <w:pPr>
      <w:tabs>
        <w:tab w:val="left" w:pos="420"/>
      </w:tabs>
      <w:spacing w:before="240" w:after="240"/>
      <w:ind w:firstLine="0" w:firstLineChars="0"/>
      <w:jc w:val="left"/>
      <w:outlineLvl w:val="1"/>
    </w:pPr>
    <w:rPr>
      <w:rFonts w:ascii="宋体" w:hAnsi="宋体" w:eastAsia="黑体" w:cs="Times New Roman"/>
      <w:b/>
      <w:bCs/>
      <w:kern w:val="0"/>
      <w:sz w:val="30"/>
      <w:szCs w:val="36"/>
    </w:rPr>
  </w:style>
  <w:style w:type="paragraph" w:styleId="5">
    <w:name w:val="heading 3"/>
    <w:basedOn w:val="1"/>
    <w:next w:val="1"/>
    <w:unhideWhenUsed/>
    <w:qFormat/>
    <w:uiPriority w:val="0"/>
    <w:pPr>
      <w:tabs>
        <w:tab w:val="left" w:pos="420"/>
      </w:tabs>
      <w:spacing w:before="240" w:after="240"/>
      <w:ind w:firstLine="0" w:firstLineChars="0"/>
      <w:jc w:val="left"/>
      <w:outlineLvl w:val="2"/>
    </w:pPr>
    <w:rPr>
      <w:rFonts w:hint="eastAsia" w:ascii="宋体" w:hAnsi="宋体" w:eastAsia="黑体" w:cs="Times New Roman"/>
      <w:b/>
      <w:bCs/>
      <w:kern w:val="0"/>
      <w:sz w:val="28"/>
      <w:szCs w:val="27"/>
    </w:rPr>
  </w:style>
  <w:style w:type="paragraph" w:styleId="6">
    <w:name w:val="heading 4"/>
    <w:basedOn w:val="1"/>
    <w:next w:val="1"/>
    <w:unhideWhenUsed/>
    <w:qFormat/>
    <w:uiPriority w:val="0"/>
    <w:pPr>
      <w:tabs>
        <w:tab w:val="left" w:pos="420"/>
      </w:tabs>
      <w:spacing w:before="140" w:after="140"/>
      <w:ind w:firstLine="200"/>
      <w:jc w:val="left"/>
      <w:outlineLvl w:val="3"/>
    </w:pPr>
    <w:rPr>
      <w:rFonts w:hint="eastAsia" w:ascii="宋体" w:hAnsi="宋体" w:cs="Times New Roman"/>
      <w:b/>
      <w:bCs/>
      <w:kern w:val="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autoRedefine/>
    <w:qFormat/>
    <w:uiPriority w:val="0"/>
    <w:pPr>
      <w:spacing w:line="300" w:lineRule="auto"/>
      <w:ind w:firstLine="200"/>
    </w:pPr>
  </w:style>
  <w:style w:type="paragraph" w:styleId="7">
    <w:name w:val="footer"/>
    <w:basedOn w:val="1"/>
    <w:link w:val="16"/>
    <w:qFormat/>
    <w:uiPriority w:val="99"/>
    <w:pPr>
      <w:tabs>
        <w:tab w:val="center" w:pos="4153"/>
        <w:tab w:val="right" w:pos="8306"/>
      </w:tabs>
      <w:snapToGrid w:val="0"/>
      <w:jc w:val="left"/>
    </w:pPr>
    <w:rPr>
      <w:sz w:val="18"/>
      <w:szCs w:val="18"/>
    </w:rPr>
  </w:style>
  <w:style w:type="paragraph" w:styleId="8">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99"/>
    <w:rPr>
      <w:color w:val="0000FF"/>
      <w:u w:val="single"/>
    </w:rPr>
  </w:style>
  <w:style w:type="paragraph" w:styleId="14">
    <w:name w:val="List Paragraph"/>
    <w:basedOn w:val="1"/>
    <w:qFormat/>
    <w:uiPriority w:val="34"/>
    <w:pPr>
      <w:ind w:firstLine="420" w:firstLineChars="200"/>
    </w:pPr>
  </w:style>
  <w:style w:type="character" w:customStyle="1" w:styleId="15">
    <w:name w:val="页眉 字符"/>
    <w:basedOn w:val="12"/>
    <w:link w:val="8"/>
    <w:qFormat/>
    <w:uiPriority w:val="99"/>
    <w:rPr>
      <w:sz w:val="18"/>
      <w:szCs w:val="18"/>
    </w:rPr>
  </w:style>
  <w:style w:type="character" w:customStyle="1" w:styleId="16">
    <w:name w:val="页脚 字符"/>
    <w:basedOn w:val="12"/>
    <w:link w:val="7"/>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5.bin"/><Relationship Id="rId97" Type="http://schemas.openxmlformats.org/officeDocument/2006/relationships/image" Target="media/image48.wmf"/><Relationship Id="rId96" Type="http://schemas.openxmlformats.org/officeDocument/2006/relationships/oleObject" Target="embeddings/oleObject44.bin"/><Relationship Id="rId95" Type="http://schemas.openxmlformats.org/officeDocument/2006/relationships/image" Target="media/image47.wmf"/><Relationship Id="rId94" Type="http://schemas.openxmlformats.org/officeDocument/2006/relationships/oleObject" Target="embeddings/oleObject43.bin"/><Relationship Id="rId93" Type="http://schemas.openxmlformats.org/officeDocument/2006/relationships/image" Target="media/image46.wmf"/><Relationship Id="rId92" Type="http://schemas.openxmlformats.org/officeDocument/2006/relationships/oleObject" Target="embeddings/oleObject42.bin"/><Relationship Id="rId91" Type="http://schemas.openxmlformats.org/officeDocument/2006/relationships/image" Target="media/image45.wmf"/><Relationship Id="rId90" Type="http://schemas.openxmlformats.org/officeDocument/2006/relationships/oleObject" Target="embeddings/oleObject41.bin"/><Relationship Id="rId9" Type="http://schemas.openxmlformats.org/officeDocument/2006/relationships/image" Target="media/image4.png"/><Relationship Id="rId89" Type="http://schemas.openxmlformats.org/officeDocument/2006/relationships/image" Target="media/image44.wmf"/><Relationship Id="rId88" Type="http://schemas.openxmlformats.org/officeDocument/2006/relationships/oleObject" Target="embeddings/oleObject40.bin"/><Relationship Id="rId87" Type="http://schemas.openxmlformats.org/officeDocument/2006/relationships/image" Target="media/image43.wmf"/><Relationship Id="rId86" Type="http://schemas.openxmlformats.org/officeDocument/2006/relationships/oleObject" Target="embeddings/oleObject39.bin"/><Relationship Id="rId85" Type="http://schemas.openxmlformats.org/officeDocument/2006/relationships/image" Target="media/image42.wmf"/><Relationship Id="rId84" Type="http://schemas.openxmlformats.org/officeDocument/2006/relationships/oleObject" Target="embeddings/oleObject38.bin"/><Relationship Id="rId83" Type="http://schemas.openxmlformats.org/officeDocument/2006/relationships/image" Target="media/image41.wmf"/><Relationship Id="rId82" Type="http://schemas.openxmlformats.org/officeDocument/2006/relationships/oleObject" Target="embeddings/oleObject37.bin"/><Relationship Id="rId81" Type="http://schemas.openxmlformats.org/officeDocument/2006/relationships/image" Target="media/image40.wmf"/><Relationship Id="rId80" Type="http://schemas.openxmlformats.org/officeDocument/2006/relationships/oleObject" Target="embeddings/oleObject36.bin"/><Relationship Id="rId8" Type="http://schemas.openxmlformats.org/officeDocument/2006/relationships/image" Target="media/image3.png"/><Relationship Id="rId79" Type="http://schemas.openxmlformats.org/officeDocument/2006/relationships/image" Target="media/image39.wmf"/><Relationship Id="rId78" Type="http://schemas.openxmlformats.org/officeDocument/2006/relationships/oleObject" Target="embeddings/oleObject35.bin"/><Relationship Id="rId77" Type="http://schemas.openxmlformats.org/officeDocument/2006/relationships/image" Target="media/image38.wmf"/><Relationship Id="rId76" Type="http://schemas.openxmlformats.org/officeDocument/2006/relationships/oleObject" Target="embeddings/oleObject34.bin"/><Relationship Id="rId75" Type="http://schemas.openxmlformats.org/officeDocument/2006/relationships/image" Target="media/image37.wmf"/><Relationship Id="rId74" Type="http://schemas.openxmlformats.org/officeDocument/2006/relationships/oleObject" Target="embeddings/oleObject33.bin"/><Relationship Id="rId73" Type="http://schemas.openxmlformats.org/officeDocument/2006/relationships/image" Target="media/image36.wmf"/><Relationship Id="rId72" Type="http://schemas.openxmlformats.org/officeDocument/2006/relationships/oleObject" Target="embeddings/oleObject32.bin"/><Relationship Id="rId71" Type="http://schemas.openxmlformats.org/officeDocument/2006/relationships/image" Target="media/image35.wmf"/><Relationship Id="rId70" Type="http://schemas.openxmlformats.org/officeDocument/2006/relationships/oleObject" Target="embeddings/oleObject31.bin"/><Relationship Id="rId7" Type="http://schemas.openxmlformats.org/officeDocument/2006/relationships/image" Target="media/image2.png"/><Relationship Id="rId69" Type="http://schemas.openxmlformats.org/officeDocument/2006/relationships/image" Target="media/image34.wmf"/><Relationship Id="rId68" Type="http://schemas.openxmlformats.org/officeDocument/2006/relationships/oleObject" Target="embeddings/oleObject30.bin"/><Relationship Id="rId67" Type="http://schemas.openxmlformats.org/officeDocument/2006/relationships/image" Target="media/image33.wmf"/><Relationship Id="rId66" Type="http://schemas.openxmlformats.org/officeDocument/2006/relationships/oleObject" Target="embeddings/oleObject29.bin"/><Relationship Id="rId65" Type="http://schemas.openxmlformats.org/officeDocument/2006/relationships/image" Target="media/image32.wmf"/><Relationship Id="rId64" Type="http://schemas.openxmlformats.org/officeDocument/2006/relationships/oleObject" Target="embeddings/oleObject28.bin"/><Relationship Id="rId63" Type="http://schemas.openxmlformats.org/officeDocument/2006/relationships/image" Target="media/image31.wmf"/><Relationship Id="rId62" Type="http://schemas.openxmlformats.org/officeDocument/2006/relationships/oleObject" Target="embeddings/oleObject27.bin"/><Relationship Id="rId61" Type="http://schemas.openxmlformats.org/officeDocument/2006/relationships/image" Target="media/image30.wmf"/><Relationship Id="rId60" Type="http://schemas.openxmlformats.org/officeDocument/2006/relationships/oleObject" Target="embeddings/oleObject26.bin"/><Relationship Id="rId6" Type="http://schemas.openxmlformats.org/officeDocument/2006/relationships/image" Target="media/image1.png"/><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image" Target="media/image29.wmf"/><Relationship Id="rId56" Type="http://schemas.openxmlformats.org/officeDocument/2006/relationships/oleObject" Target="embeddings/oleObject23.bin"/><Relationship Id="rId55" Type="http://schemas.openxmlformats.org/officeDocument/2006/relationships/image" Target="media/image28.wmf"/><Relationship Id="rId54" Type="http://schemas.openxmlformats.org/officeDocument/2006/relationships/oleObject" Target="embeddings/oleObject22.bin"/><Relationship Id="rId53" Type="http://schemas.openxmlformats.org/officeDocument/2006/relationships/image" Target="media/image27.wmf"/><Relationship Id="rId52" Type="http://schemas.openxmlformats.org/officeDocument/2006/relationships/oleObject" Target="embeddings/oleObject21.bin"/><Relationship Id="rId51" Type="http://schemas.openxmlformats.org/officeDocument/2006/relationships/image" Target="media/image26.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5.wmf"/><Relationship Id="rId48" Type="http://schemas.openxmlformats.org/officeDocument/2006/relationships/oleObject" Target="embeddings/oleObject19.bin"/><Relationship Id="rId47" Type="http://schemas.openxmlformats.org/officeDocument/2006/relationships/image" Target="media/image24.wmf"/><Relationship Id="rId46" Type="http://schemas.openxmlformats.org/officeDocument/2006/relationships/oleObject" Target="embeddings/oleObject18.bin"/><Relationship Id="rId45" Type="http://schemas.openxmlformats.org/officeDocument/2006/relationships/image" Target="media/image23.wmf"/><Relationship Id="rId44" Type="http://schemas.openxmlformats.org/officeDocument/2006/relationships/oleObject" Target="embeddings/oleObject17.bin"/><Relationship Id="rId43" Type="http://schemas.openxmlformats.org/officeDocument/2006/relationships/image" Target="media/image22.png"/><Relationship Id="rId42" Type="http://schemas.openxmlformats.org/officeDocument/2006/relationships/image" Target="media/image21.wmf"/><Relationship Id="rId41" Type="http://schemas.openxmlformats.org/officeDocument/2006/relationships/oleObject" Target="embeddings/oleObject16.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19.wmf"/><Relationship Id="rId37" Type="http://schemas.openxmlformats.org/officeDocument/2006/relationships/oleObject" Target="embeddings/oleObject14.bin"/><Relationship Id="rId36" Type="http://schemas.openxmlformats.org/officeDocument/2006/relationships/image" Target="media/image18.wmf"/><Relationship Id="rId35" Type="http://schemas.openxmlformats.org/officeDocument/2006/relationships/oleObject" Target="embeddings/oleObject13.bin"/><Relationship Id="rId34" Type="http://schemas.openxmlformats.org/officeDocument/2006/relationships/image" Target="media/image17.wmf"/><Relationship Id="rId33" Type="http://schemas.openxmlformats.org/officeDocument/2006/relationships/oleObject" Target="embeddings/oleObject12.bin"/><Relationship Id="rId32" Type="http://schemas.openxmlformats.org/officeDocument/2006/relationships/image" Target="media/image16.wmf"/><Relationship Id="rId31" Type="http://schemas.openxmlformats.org/officeDocument/2006/relationships/oleObject" Target="embeddings/oleObject11.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4.wmf"/><Relationship Id="rId27" Type="http://schemas.openxmlformats.org/officeDocument/2006/relationships/oleObject" Target="embeddings/oleObject9.bin"/><Relationship Id="rId26" Type="http://schemas.openxmlformats.org/officeDocument/2006/relationships/image" Target="media/image13.wmf"/><Relationship Id="rId25" Type="http://schemas.openxmlformats.org/officeDocument/2006/relationships/oleObject" Target="embeddings/oleObject8.bin"/><Relationship Id="rId241" Type="http://schemas.openxmlformats.org/officeDocument/2006/relationships/fontTable" Target="fontTable.xml"/><Relationship Id="rId240" Type="http://schemas.openxmlformats.org/officeDocument/2006/relationships/numbering" Target="numbering.xml"/><Relationship Id="rId24" Type="http://schemas.openxmlformats.org/officeDocument/2006/relationships/image" Target="media/image12.wmf"/><Relationship Id="rId239" Type="http://schemas.openxmlformats.org/officeDocument/2006/relationships/customXml" Target="../customXml/item1.xml"/><Relationship Id="rId238" Type="http://schemas.openxmlformats.org/officeDocument/2006/relationships/image" Target="media/image136.png"/><Relationship Id="rId237" Type="http://schemas.openxmlformats.org/officeDocument/2006/relationships/image" Target="media/image135.png"/><Relationship Id="rId236" Type="http://schemas.openxmlformats.org/officeDocument/2006/relationships/image" Target="media/image134.png"/><Relationship Id="rId235" Type="http://schemas.openxmlformats.org/officeDocument/2006/relationships/image" Target="media/image133.jpeg"/><Relationship Id="rId234" Type="http://schemas.openxmlformats.org/officeDocument/2006/relationships/image" Target="media/image132.wmf"/><Relationship Id="rId233" Type="http://schemas.openxmlformats.org/officeDocument/2006/relationships/oleObject" Target="embeddings/oleObject97.bin"/><Relationship Id="rId232" Type="http://schemas.openxmlformats.org/officeDocument/2006/relationships/image" Target="media/image131.wmf"/><Relationship Id="rId231" Type="http://schemas.openxmlformats.org/officeDocument/2006/relationships/oleObject" Target="embeddings/oleObject96.bin"/><Relationship Id="rId230" Type="http://schemas.openxmlformats.org/officeDocument/2006/relationships/image" Target="media/image130.wmf"/><Relationship Id="rId23" Type="http://schemas.openxmlformats.org/officeDocument/2006/relationships/oleObject" Target="embeddings/oleObject7.bin"/><Relationship Id="rId229" Type="http://schemas.openxmlformats.org/officeDocument/2006/relationships/oleObject" Target="embeddings/oleObject95.bin"/><Relationship Id="rId228" Type="http://schemas.openxmlformats.org/officeDocument/2006/relationships/image" Target="media/image129.jpeg"/><Relationship Id="rId227" Type="http://schemas.openxmlformats.org/officeDocument/2006/relationships/image" Target="media/image128.jpeg"/><Relationship Id="rId226" Type="http://schemas.openxmlformats.org/officeDocument/2006/relationships/image" Target="media/image127.jpeg"/><Relationship Id="rId225" Type="http://schemas.openxmlformats.org/officeDocument/2006/relationships/image" Target="media/image126.jpeg"/><Relationship Id="rId224" Type="http://schemas.openxmlformats.org/officeDocument/2006/relationships/image" Target="media/image125.jpeg"/><Relationship Id="rId223" Type="http://schemas.openxmlformats.org/officeDocument/2006/relationships/image" Target="media/image124.jpeg"/><Relationship Id="rId222" Type="http://schemas.openxmlformats.org/officeDocument/2006/relationships/image" Target="media/image123.jpeg"/><Relationship Id="rId221" Type="http://schemas.openxmlformats.org/officeDocument/2006/relationships/image" Target="media/image122.jpeg"/><Relationship Id="rId220" Type="http://schemas.openxmlformats.org/officeDocument/2006/relationships/image" Target="media/image121.jpeg"/><Relationship Id="rId22" Type="http://schemas.openxmlformats.org/officeDocument/2006/relationships/image" Target="media/image11.wmf"/><Relationship Id="rId219" Type="http://schemas.openxmlformats.org/officeDocument/2006/relationships/image" Target="media/image120.jpeg"/><Relationship Id="rId218" Type="http://schemas.openxmlformats.org/officeDocument/2006/relationships/image" Target="media/image119.jpeg"/><Relationship Id="rId217" Type="http://schemas.openxmlformats.org/officeDocument/2006/relationships/image" Target="media/image118.jpeg"/><Relationship Id="rId216" Type="http://schemas.openxmlformats.org/officeDocument/2006/relationships/image" Target="media/image117.jpeg"/><Relationship Id="rId215" Type="http://schemas.openxmlformats.org/officeDocument/2006/relationships/image" Target="media/image116.png"/><Relationship Id="rId214" Type="http://schemas.openxmlformats.org/officeDocument/2006/relationships/image" Target="media/image115.png"/><Relationship Id="rId213" Type="http://schemas.openxmlformats.org/officeDocument/2006/relationships/image" Target="media/image114.png"/><Relationship Id="rId212" Type="http://schemas.openxmlformats.org/officeDocument/2006/relationships/image" Target="media/image113.png"/><Relationship Id="rId211" Type="http://schemas.openxmlformats.org/officeDocument/2006/relationships/image" Target="media/image112.png"/><Relationship Id="rId210" Type="http://schemas.openxmlformats.org/officeDocument/2006/relationships/image" Target="media/image111.png"/><Relationship Id="rId21" Type="http://schemas.openxmlformats.org/officeDocument/2006/relationships/oleObject" Target="embeddings/oleObject6.bin"/><Relationship Id="rId209" Type="http://schemas.openxmlformats.org/officeDocument/2006/relationships/image" Target="media/image110.png"/><Relationship Id="rId208" Type="http://schemas.openxmlformats.org/officeDocument/2006/relationships/image" Target="media/image109.png"/><Relationship Id="rId207" Type="http://schemas.openxmlformats.org/officeDocument/2006/relationships/image" Target="media/image108.png"/><Relationship Id="rId206" Type="http://schemas.openxmlformats.org/officeDocument/2006/relationships/image" Target="media/image107.jpeg"/><Relationship Id="rId205" Type="http://schemas.openxmlformats.org/officeDocument/2006/relationships/image" Target="media/image106.png"/><Relationship Id="rId204" Type="http://schemas.openxmlformats.org/officeDocument/2006/relationships/image" Target="media/image105.png"/><Relationship Id="rId203" Type="http://schemas.openxmlformats.org/officeDocument/2006/relationships/image" Target="media/image104.png"/><Relationship Id="rId202" Type="http://schemas.openxmlformats.org/officeDocument/2006/relationships/image" Target="media/image103.png"/><Relationship Id="rId201" Type="http://schemas.openxmlformats.org/officeDocument/2006/relationships/image" Target="media/image102.png"/><Relationship Id="rId200" Type="http://schemas.openxmlformats.org/officeDocument/2006/relationships/image" Target="media/image101.png"/><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00.wmf"/><Relationship Id="rId198" Type="http://schemas.openxmlformats.org/officeDocument/2006/relationships/oleObject" Target="embeddings/oleObject94.bin"/><Relationship Id="rId197" Type="http://schemas.openxmlformats.org/officeDocument/2006/relationships/image" Target="media/image99.wmf"/><Relationship Id="rId196" Type="http://schemas.openxmlformats.org/officeDocument/2006/relationships/oleObject" Target="embeddings/oleObject93.bin"/><Relationship Id="rId195" Type="http://schemas.openxmlformats.org/officeDocument/2006/relationships/image" Target="media/image98.png"/><Relationship Id="rId194" Type="http://schemas.openxmlformats.org/officeDocument/2006/relationships/image" Target="media/image97.wmf"/><Relationship Id="rId193" Type="http://schemas.openxmlformats.org/officeDocument/2006/relationships/oleObject" Target="embeddings/oleObject92.bin"/><Relationship Id="rId192" Type="http://schemas.openxmlformats.org/officeDocument/2006/relationships/image" Target="media/image96.wmf"/><Relationship Id="rId191" Type="http://schemas.openxmlformats.org/officeDocument/2006/relationships/oleObject" Target="embeddings/oleObject91.bin"/><Relationship Id="rId190" Type="http://schemas.openxmlformats.org/officeDocument/2006/relationships/image" Target="media/image95.wmf"/><Relationship Id="rId19" Type="http://schemas.openxmlformats.org/officeDocument/2006/relationships/oleObject" Target="embeddings/oleObject5.bin"/><Relationship Id="rId189" Type="http://schemas.openxmlformats.org/officeDocument/2006/relationships/oleObject" Target="embeddings/oleObject90.bin"/><Relationship Id="rId188" Type="http://schemas.openxmlformats.org/officeDocument/2006/relationships/image" Target="media/image94.wmf"/><Relationship Id="rId187" Type="http://schemas.openxmlformats.org/officeDocument/2006/relationships/oleObject" Target="embeddings/oleObject89.bin"/><Relationship Id="rId186" Type="http://schemas.openxmlformats.org/officeDocument/2006/relationships/image" Target="media/image93.wmf"/><Relationship Id="rId185" Type="http://schemas.openxmlformats.org/officeDocument/2006/relationships/oleObject" Target="embeddings/oleObject88.bin"/><Relationship Id="rId184" Type="http://schemas.openxmlformats.org/officeDocument/2006/relationships/image" Target="media/image92.wmf"/><Relationship Id="rId183" Type="http://schemas.openxmlformats.org/officeDocument/2006/relationships/oleObject" Target="embeddings/oleObject87.bin"/><Relationship Id="rId182" Type="http://schemas.openxmlformats.org/officeDocument/2006/relationships/image" Target="media/image91.wmf"/><Relationship Id="rId181" Type="http://schemas.openxmlformats.org/officeDocument/2006/relationships/oleObject" Target="embeddings/oleObject86.bin"/><Relationship Id="rId180" Type="http://schemas.openxmlformats.org/officeDocument/2006/relationships/image" Target="media/image90.wmf"/><Relationship Id="rId18" Type="http://schemas.openxmlformats.org/officeDocument/2006/relationships/image" Target="media/image9.wmf"/><Relationship Id="rId179" Type="http://schemas.openxmlformats.org/officeDocument/2006/relationships/oleObject" Target="embeddings/oleObject85.bin"/><Relationship Id="rId178" Type="http://schemas.openxmlformats.org/officeDocument/2006/relationships/image" Target="media/image89.wmf"/><Relationship Id="rId177" Type="http://schemas.openxmlformats.org/officeDocument/2006/relationships/oleObject" Target="embeddings/oleObject84.bin"/><Relationship Id="rId176" Type="http://schemas.openxmlformats.org/officeDocument/2006/relationships/image" Target="media/image88.wmf"/><Relationship Id="rId175" Type="http://schemas.openxmlformats.org/officeDocument/2006/relationships/oleObject" Target="embeddings/oleObject83.bin"/><Relationship Id="rId174" Type="http://schemas.openxmlformats.org/officeDocument/2006/relationships/image" Target="media/image87.wmf"/><Relationship Id="rId173" Type="http://schemas.openxmlformats.org/officeDocument/2006/relationships/oleObject" Target="embeddings/oleObject82.bin"/><Relationship Id="rId172" Type="http://schemas.openxmlformats.org/officeDocument/2006/relationships/image" Target="media/image86.wmf"/><Relationship Id="rId171" Type="http://schemas.openxmlformats.org/officeDocument/2006/relationships/oleObject" Target="embeddings/oleObject81.bin"/><Relationship Id="rId170" Type="http://schemas.openxmlformats.org/officeDocument/2006/relationships/image" Target="media/image85.wmf"/><Relationship Id="rId17" Type="http://schemas.openxmlformats.org/officeDocument/2006/relationships/oleObject" Target="embeddings/oleObject4.bin"/><Relationship Id="rId169" Type="http://schemas.openxmlformats.org/officeDocument/2006/relationships/oleObject" Target="embeddings/oleObject80.bin"/><Relationship Id="rId168" Type="http://schemas.openxmlformats.org/officeDocument/2006/relationships/image" Target="media/image84.wmf"/><Relationship Id="rId167" Type="http://schemas.openxmlformats.org/officeDocument/2006/relationships/oleObject" Target="embeddings/oleObject79.bin"/><Relationship Id="rId166" Type="http://schemas.openxmlformats.org/officeDocument/2006/relationships/image" Target="media/image83.wmf"/><Relationship Id="rId165" Type="http://schemas.openxmlformats.org/officeDocument/2006/relationships/oleObject" Target="embeddings/oleObject78.bin"/><Relationship Id="rId164" Type="http://schemas.openxmlformats.org/officeDocument/2006/relationships/image" Target="media/image82.wmf"/><Relationship Id="rId163" Type="http://schemas.openxmlformats.org/officeDocument/2006/relationships/oleObject" Target="embeddings/oleObject77.bin"/><Relationship Id="rId162" Type="http://schemas.openxmlformats.org/officeDocument/2006/relationships/image" Target="media/image81.wmf"/><Relationship Id="rId161" Type="http://schemas.openxmlformats.org/officeDocument/2006/relationships/oleObject" Target="embeddings/oleObject76.bin"/><Relationship Id="rId160" Type="http://schemas.openxmlformats.org/officeDocument/2006/relationships/image" Target="media/image80.png"/><Relationship Id="rId16" Type="http://schemas.openxmlformats.org/officeDocument/2006/relationships/image" Target="media/image8.wmf"/><Relationship Id="rId159" Type="http://schemas.openxmlformats.org/officeDocument/2006/relationships/image" Target="media/image79.wmf"/><Relationship Id="rId158" Type="http://schemas.openxmlformats.org/officeDocument/2006/relationships/oleObject" Target="embeddings/oleObject75.bin"/><Relationship Id="rId157" Type="http://schemas.openxmlformats.org/officeDocument/2006/relationships/image" Target="media/image78.wmf"/><Relationship Id="rId156" Type="http://schemas.openxmlformats.org/officeDocument/2006/relationships/oleObject" Target="embeddings/oleObject74.bin"/><Relationship Id="rId155" Type="http://schemas.openxmlformats.org/officeDocument/2006/relationships/image" Target="media/image77.wmf"/><Relationship Id="rId154" Type="http://schemas.openxmlformats.org/officeDocument/2006/relationships/oleObject" Target="embeddings/oleObject73.bin"/><Relationship Id="rId153" Type="http://schemas.openxmlformats.org/officeDocument/2006/relationships/image" Target="media/image76.wmf"/><Relationship Id="rId152" Type="http://schemas.openxmlformats.org/officeDocument/2006/relationships/oleObject" Target="embeddings/oleObject72.bin"/><Relationship Id="rId151" Type="http://schemas.openxmlformats.org/officeDocument/2006/relationships/image" Target="media/image75.wmf"/><Relationship Id="rId150" Type="http://schemas.openxmlformats.org/officeDocument/2006/relationships/oleObject" Target="embeddings/oleObject71.bin"/><Relationship Id="rId15" Type="http://schemas.openxmlformats.org/officeDocument/2006/relationships/oleObject" Target="embeddings/oleObject3.bin"/><Relationship Id="rId149" Type="http://schemas.openxmlformats.org/officeDocument/2006/relationships/image" Target="media/image74.wmf"/><Relationship Id="rId148" Type="http://schemas.openxmlformats.org/officeDocument/2006/relationships/oleObject" Target="embeddings/oleObject70.bin"/><Relationship Id="rId147" Type="http://schemas.openxmlformats.org/officeDocument/2006/relationships/image" Target="media/image73.wmf"/><Relationship Id="rId146" Type="http://schemas.openxmlformats.org/officeDocument/2006/relationships/oleObject" Target="embeddings/oleObject69.bin"/><Relationship Id="rId145" Type="http://schemas.openxmlformats.org/officeDocument/2006/relationships/image" Target="media/image72.wmf"/><Relationship Id="rId144" Type="http://schemas.openxmlformats.org/officeDocument/2006/relationships/oleObject" Target="embeddings/oleObject68.bin"/><Relationship Id="rId143" Type="http://schemas.openxmlformats.org/officeDocument/2006/relationships/image" Target="media/image71.wmf"/><Relationship Id="rId142" Type="http://schemas.openxmlformats.org/officeDocument/2006/relationships/oleObject" Target="embeddings/oleObject67.bin"/><Relationship Id="rId141" Type="http://schemas.openxmlformats.org/officeDocument/2006/relationships/image" Target="media/image70.wmf"/><Relationship Id="rId140" Type="http://schemas.openxmlformats.org/officeDocument/2006/relationships/oleObject" Target="embeddings/oleObject66.bin"/><Relationship Id="rId14" Type="http://schemas.openxmlformats.org/officeDocument/2006/relationships/image" Target="media/image7.wmf"/><Relationship Id="rId139" Type="http://schemas.openxmlformats.org/officeDocument/2006/relationships/image" Target="media/image69.wmf"/><Relationship Id="rId138" Type="http://schemas.openxmlformats.org/officeDocument/2006/relationships/oleObject" Target="embeddings/oleObject65.bin"/><Relationship Id="rId137" Type="http://schemas.openxmlformats.org/officeDocument/2006/relationships/image" Target="media/image68.wmf"/><Relationship Id="rId136" Type="http://schemas.openxmlformats.org/officeDocument/2006/relationships/oleObject" Target="embeddings/oleObject64.bin"/><Relationship Id="rId135" Type="http://schemas.openxmlformats.org/officeDocument/2006/relationships/image" Target="media/image67.wmf"/><Relationship Id="rId134" Type="http://schemas.openxmlformats.org/officeDocument/2006/relationships/oleObject" Target="embeddings/oleObject63.bin"/><Relationship Id="rId133" Type="http://schemas.openxmlformats.org/officeDocument/2006/relationships/image" Target="media/image66.wmf"/><Relationship Id="rId132" Type="http://schemas.openxmlformats.org/officeDocument/2006/relationships/oleObject" Target="embeddings/oleObject62.bin"/><Relationship Id="rId131" Type="http://schemas.openxmlformats.org/officeDocument/2006/relationships/image" Target="media/image65.wmf"/><Relationship Id="rId130" Type="http://schemas.openxmlformats.org/officeDocument/2006/relationships/oleObject" Target="embeddings/oleObject61.bin"/><Relationship Id="rId13" Type="http://schemas.openxmlformats.org/officeDocument/2006/relationships/oleObject" Target="embeddings/oleObject2.bin"/><Relationship Id="rId129" Type="http://schemas.openxmlformats.org/officeDocument/2006/relationships/image" Target="media/image64.wmf"/><Relationship Id="rId128" Type="http://schemas.openxmlformats.org/officeDocument/2006/relationships/oleObject" Target="embeddings/oleObject60.bin"/><Relationship Id="rId127" Type="http://schemas.openxmlformats.org/officeDocument/2006/relationships/image" Target="media/image63.wmf"/><Relationship Id="rId126" Type="http://schemas.openxmlformats.org/officeDocument/2006/relationships/oleObject" Target="embeddings/oleObject59.bin"/><Relationship Id="rId125" Type="http://schemas.openxmlformats.org/officeDocument/2006/relationships/image" Target="media/image62.wmf"/><Relationship Id="rId124" Type="http://schemas.openxmlformats.org/officeDocument/2006/relationships/oleObject" Target="embeddings/oleObject58.bin"/><Relationship Id="rId123" Type="http://schemas.openxmlformats.org/officeDocument/2006/relationships/image" Target="media/image61.wmf"/><Relationship Id="rId122" Type="http://schemas.openxmlformats.org/officeDocument/2006/relationships/oleObject" Target="embeddings/oleObject57.bin"/><Relationship Id="rId121" Type="http://schemas.openxmlformats.org/officeDocument/2006/relationships/image" Target="media/image60.wmf"/><Relationship Id="rId120" Type="http://schemas.openxmlformats.org/officeDocument/2006/relationships/oleObject" Target="embeddings/oleObject56.bin"/><Relationship Id="rId12" Type="http://schemas.openxmlformats.org/officeDocument/2006/relationships/image" Target="media/image6.wmf"/><Relationship Id="rId119" Type="http://schemas.openxmlformats.org/officeDocument/2006/relationships/image" Target="media/image59.wmf"/><Relationship Id="rId118" Type="http://schemas.openxmlformats.org/officeDocument/2006/relationships/oleObject" Target="embeddings/oleObject55.bin"/><Relationship Id="rId117" Type="http://schemas.openxmlformats.org/officeDocument/2006/relationships/image" Target="media/image58.wmf"/><Relationship Id="rId116" Type="http://schemas.openxmlformats.org/officeDocument/2006/relationships/oleObject" Target="embeddings/oleObject54.bin"/><Relationship Id="rId115" Type="http://schemas.openxmlformats.org/officeDocument/2006/relationships/image" Target="media/image57.wmf"/><Relationship Id="rId114" Type="http://schemas.openxmlformats.org/officeDocument/2006/relationships/oleObject" Target="embeddings/oleObject53.bin"/><Relationship Id="rId113" Type="http://schemas.openxmlformats.org/officeDocument/2006/relationships/image" Target="media/image56.wmf"/><Relationship Id="rId112" Type="http://schemas.openxmlformats.org/officeDocument/2006/relationships/oleObject" Target="embeddings/oleObject52.bin"/><Relationship Id="rId111" Type="http://schemas.openxmlformats.org/officeDocument/2006/relationships/image" Target="media/image55.wmf"/><Relationship Id="rId110" Type="http://schemas.openxmlformats.org/officeDocument/2006/relationships/oleObject" Target="embeddings/oleObject51.bin"/><Relationship Id="rId11" Type="http://schemas.openxmlformats.org/officeDocument/2006/relationships/oleObject" Target="embeddings/oleObject1.bin"/><Relationship Id="rId109" Type="http://schemas.openxmlformats.org/officeDocument/2006/relationships/image" Target="media/image54.wmf"/><Relationship Id="rId108" Type="http://schemas.openxmlformats.org/officeDocument/2006/relationships/oleObject" Target="embeddings/oleObject50.bin"/><Relationship Id="rId107" Type="http://schemas.openxmlformats.org/officeDocument/2006/relationships/image" Target="media/image53.wmf"/><Relationship Id="rId106" Type="http://schemas.openxmlformats.org/officeDocument/2006/relationships/oleObject" Target="embeddings/oleObject49.bin"/><Relationship Id="rId105" Type="http://schemas.openxmlformats.org/officeDocument/2006/relationships/image" Target="media/image52.wmf"/><Relationship Id="rId104" Type="http://schemas.openxmlformats.org/officeDocument/2006/relationships/oleObject" Target="embeddings/oleObject48.bin"/><Relationship Id="rId103" Type="http://schemas.openxmlformats.org/officeDocument/2006/relationships/image" Target="media/image51.wmf"/><Relationship Id="rId102" Type="http://schemas.openxmlformats.org/officeDocument/2006/relationships/oleObject" Target="embeddings/oleObject47.bin"/><Relationship Id="rId101" Type="http://schemas.openxmlformats.org/officeDocument/2006/relationships/image" Target="media/image50.wmf"/><Relationship Id="rId100" Type="http://schemas.openxmlformats.org/officeDocument/2006/relationships/oleObject" Target="embeddings/oleObject46.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328</Words>
  <Characters>345</Characters>
  <Lines>2</Lines>
  <Paragraphs>1</Paragraphs>
  <TotalTime>24</TotalTime>
  <ScaleCrop>false</ScaleCrop>
  <LinksUpToDate>false</LinksUpToDate>
  <CharactersWithSpaces>345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2021-06-21T05:33:00Z</dcterms:created>
  <dc:creator>Jun Liu</dc:creator>
  <cp:lastModifiedBy>DAL</cp:lastModifiedBy>
  <dcterms:modified xsi:type="dcterms:W3CDTF">2026-06-17T03:32:52Z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eyJoZGlkIjoiOGFiZjNlYmIwZjMyODRjNTExMTNkNTNlYzVkYWQ1NzgiLCJ1c2VySWQiOiI5MDM0Nzk1NjcifQ==</vt:lpwstr>
  </property>
  <property fmtid="{D5CDD505-2E9C-101B-9397-08002B2CF9AE}" pid="3" name="KSOProductBuildVer">
    <vt:lpwstr>2052-12.1.0.26375</vt:lpwstr>
  </property>
  <property fmtid="{D5CDD505-2E9C-101B-9397-08002B2CF9AE}" pid="4" name="ICV">
    <vt:lpwstr>74CA3235012A4D18B3BD624EE7A564F7_13</vt:lpwstr>
  </property>
</Properties>
</file>