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AFB28" w14:textId="5F4029B8" w:rsidR="00635303" w:rsidRDefault="00F62DFE" w:rsidP="00DC53B8">
      <w:pPr>
        <w:pStyle w:val="NormalWeb"/>
      </w:pPr>
      <w:r>
        <w:br/>
      </w:r>
      <w:r w:rsidRPr="00F62DFE">
        <w:rPr>
          <w:b/>
          <w:bCs/>
          <w:sz w:val="28"/>
          <w:szCs w:val="28"/>
        </w:rPr>
        <w:t>Data and Methodology:</w:t>
      </w:r>
      <w:r>
        <w:br/>
      </w:r>
      <w:r>
        <w:br/>
      </w:r>
      <w:r w:rsidR="00DC53B8">
        <w:t xml:space="preserve">I collected </w:t>
      </w:r>
      <w:r w:rsidR="0061268B">
        <w:t xml:space="preserve">data on </w:t>
      </w:r>
      <w:r w:rsidR="00DC53B8">
        <w:t>26 large-cap US firms across six sectors over 2018–2024. I built two signals: the gap between company-reported adjusted EPS and GAAP EPS (scaled by price), and the accrual ratio (net income minus operating cash flow, scaled by average total assets). GAAP data came from SEC EDGAR and adjusted EPS and prices from Yahoo Finance.</w:t>
      </w:r>
      <w:r w:rsidR="003D4BA0">
        <w:t xml:space="preserve"> </w:t>
      </w:r>
      <w:r w:rsidR="00B212CF">
        <w:t>It was expected that both signals be negatively relate to next-year returns</w:t>
      </w:r>
      <w:r w:rsidR="00DC53B8">
        <w:t xml:space="preserve">. I winsorized both signals at the 5th and 95th percentiles, so that extreme values have less influence on the results. </w:t>
      </w:r>
      <w:r w:rsidR="00B212CF">
        <w:t xml:space="preserve">The final sample consists of 178 observations. </w:t>
      </w:r>
      <w:r w:rsidR="00DC53B8">
        <w:t>Then I regressed each firm’s 12-month excess return over SPY, measured from the 10-K filing date, on both signals with year fixed effects, alongside tercile sorts</w:t>
      </w:r>
      <w:r w:rsidR="00B212CF">
        <w:t xml:space="preserve">. </w:t>
      </w:r>
      <w:r w:rsidR="00DC53B8">
        <w:t>The regression is pooled OLS with standard errors clustered by firm, since each firm appears up to seven times</w:t>
      </w:r>
      <w:r w:rsidR="00B212CF">
        <w:t>.</w:t>
      </w:r>
      <w:r w:rsidR="00B212CF">
        <w:br/>
      </w:r>
      <w:r w:rsidR="00B212CF">
        <w:br/>
      </w:r>
      <w:r w:rsidR="00B212CF" w:rsidRPr="00F62DFE">
        <w:rPr>
          <w:b/>
          <w:bCs/>
          <w:sz w:val="28"/>
          <w:szCs w:val="28"/>
        </w:rPr>
        <w:t>Results</w:t>
      </w:r>
      <w:r w:rsidR="00B212CF">
        <w:t>:</w:t>
      </w:r>
    </w:p>
    <w:p w14:paraId="7B07C44A" w14:textId="3692001C" w:rsidR="003D4BA0" w:rsidRPr="00635303" w:rsidRDefault="00B212CF" w:rsidP="00DC53B8">
      <w:pPr>
        <w:pStyle w:val="NormalWeb"/>
      </w:pPr>
      <w:r>
        <w:br/>
      </w:r>
      <w:r w:rsidRPr="003D4BA0">
        <w:t xml:space="preserve">1) </w:t>
      </w:r>
      <w:r w:rsidRPr="003D4BA0">
        <w:t>Descriptive statistics.</w:t>
      </w:r>
      <w:r w:rsidR="00635303" w:rsidRPr="00635303">
        <w:t xml:space="preserve"> </w:t>
      </w:r>
      <w:r w:rsidR="00635303" w:rsidRPr="00635303">
        <w:br/>
      </w:r>
      <w:r w:rsidRPr="003D4BA0">
        <w:br/>
      </w:r>
      <w:r w:rsidRPr="003D4BA0">
        <w:t>Adjustments vary by sector. Healthcare firms report the largest gaps</w:t>
      </w:r>
      <w:r w:rsidRPr="003D4BA0">
        <w:t xml:space="preserve"> with </w:t>
      </w:r>
      <w:r w:rsidRPr="003D4BA0">
        <w:t>EPS sit</w:t>
      </w:r>
      <w:r w:rsidRPr="003D4BA0">
        <w:t>ting</w:t>
      </w:r>
      <w:r w:rsidRPr="003D4BA0">
        <w:t xml:space="preserve"> 68% above GAAP EPS and 98% of Healthcare firm</w:t>
      </w:r>
      <w:r w:rsidR="00764181" w:rsidRPr="003D4BA0">
        <w:t>-year</w:t>
      </w:r>
      <w:r w:rsidRPr="003D4BA0">
        <w:t xml:space="preserve"> records</w:t>
      </w:r>
      <w:r w:rsidRPr="003D4BA0">
        <w:t xml:space="preserve"> report adjusted EPS above GAAP. </w:t>
      </w:r>
      <w:r w:rsidR="00764181" w:rsidRPr="003D4BA0">
        <w:t>Meanwhile</w:t>
      </w:r>
      <w:r w:rsidR="00764181">
        <w:t>, firm</w:t>
      </w:r>
      <w:r w:rsidR="00635303">
        <w:t>s</w:t>
      </w:r>
      <w:r w:rsidR="00764181">
        <w:t xml:space="preserve"> from </w:t>
      </w:r>
      <w:r>
        <w:t>Energy and Industrials</w:t>
      </w:r>
      <w:r w:rsidR="00764181">
        <w:t xml:space="preserve"> sectors </w:t>
      </w:r>
      <w:r w:rsidR="00635303">
        <w:t>make</w:t>
      </w:r>
      <w:r w:rsidR="00764181">
        <w:t xml:space="preserve"> the lowest adjustments</w:t>
      </w:r>
      <w:r>
        <w:t>, with medians of 3% and 5%. The accrual ratio is negative in 96% of firm-year</w:t>
      </w:r>
      <w:r w:rsidR="00764181">
        <w:t xml:space="preserve"> records</w:t>
      </w:r>
      <w:r>
        <w:t xml:space="preserve"> and on average in every sector</w:t>
      </w:r>
      <w:r w:rsidR="00764181">
        <w:t>.</w:t>
      </w:r>
    </w:p>
    <w:p w14:paraId="17A93361" w14:textId="77777777" w:rsidR="003D4BA0" w:rsidRDefault="003D4BA0" w:rsidP="00DC53B8">
      <w:pPr>
        <w:pStyle w:val="NormalWeb"/>
      </w:pPr>
      <w:r w:rsidRPr="003D4BA0">
        <w:drawing>
          <wp:inline distT="0" distB="0" distL="0" distR="0" wp14:anchorId="042DAEA2" wp14:editId="06E319B4">
            <wp:extent cx="5731510" cy="2029460"/>
            <wp:effectExtent l="0" t="0" r="0" b="2540"/>
            <wp:docPr id="31956616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66163" name="Picture 1" descr="A screenshot of a computer code&#10;&#10;AI-generated content may be incorrect."/>
                    <pic:cNvPicPr/>
                  </pic:nvPicPr>
                  <pic:blipFill>
                    <a:blip r:embed="rId4"/>
                    <a:stretch>
                      <a:fillRect/>
                    </a:stretch>
                  </pic:blipFill>
                  <pic:spPr>
                    <a:xfrm>
                      <a:off x="0" y="0"/>
                      <a:ext cx="5731510" cy="2029460"/>
                    </a:xfrm>
                    <a:prstGeom prst="rect">
                      <a:avLst/>
                    </a:prstGeom>
                  </pic:spPr>
                </pic:pic>
              </a:graphicData>
            </a:graphic>
          </wp:inline>
        </w:drawing>
      </w:r>
      <w:r w:rsidR="00764181">
        <w:br/>
      </w:r>
      <w:r w:rsidR="00764181">
        <w:br/>
      </w:r>
    </w:p>
    <w:p w14:paraId="16A812E5" w14:textId="77777777" w:rsidR="003D4BA0" w:rsidRPr="00635303" w:rsidRDefault="00764181" w:rsidP="003D4BA0">
      <w:pPr>
        <w:pStyle w:val="NoSpacing"/>
        <w:rPr>
          <w:rFonts w:ascii="Times New Roman" w:eastAsia="Times New Roman" w:hAnsi="Times New Roman" w:cs="Times New Roman"/>
          <w:kern w:val="0"/>
          <w:lang w:eastAsia="en-GB"/>
          <w14:ligatures w14:val="none"/>
        </w:rPr>
      </w:pPr>
      <w:r w:rsidRPr="00635303">
        <w:rPr>
          <w:rFonts w:ascii="Times New Roman" w:eastAsia="Times New Roman" w:hAnsi="Times New Roman" w:cs="Times New Roman"/>
          <w:kern w:val="0"/>
          <w:lang w:eastAsia="en-GB"/>
          <w14:ligatures w14:val="none"/>
        </w:rPr>
        <w:t>2) Tercile sorts</w:t>
      </w:r>
    </w:p>
    <w:p w14:paraId="14F36AAB" w14:textId="77777777" w:rsidR="00635303" w:rsidRDefault="00764181" w:rsidP="003D4BA0">
      <w:pPr>
        <w:pStyle w:val="NoSpacing"/>
      </w:pPr>
      <w:r w:rsidRPr="00635303">
        <w:rPr>
          <w:rFonts w:ascii="Times New Roman" w:eastAsia="Times New Roman" w:hAnsi="Times New Roman" w:cs="Times New Roman"/>
          <w:kern w:val="0"/>
          <w:lang w:eastAsia="en-GB"/>
          <w14:ligatures w14:val="none"/>
        </w:rPr>
        <w:br/>
        <w:t xml:space="preserve">The </w:t>
      </w:r>
      <w:r w:rsidR="00635303" w:rsidRPr="00635303">
        <w:rPr>
          <w:rFonts w:ascii="Times New Roman" w:eastAsia="Times New Roman" w:hAnsi="Times New Roman" w:cs="Times New Roman"/>
          <w:kern w:val="0"/>
          <w:lang w:eastAsia="en-GB"/>
          <w14:ligatures w14:val="none"/>
        </w:rPr>
        <w:t>t</w:t>
      </w:r>
      <w:r w:rsidRPr="00635303">
        <w:rPr>
          <w:rFonts w:ascii="Times New Roman" w:eastAsia="Times New Roman" w:hAnsi="Times New Roman" w:cs="Times New Roman"/>
          <w:kern w:val="0"/>
          <w:lang w:eastAsia="en-GB"/>
          <w14:ligatures w14:val="none"/>
        </w:rPr>
        <w:t>ercile sorts</w:t>
      </w:r>
      <w:r w:rsidRPr="00635303">
        <w:rPr>
          <w:rFonts w:ascii="Times New Roman" w:eastAsia="Times New Roman" w:hAnsi="Times New Roman" w:cs="Times New Roman"/>
          <w:kern w:val="0"/>
          <w:lang w:eastAsia="en-GB"/>
          <w14:ligatures w14:val="none"/>
        </w:rPr>
        <w:t xml:space="preserve"> </w:t>
      </w:r>
      <w:r w:rsidRPr="00635303">
        <w:rPr>
          <w:rFonts w:ascii="Times New Roman" w:eastAsia="Times New Roman" w:hAnsi="Times New Roman" w:cs="Times New Roman"/>
          <w:kern w:val="0"/>
          <w:lang w:eastAsia="en-GB"/>
          <w14:ligatures w14:val="none"/>
        </w:rPr>
        <w:t xml:space="preserve">shows average next-12-month excess returns by tercile. For accruals, the pattern follows the </w:t>
      </w:r>
      <w:r w:rsidRPr="00635303">
        <w:rPr>
          <w:rFonts w:ascii="Times New Roman" w:eastAsia="Times New Roman" w:hAnsi="Times New Roman" w:cs="Times New Roman"/>
          <w:kern w:val="0"/>
          <w:lang w:eastAsia="en-GB"/>
          <w14:ligatures w14:val="none"/>
        </w:rPr>
        <w:t>expectations</w:t>
      </w:r>
      <w:r w:rsidRPr="00635303">
        <w:rPr>
          <w:rFonts w:ascii="Times New Roman" w:eastAsia="Times New Roman" w:hAnsi="Times New Roman" w:cs="Times New Roman"/>
          <w:kern w:val="0"/>
          <w:lang w:eastAsia="en-GB"/>
          <w14:ligatures w14:val="none"/>
        </w:rPr>
        <w:t xml:space="preserve">. </w:t>
      </w:r>
      <w:r w:rsidR="00F11ECE" w:rsidRPr="00635303">
        <w:rPr>
          <w:rFonts w:ascii="Times New Roman" w:eastAsia="Times New Roman" w:hAnsi="Times New Roman" w:cs="Times New Roman"/>
          <w:kern w:val="0"/>
          <w:lang w:eastAsia="en-GB"/>
          <w14:ligatures w14:val="none"/>
        </w:rPr>
        <w:t>On average, l</w:t>
      </w:r>
      <w:r w:rsidRPr="00635303">
        <w:rPr>
          <w:rFonts w:ascii="Times New Roman" w:eastAsia="Times New Roman" w:hAnsi="Times New Roman" w:cs="Times New Roman"/>
          <w:kern w:val="0"/>
          <w:lang w:eastAsia="en-GB"/>
          <w14:ligatures w14:val="none"/>
        </w:rPr>
        <w:t xml:space="preserve">ow-accrual firms beat SPY by 5.6%, while mid- and high-accrual firms </w:t>
      </w:r>
      <w:r w:rsidR="00F11ECE" w:rsidRPr="00635303">
        <w:rPr>
          <w:rFonts w:ascii="Times New Roman" w:eastAsia="Times New Roman" w:hAnsi="Times New Roman" w:cs="Times New Roman"/>
          <w:kern w:val="0"/>
          <w:lang w:eastAsia="en-GB"/>
          <w14:ligatures w14:val="none"/>
        </w:rPr>
        <w:t>are behind</w:t>
      </w:r>
      <w:r w:rsidRPr="00635303">
        <w:rPr>
          <w:rFonts w:ascii="Times New Roman" w:eastAsia="Times New Roman" w:hAnsi="Times New Roman" w:cs="Times New Roman"/>
          <w:kern w:val="0"/>
          <w:lang w:eastAsia="en-GB"/>
          <w14:ligatures w14:val="none"/>
        </w:rPr>
        <w:t xml:space="preserve"> by 1.5% and 2.2%</w:t>
      </w:r>
      <w:r w:rsidR="00F11ECE" w:rsidRPr="00635303">
        <w:rPr>
          <w:rFonts w:ascii="Times New Roman" w:eastAsia="Times New Roman" w:hAnsi="Times New Roman" w:cs="Times New Roman"/>
          <w:kern w:val="0"/>
          <w:lang w:eastAsia="en-GB"/>
          <w14:ligatures w14:val="none"/>
        </w:rPr>
        <w:t xml:space="preserve"> respectively</w:t>
      </w:r>
      <w:r w:rsidRPr="00635303">
        <w:rPr>
          <w:rFonts w:ascii="Times New Roman" w:eastAsia="Times New Roman" w:hAnsi="Times New Roman" w:cs="Times New Roman"/>
          <w:kern w:val="0"/>
          <w:lang w:eastAsia="en-GB"/>
          <w14:ligatures w14:val="none"/>
        </w:rPr>
        <w:t xml:space="preserve">. The spread </w:t>
      </w:r>
      <w:r w:rsidR="00F11ECE" w:rsidRPr="00635303">
        <w:rPr>
          <w:rFonts w:ascii="Times New Roman" w:eastAsia="Times New Roman" w:hAnsi="Times New Roman" w:cs="Times New Roman"/>
          <w:kern w:val="0"/>
          <w:lang w:eastAsia="en-GB"/>
          <w14:ligatures w14:val="none"/>
        </w:rPr>
        <w:t xml:space="preserve">between 1st and 3rd tercile </w:t>
      </w:r>
      <w:r w:rsidRPr="00635303">
        <w:rPr>
          <w:rFonts w:ascii="Times New Roman" w:eastAsia="Times New Roman" w:hAnsi="Times New Roman" w:cs="Times New Roman"/>
          <w:kern w:val="0"/>
          <w:lang w:eastAsia="en-GB"/>
          <w14:ligatures w14:val="none"/>
        </w:rPr>
        <w:t xml:space="preserve">of −7.8 percentage points </w:t>
      </w:r>
      <w:r w:rsidR="00F11ECE" w:rsidRPr="00635303">
        <w:rPr>
          <w:rFonts w:ascii="Times New Roman" w:eastAsia="Times New Roman" w:hAnsi="Times New Roman" w:cs="Times New Roman"/>
          <w:kern w:val="0"/>
          <w:lang w:eastAsia="en-GB"/>
          <w14:ligatures w14:val="none"/>
        </w:rPr>
        <w:t xml:space="preserve">is </w:t>
      </w:r>
      <w:r w:rsidRPr="00635303">
        <w:rPr>
          <w:rFonts w:ascii="Times New Roman" w:eastAsia="Times New Roman" w:hAnsi="Times New Roman" w:cs="Times New Roman"/>
          <w:kern w:val="0"/>
          <w:lang w:eastAsia="en-GB"/>
          <w14:ligatures w14:val="none"/>
        </w:rPr>
        <w:t xml:space="preserve">not statistically significant (t = −1.55, p = 0.12). </w:t>
      </w:r>
      <w:r w:rsidR="00F11ECE" w:rsidRPr="00635303">
        <w:rPr>
          <w:rFonts w:ascii="Times New Roman" w:eastAsia="Times New Roman" w:hAnsi="Times New Roman" w:cs="Times New Roman"/>
          <w:kern w:val="0"/>
          <w:lang w:eastAsia="en-GB"/>
          <w14:ligatures w14:val="none"/>
        </w:rPr>
        <w:t xml:space="preserve">Regarding </w:t>
      </w:r>
      <w:r w:rsidR="00635303" w:rsidRPr="00635303">
        <w:rPr>
          <w:rFonts w:ascii="Times New Roman" w:eastAsia="Times New Roman" w:hAnsi="Times New Roman" w:cs="Times New Roman"/>
          <w:kern w:val="0"/>
          <w:lang w:eastAsia="en-GB"/>
          <w14:ligatures w14:val="none"/>
        </w:rPr>
        <w:t xml:space="preserve">the </w:t>
      </w:r>
      <w:r w:rsidR="00F11ECE" w:rsidRPr="00635303">
        <w:rPr>
          <w:rFonts w:ascii="Times New Roman" w:eastAsia="Times New Roman" w:hAnsi="Times New Roman" w:cs="Times New Roman"/>
          <w:kern w:val="0"/>
          <w:lang w:eastAsia="en-GB"/>
          <w14:ligatures w14:val="none"/>
        </w:rPr>
        <w:t>gap, no clear patte</w:t>
      </w:r>
      <w:r w:rsidR="00635303" w:rsidRPr="00635303">
        <w:rPr>
          <w:rFonts w:ascii="Times New Roman" w:eastAsia="Times New Roman" w:hAnsi="Times New Roman" w:cs="Times New Roman"/>
          <w:kern w:val="0"/>
          <w:lang w:eastAsia="en-GB"/>
          <w14:ligatures w14:val="none"/>
        </w:rPr>
        <w:t>rn</w:t>
      </w:r>
      <w:r w:rsidR="00F11ECE" w:rsidRPr="00635303">
        <w:rPr>
          <w:rFonts w:ascii="Times New Roman" w:eastAsia="Times New Roman" w:hAnsi="Times New Roman" w:cs="Times New Roman"/>
          <w:kern w:val="0"/>
          <w:lang w:eastAsia="en-GB"/>
          <w14:ligatures w14:val="none"/>
        </w:rPr>
        <w:t xml:space="preserve"> i</w:t>
      </w:r>
      <w:r w:rsidR="00635303" w:rsidRPr="00635303">
        <w:rPr>
          <w:rFonts w:ascii="Times New Roman" w:eastAsia="Times New Roman" w:hAnsi="Times New Roman" w:cs="Times New Roman"/>
          <w:kern w:val="0"/>
          <w:lang w:eastAsia="en-GB"/>
          <w14:ligatures w14:val="none"/>
        </w:rPr>
        <w:t>s</w:t>
      </w:r>
      <w:r w:rsidR="00F11ECE" w:rsidRPr="00635303">
        <w:rPr>
          <w:rFonts w:ascii="Times New Roman" w:eastAsia="Times New Roman" w:hAnsi="Times New Roman" w:cs="Times New Roman"/>
          <w:kern w:val="0"/>
          <w:lang w:eastAsia="en-GB"/>
          <w14:ligatures w14:val="none"/>
        </w:rPr>
        <w:t xml:space="preserve"> visible</w:t>
      </w:r>
      <w:r w:rsidRPr="00635303">
        <w:rPr>
          <w:rFonts w:ascii="Times New Roman" w:eastAsia="Times New Roman" w:hAnsi="Times New Roman" w:cs="Times New Roman"/>
          <w:kern w:val="0"/>
          <w:lang w:eastAsia="en-GB"/>
          <w14:ligatures w14:val="none"/>
        </w:rPr>
        <w:t>. High-gap firms earned the highest returns (+5.6%) and mid-gap firms the lowest (−4.1%)</w:t>
      </w:r>
      <w:r w:rsidR="0094725F" w:rsidRPr="00635303">
        <w:rPr>
          <w:rFonts w:ascii="Times New Roman" w:eastAsia="Times New Roman" w:hAnsi="Times New Roman" w:cs="Times New Roman"/>
          <w:kern w:val="0"/>
          <w:lang w:eastAsia="en-GB"/>
          <w14:ligatures w14:val="none"/>
        </w:rPr>
        <w:t>, and t</w:t>
      </w:r>
      <w:r w:rsidRPr="00635303">
        <w:rPr>
          <w:rFonts w:ascii="Times New Roman" w:eastAsia="Times New Roman" w:hAnsi="Times New Roman" w:cs="Times New Roman"/>
          <w:kern w:val="0"/>
          <w:lang w:eastAsia="en-GB"/>
          <w14:ligatures w14:val="none"/>
        </w:rPr>
        <w:t xml:space="preserve">he spread </w:t>
      </w:r>
      <w:r w:rsidR="0094725F" w:rsidRPr="00635303">
        <w:rPr>
          <w:rFonts w:ascii="Times New Roman" w:eastAsia="Times New Roman" w:hAnsi="Times New Roman" w:cs="Times New Roman"/>
          <w:kern w:val="0"/>
          <w:lang w:eastAsia="en-GB"/>
          <w14:ligatures w14:val="none"/>
        </w:rPr>
        <w:t xml:space="preserve">between </w:t>
      </w:r>
      <w:r w:rsidR="00635303" w:rsidRPr="00635303">
        <w:rPr>
          <w:rFonts w:ascii="Times New Roman" w:eastAsia="Times New Roman" w:hAnsi="Times New Roman" w:cs="Times New Roman"/>
          <w:kern w:val="0"/>
          <w:lang w:eastAsia="en-GB"/>
          <w14:ligatures w14:val="none"/>
        </w:rPr>
        <w:t>the high and low terciles is positive</w:t>
      </w:r>
      <w:r w:rsidR="00635303" w:rsidRPr="00635303">
        <w:rPr>
          <w:rFonts w:ascii="Times New Roman" w:eastAsia="Times New Roman" w:hAnsi="Times New Roman" w:cs="Times New Roman"/>
          <w:kern w:val="0"/>
          <w:lang w:eastAsia="en-GB"/>
          <w14:ligatures w14:val="none"/>
        </w:rPr>
        <w:t xml:space="preserve"> </w:t>
      </w:r>
      <w:r w:rsidRPr="00635303">
        <w:rPr>
          <w:rFonts w:ascii="Times New Roman" w:eastAsia="Times New Roman" w:hAnsi="Times New Roman" w:cs="Times New Roman"/>
          <w:kern w:val="0"/>
          <w:lang w:eastAsia="en-GB"/>
          <w14:ligatures w14:val="none"/>
        </w:rPr>
        <w:t>(+4.8 pp, t = 0.91, p = 0.36), opposite to</w:t>
      </w:r>
      <w:r w:rsidR="00F11ECE" w:rsidRPr="00635303">
        <w:rPr>
          <w:rFonts w:ascii="Times New Roman" w:eastAsia="Times New Roman" w:hAnsi="Times New Roman" w:cs="Times New Roman"/>
          <w:kern w:val="0"/>
          <w:lang w:eastAsia="en-GB"/>
          <w14:ligatures w14:val="none"/>
        </w:rPr>
        <w:t xml:space="preserve"> what w</w:t>
      </w:r>
      <w:r w:rsidR="0094725F" w:rsidRPr="00635303">
        <w:rPr>
          <w:rFonts w:ascii="Times New Roman" w:eastAsia="Times New Roman" w:hAnsi="Times New Roman" w:cs="Times New Roman"/>
          <w:kern w:val="0"/>
          <w:lang w:eastAsia="en-GB"/>
          <w14:ligatures w14:val="none"/>
        </w:rPr>
        <w:t>e</w:t>
      </w:r>
      <w:r w:rsidR="0094725F">
        <w:t xml:space="preserve"> </w:t>
      </w:r>
      <w:r w:rsidR="00F11ECE">
        <w:t xml:space="preserve">expected. </w:t>
      </w:r>
    </w:p>
    <w:p w14:paraId="1EA75EA2" w14:textId="18086410" w:rsidR="003D4BA0" w:rsidRDefault="0094725F" w:rsidP="003D4BA0">
      <w:pPr>
        <w:pStyle w:val="NoSpacing"/>
      </w:pPr>
      <w:r>
        <w:lastRenderedPageBreak/>
        <w:br/>
      </w:r>
      <w:r w:rsidR="003D4BA0" w:rsidRPr="003D4BA0">
        <w:drawing>
          <wp:inline distT="0" distB="0" distL="0" distR="0" wp14:anchorId="69A776FE" wp14:editId="588CDA2B">
            <wp:extent cx="4343400" cy="3449508"/>
            <wp:effectExtent l="0" t="0" r="0" b="5080"/>
            <wp:docPr id="1754663363" name="Picture 1" descr="A white paper with black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63363" name="Picture 1" descr="A white paper with black numbers and lines&#10;&#10;AI-generated content may be incorrect."/>
                    <pic:cNvPicPr/>
                  </pic:nvPicPr>
                  <pic:blipFill>
                    <a:blip r:embed="rId5"/>
                    <a:stretch>
                      <a:fillRect/>
                    </a:stretch>
                  </pic:blipFill>
                  <pic:spPr>
                    <a:xfrm>
                      <a:off x="0" y="0"/>
                      <a:ext cx="4415989" cy="3507158"/>
                    </a:xfrm>
                    <a:prstGeom prst="rect">
                      <a:avLst/>
                    </a:prstGeom>
                  </pic:spPr>
                </pic:pic>
              </a:graphicData>
            </a:graphic>
          </wp:inline>
        </w:drawing>
      </w:r>
    </w:p>
    <w:p w14:paraId="2CDABD14" w14:textId="4E1F37AA" w:rsidR="003D4BA0" w:rsidRDefault="0094725F" w:rsidP="003D4BA0">
      <w:pPr>
        <w:pStyle w:val="NoSpacing"/>
      </w:pPr>
      <w:r>
        <w:br/>
      </w:r>
    </w:p>
    <w:p w14:paraId="754BA028" w14:textId="0916056C" w:rsidR="0094725F" w:rsidRPr="00635303" w:rsidRDefault="0094725F" w:rsidP="003D4BA0">
      <w:pPr>
        <w:pStyle w:val="NoSpacing"/>
        <w:rPr>
          <w:rFonts w:ascii="Times New Roman" w:eastAsia="Times New Roman" w:hAnsi="Times New Roman" w:cs="Times New Roman"/>
          <w:kern w:val="0"/>
          <w:lang w:eastAsia="en-GB"/>
          <w14:ligatures w14:val="none"/>
        </w:rPr>
      </w:pPr>
      <w:r w:rsidRPr="00635303">
        <w:rPr>
          <w:rFonts w:ascii="Times New Roman" w:eastAsia="Times New Roman" w:hAnsi="Times New Roman" w:cs="Times New Roman"/>
          <w:kern w:val="0"/>
          <w:lang w:eastAsia="en-GB"/>
          <w14:ligatures w14:val="none"/>
        </w:rPr>
        <w:t>3) Pooled OLS results</w:t>
      </w:r>
    </w:p>
    <w:p w14:paraId="784A1718" w14:textId="77777777" w:rsidR="003D4BA0" w:rsidRPr="00635303" w:rsidRDefault="003D4BA0" w:rsidP="003D4BA0">
      <w:pPr>
        <w:pStyle w:val="NoSpacing"/>
        <w:rPr>
          <w:rFonts w:ascii="Times New Roman" w:eastAsia="Times New Roman" w:hAnsi="Times New Roman" w:cs="Times New Roman"/>
          <w:kern w:val="0"/>
          <w:lang w:eastAsia="en-GB"/>
          <w14:ligatures w14:val="none"/>
        </w:rPr>
      </w:pPr>
    </w:p>
    <w:p w14:paraId="16AAAC0D" w14:textId="5D8E810C" w:rsidR="003D4BA0" w:rsidRPr="00635303" w:rsidRDefault="0094725F" w:rsidP="003D4BA0">
      <w:pPr>
        <w:pStyle w:val="NoSpacing"/>
        <w:rPr>
          <w:rFonts w:ascii="Times New Roman" w:eastAsia="Times New Roman" w:hAnsi="Times New Roman" w:cs="Times New Roman"/>
          <w:kern w:val="0"/>
          <w:lang w:eastAsia="en-GB"/>
          <w14:ligatures w14:val="none"/>
        </w:rPr>
      </w:pPr>
      <w:r w:rsidRPr="00635303">
        <w:rPr>
          <w:rFonts w:ascii="Times New Roman" w:eastAsia="Times New Roman" w:hAnsi="Times New Roman" w:cs="Times New Roman"/>
          <w:kern w:val="0"/>
          <w:lang w:eastAsia="en-GB"/>
          <w14:ligatures w14:val="none"/>
        </w:rPr>
        <w:t>The accrual coefficient is −0.97, meaning that a one</w:t>
      </w:r>
      <w:r w:rsidRPr="00635303">
        <w:rPr>
          <w:rFonts w:ascii="Times New Roman" w:eastAsia="Times New Roman" w:hAnsi="Times New Roman" w:cs="Times New Roman"/>
          <w:kern w:val="0"/>
          <w:lang w:eastAsia="en-GB"/>
          <w14:ligatures w14:val="none"/>
        </w:rPr>
        <w:t xml:space="preserve"> </w:t>
      </w:r>
      <w:r w:rsidRPr="00635303">
        <w:rPr>
          <w:rFonts w:ascii="Times New Roman" w:eastAsia="Times New Roman" w:hAnsi="Times New Roman" w:cs="Times New Roman"/>
          <w:kern w:val="0"/>
          <w:lang w:eastAsia="en-GB"/>
          <w14:ligatures w14:val="none"/>
        </w:rPr>
        <w:t>percentage</w:t>
      </w:r>
      <w:r w:rsidRPr="00635303">
        <w:rPr>
          <w:rFonts w:ascii="Times New Roman" w:eastAsia="Times New Roman" w:hAnsi="Times New Roman" w:cs="Times New Roman"/>
          <w:kern w:val="0"/>
          <w:lang w:eastAsia="en-GB"/>
          <w14:ligatures w14:val="none"/>
        </w:rPr>
        <w:t xml:space="preserve"> </w:t>
      </w:r>
      <w:r w:rsidRPr="00635303">
        <w:rPr>
          <w:rFonts w:ascii="Times New Roman" w:eastAsia="Times New Roman" w:hAnsi="Times New Roman" w:cs="Times New Roman"/>
          <w:kern w:val="0"/>
          <w:lang w:eastAsia="en-GB"/>
          <w14:ligatures w14:val="none"/>
        </w:rPr>
        <w:t>point increase in the accrual ratio is associated with an excess return about 0.97 percentage points lower over the next 12 months</w:t>
      </w:r>
      <w:r w:rsidRPr="00635303">
        <w:rPr>
          <w:rFonts w:ascii="Times New Roman" w:eastAsia="Times New Roman" w:hAnsi="Times New Roman" w:cs="Times New Roman"/>
          <w:kern w:val="0"/>
          <w:lang w:eastAsia="en-GB"/>
          <w14:ligatures w14:val="none"/>
        </w:rPr>
        <w:t xml:space="preserve">. </w:t>
      </w:r>
      <w:r w:rsidRPr="00635303">
        <w:rPr>
          <w:rFonts w:ascii="Times New Roman" w:eastAsia="Times New Roman" w:hAnsi="Times New Roman" w:cs="Times New Roman"/>
          <w:kern w:val="0"/>
          <w:lang w:eastAsia="en-GB"/>
          <w14:ligatures w14:val="none"/>
        </w:rPr>
        <w:t>The gap coefficient is 1.59, suggesting that a one-percentage-point increase in the gap is associated with an excess return about 1.6 percentage points higher</w:t>
      </w:r>
      <w:r w:rsidRPr="00635303">
        <w:rPr>
          <w:rFonts w:ascii="Times New Roman" w:eastAsia="Times New Roman" w:hAnsi="Times New Roman" w:cs="Times New Roman"/>
          <w:kern w:val="0"/>
          <w:lang w:eastAsia="en-GB"/>
          <w14:ligatures w14:val="none"/>
        </w:rPr>
        <w:t>, contradicting the theory.</w:t>
      </w:r>
      <w:r w:rsidR="00F62DFE" w:rsidRPr="00635303">
        <w:rPr>
          <w:rFonts w:ascii="Times New Roman" w:eastAsia="Times New Roman" w:hAnsi="Times New Roman" w:cs="Times New Roman"/>
          <w:kern w:val="0"/>
          <w:lang w:eastAsia="en-GB"/>
          <w14:ligatures w14:val="none"/>
        </w:rPr>
        <w:t xml:space="preserve"> </w:t>
      </w:r>
      <w:r w:rsidR="00F62DFE" w:rsidRPr="00635303">
        <w:rPr>
          <w:rFonts w:ascii="Times New Roman" w:eastAsia="Times New Roman" w:hAnsi="Times New Roman" w:cs="Times New Roman"/>
          <w:kern w:val="0"/>
          <w:lang w:eastAsia="en-GB"/>
          <w14:ligatures w14:val="none"/>
        </w:rPr>
        <w:t xml:space="preserve">However, the p-values for the accrual ratio and the gap are 0.18 and 0.28 respectively, meaning that </w:t>
      </w:r>
      <w:r w:rsidR="00F62DFE" w:rsidRPr="00635303">
        <w:rPr>
          <w:rFonts w:ascii="Times New Roman" w:eastAsia="Times New Roman" w:hAnsi="Times New Roman" w:cs="Times New Roman"/>
          <w:kern w:val="0"/>
          <w:lang w:eastAsia="en-GB"/>
          <w14:ligatures w14:val="none"/>
        </w:rPr>
        <w:t>none of the</w:t>
      </w:r>
      <w:r w:rsidR="00F62DFE" w:rsidRPr="00635303">
        <w:rPr>
          <w:rFonts w:ascii="Times New Roman" w:eastAsia="Times New Roman" w:hAnsi="Times New Roman" w:cs="Times New Roman"/>
          <w:kern w:val="0"/>
          <w:lang w:eastAsia="en-GB"/>
          <w14:ligatures w14:val="none"/>
        </w:rPr>
        <w:t xml:space="preserve"> variable</w:t>
      </w:r>
      <w:r w:rsidR="00F62DFE" w:rsidRPr="00635303">
        <w:rPr>
          <w:rFonts w:ascii="Times New Roman" w:eastAsia="Times New Roman" w:hAnsi="Times New Roman" w:cs="Times New Roman"/>
          <w:kern w:val="0"/>
          <w:lang w:eastAsia="en-GB"/>
          <w14:ligatures w14:val="none"/>
        </w:rPr>
        <w:t>s</w:t>
      </w:r>
      <w:r w:rsidR="00F62DFE" w:rsidRPr="00635303">
        <w:rPr>
          <w:rFonts w:ascii="Times New Roman" w:eastAsia="Times New Roman" w:hAnsi="Times New Roman" w:cs="Times New Roman"/>
          <w:kern w:val="0"/>
          <w:lang w:eastAsia="en-GB"/>
          <w14:ligatures w14:val="none"/>
        </w:rPr>
        <w:t xml:space="preserve"> is statistically significant at the 5% </w:t>
      </w:r>
      <w:r w:rsidR="00F62DFE" w:rsidRPr="00635303">
        <w:rPr>
          <w:rFonts w:ascii="Times New Roman" w:eastAsia="Times New Roman" w:hAnsi="Times New Roman" w:cs="Times New Roman"/>
          <w:kern w:val="0"/>
          <w:lang w:eastAsia="en-GB"/>
          <w14:ligatures w14:val="none"/>
        </w:rPr>
        <w:t xml:space="preserve">significance </w:t>
      </w:r>
      <w:r w:rsidR="00F62DFE" w:rsidRPr="00635303">
        <w:rPr>
          <w:rFonts w:ascii="Times New Roman" w:eastAsia="Times New Roman" w:hAnsi="Times New Roman" w:cs="Times New Roman"/>
          <w:kern w:val="0"/>
          <w:lang w:eastAsia="en-GB"/>
          <w14:ligatures w14:val="none"/>
        </w:rPr>
        <w:t>level.</w:t>
      </w:r>
      <w:r w:rsidR="00635303" w:rsidRPr="00635303">
        <w:rPr>
          <w:rFonts w:ascii="Times New Roman" w:eastAsia="Times New Roman" w:hAnsi="Times New Roman" w:cs="Times New Roman"/>
          <w:kern w:val="0"/>
          <w:lang w:eastAsia="en-GB"/>
          <w14:ligatures w14:val="none"/>
        </w:rPr>
        <w:t xml:space="preserve"> </w:t>
      </w:r>
      <w:r w:rsidR="00F62DFE" w:rsidRPr="00635303">
        <w:rPr>
          <w:rFonts w:ascii="Times New Roman" w:eastAsia="Times New Roman" w:hAnsi="Times New Roman" w:cs="Times New Roman"/>
          <w:kern w:val="0"/>
          <w:lang w:eastAsia="en-GB"/>
          <w14:ligatures w14:val="none"/>
        </w:rPr>
        <w:t xml:space="preserve">When it comes to year </w:t>
      </w:r>
      <w:r w:rsidR="00635303" w:rsidRPr="00635303">
        <w:rPr>
          <w:rFonts w:ascii="Times New Roman" w:eastAsia="Times New Roman" w:hAnsi="Times New Roman" w:cs="Times New Roman"/>
          <w:kern w:val="0"/>
          <w:lang w:eastAsia="en-GB"/>
          <w14:ligatures w14:val="none"/>
        </w:rPr>
        <w:t>effects</w:t>
      </w:r>
      <w:r w:rsidR="00F62DFE" w:rsidRPr="00635303">
        <w:rPr>
          <w:rFonts w:ascii="Times New Roman" w:eastAsia="Times New Roman" w:hAnsi="Times New Roman" w:cs="Times New Roman"/>
          <w:kern w:val="0"/>
          <w:lang w:eastAsia="en-GB"/>
          <w14:ligatures w14:val="none"/>
        </w:rPr>
        <w:t xml:space="preserve">, the only statistically significant year dummy is associated with 2023 </w:t>
      </w:r>
      <w:r w:rsidR="00F62DFE" w:rsidRPr="00635303">
        <w:rPr>
          <w:rFonts w:ascii="Times New Roman" w:eastAsia="Times New Roman" w:hAnsi="Times New Roman" w:cs="Times New Roman"/>
          <w:kern w:val="0"/>
          <w:lang w:eastAsia="en-GB"/>
          <w14:ligatures w14:val="none"/>
        </w:rPr>
        <w:t>(p &lt; 0.001)</w:t>
      </w:r>
      <w:r w:rsidR="00635303" w:rsidRPr="00635303">
        <w:rPr>
          <w:rFonts w:ascii="Times New Roman" w:eastAsia="Times New Roman" w:hAnsi="Times New Roman" w:cs="Times New Roman"/>
          <w:kern w:val="0"/>
          <w:lang w:eastAsia="en-GB"/>
          <w14:ligatures w14:val="none"/>
        </w:rPr>
        <w:t>.</w:t>
      </w:r>
    </w:p>
    <w:p w14:paraId="51C2BC55" w14:textId="77777777" w:rsidR="003D4BA0" w:rsidRDefault="003D4BA0" w:rsidP="00DC53B8">
      <w:pPr>
        <w:pStyle w:val="NormalWeb"/>
        <w:rPr>
          <w:rFonts w:asciiTheme="minorHAnsi" w:eastAsiaTheme="minorHAnsi" w:hAnsiTheme="minorHAnsi" w:cstheme="minorBidi"/>
          <w:kern w:val="2"/>
          <w:lang w:eastAsia="en-US"/>
          <w14:ligatures w14:val="standardContextual"/>
        </w:rPr>
      </w:pPr>
      <w:r w:rsidRPr="003D4BA0">
        <w:drawing>
          <wp:inline distT="0" distB="0" distL="0" distR="0" wp14:anchorId="6D516FA0" wp14:editId="3DDEAC02">
            <wp:extent cx="5133649" cy="2295525"/>
            <wp:effectExtent l="0" t="0" r="0" b="3175"/>
            <wp:docPr id="1293345654" name="Picture 1" descr="A table of numb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45654" name="Picture 1" descr="A table of numbers with text&#10;&#10;AI-generated content may be incorrect."/>
                    <pic:cNvPicPr/>
                  </pic:nvPicPr>
                  <pic:blipFill>
                    <a:blip r:embed="rId6"/>
                    <a:stretch>
                      <a:fillRect/>
                    </a:stretch>
                  </pic:blipFill>
                  <pic:spPr>
                    <a:xfrm>
                      <a:off x="0" y="0"/>
                      <a:ext cx="5149870" cy="2302778"/>
                    </a:xfrm>
                    <a:prstGeom prst="rect">
                      <a:avLst/>
                    </a:prstGeom>
                  </pic:spPr>
                </pic:pic>
              </a:graphicData>
            </a:graphic>
          </wp:inline>
        </w:drawing>
      </w:r>
      <w:r w:rsidR="00F62DFE">
        <w:br/>
      </w:r>
      <w:r w:rsidR="00F62DFE">
        <w:br/>
      </w:r>
    </w:p>
    <w:p w14:paraId="693A83CD" w14:textId="77777777" w:rsidR="00635303" w:rsidRDefault="00F62DFE" w:rsidP="00635303">
      <w:pPr>
        <w:pStyle w:val="NoSpacing"/>
        <w:rPr>
          <w:rFonts w:ascii="Times New Roman" w:eastAsia="Times New Roman" w:hAnsi="Times New Roman" w:cs="Times New Roman"/>
          <w:kern w:val="0"/>
          <w:lang w:eastAsia="en-GB"/>
          <w14:ligatures w14:val="none"/>
        </w:rPr>
      </w:pPr>
      <w:r w:rsidRPr="00635303">
        <w:rPr>
          <w:rFonts w:ascii="Times New Roman" w:eastAsia="Times New Roman" w:hAnsi="Times New Roman" w:cs="Times New Roman"/>
          <w:kern w:val="0"/>
          <w:lang w:eastAsia="en-GB"/>
          <w14:ligatures w14:val="none"/>
        </w:rPr>
        <w:lastRenderedPageBreak/>
        <w:t>Conclusion:</w:t>
      </w:r>
    </w:p>
    <w:p w14:paraId="3C9DD029" w14:textId="594FE614" w:rsidR="0094725F" w:rsidRPr="00635303" w:rsidRDefault="00F62DFE" w:rsidP="00635303">
      <w:pPr>
        <w:pStyle w:val="NoSpacing"/>
        <w:rPr>
          <w:rFonts w:ascii="Times New Roman" w:eastAsia="Times New Roman" w:hAnsi="Times New Roman" w:cs="Times New Roman"/>
          <w:kern w:val="0"/>
          <w:lang w:eastAsia="en-GB"/>
          <w14:ligatures w14:val="none"/>
        </w:rPr>
      </w:pPr>
      <w:r w:rsidRPr="00635303">
        <w:rPr>
          <w:rFonts w:ascii="Times New Roman" w:eastAsia="Times New Roman" w:hAnsi="Times New Roman" w:cs="Times New Roman"/>
          <w:kern w:val="0"/>
          <w:lang w:eastAsia="en-GB"/>
          <w14:ligatures w14:val="none"/>
        </w:rPr>
        <w:br/>
      </w:r>
      <w:r w:rsidRPr="00635303">
        <w:rPr>
          <w:rFonts w:ascii="Times New Roman" w:eastAsia="Times New Roman" w:hAnsi="Times New Roman" w:cs="Times New Roman"/>
          <w:kern w:val="0"/>
          <w:lang w:eastAsia="en-GB"/>
          <w14:ligatures w14:val="none"/>
        </w:rPr>
        <w:t xml:space="preserve">Accruals show a negative relation with next-year returns, </w:t>
      </w:r>
      <w:r w:rsidRPr="00635303">
        <w:rPr>
          <w:rFonts w:ascii="Times New Roman" w:eastAsia="Times New Roman" w:hAnsi="Times New Roman" w:cs="Times New Roman"/>
          <w:kern w:val="0"/>
          <w:lang w:eastAsia="en-GB"/>
          <w14:ligatures w14:val="none"/>
        </w:rPr>
        <w:t>as expected</w:t>
      </w:r>
      <w:r w:rsidRPr="00635303">
        <w:rPr>
          <w:rFonts w:ascii="Times New Roman" w:eastAsia="Times New Roman" w:hAnsi="Times New Roman" w:cs="Times New Roman"/>
          <w:kern w:val="0"/>
          <w:lang w:eastAsia="en-GB"/>
          <w14:ligatures w14:val="none"/>
        </w:rPr>
        <w:t xml:space="preserve">, but it is not statistically significant. </w:t>
      </w:r>
      <w:r w:rsidRPr="00635303">
        <w:rPr>
          <w:rFonts w:ascii="Times New Roman" w:eastAsia="Times New Roman" w:hAnsi="Times New Roman" w:cs="Times New Roman"/>
          <w:kern w:val="0"/>
          <w:lang w:eastAsia="en-GB"/>
          <w14:ligatures w14:val="none"/>
        </w:rPr>
        <w:t xml:space="preserve">The adjustment gap, however, shows </w:t>
      </w:r>
      <w:r w:rsidR="00635303" w:rsidRPr="00635303">
        <w:rPr>
          <w:rFonts w:ascii="Times New Roman" w:eastAsia="Times New Roman" w:hAnsi="Times New Roman" w:cs="Times New Roman"/>
          <w:kern w:val="0"/>
          <w:lang w:eastAsia="en-GB"/>
          <w14:ligatures w14:val="none"/>
        </w:rPr>
        <w:t xml:space="preserve">a </w:t>
      </w:r>
      <w:r w:rsidRPr="00635303">
        <w:rPr>
          <w:rFonts w:ascii="Times New Roman" w:eastAsia="Times New Roman" w:hAnsi="Times New Roman" w:cs="Times New Roman"/>
          <w:kern w:val="0"/>
          <w:lang w:eastAsia="en-GB"/>
          <w14:ligatures w14:val="none"/>
        </w:rPr>
        <w:t>positive relation with the dependen</w:t>
      </w:r>
      <w:r w:rsidR="00635303" w:rsidRPr="00635303">
        <w:rPr>
          <w:rFonts w:ascii="Times New Roman" w:eastAsia="Times New Roman" w:hAnsi="Times New Roman" w:cs="Times New Roman"/>
          <w:kern w:val="0"/>
          <w:lang w:eastAsia="en-GB"/>
          <w14:ligatures w14:val="none"/>
        </w:rPr>
        <w:t>t</w:t>
      </w:r>
      <w:r w:rsidRPr="00635303">
        <w:rPr>
          <w:rFonts w:ascii="Times New Roman" w:eastAsia="Times New Roman" w:hAnsi="Times New Roman" w:cs="Times New Roman"/>
          <w:kern w:val="0"/>
          <w:lang w:eastAsia="en-GB"/>
          <w14:ligatures w14:val="none"/>
        </w:rPr>
        <w:t xml:space="preserve"> variable, but its estimate</w:t>
      </w:r>
      <w:r w:rsidR="003D4BA0" w:rsidRPr="00635303">
        <w:rPr>
          <w:rFonts w:ascii="Times New Roman" w:eastAsia="Times New Roman" w:hAnsi="Times New Roman" w:cs="Times New Roman"/>
          <w:kern w:val="0"/>
          <w:lang w:eastAsia="en-GB"/>
          <w14:ligatures w14:val="none"/>
        </w:rPr>
        <w:t>s</w:t>
      </w:r>
      <w:r w:rsidRPr="00635303">
        <w:rPr>
          <w:rFonts w:ascii="Times New Roman" w:eastAsia="Times New Roman" w:hAnsi="Times New Roman" w:cs="Times New Roman"/>
          <w:kern w:val="0"/>
          <w:lang w:eastAsia="en-GB"/>
          <w14:ligatures w14:val="none"/>
        </w:rPr>
        <w:t xml:space="preserve"> are also statistically insignificant.</w:t>
      </w:r>
    </w:p>
    <w:p w14:paraId="5682A901" w14:textId="77777777" w:rsidR="00F27A07" w:rsidRPr="00DC53B8" w:rsidRDefault="00F27A07" w:rsidP="00DC53B8"/>
    <w:sectPr w:rsidR="00F27A07" w:rsidRPr="00DC5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20"/>
    <w:rsid w:val="00170C5C"/>
    <w:rsid w:val="003D4BA0"/>
    <w:rsid w:val="0061268B"/>
    <w:rsid w:val="00635303"/>
    <w:rsid w:val="006834CE"/>
    <w:rsid w:val="00764181"/>
    <w:rsid w:val="008C3220"/>
    <w:rsid w:val="0094725F"/>
    <w:rsid w:val="00B17986"/>
    <w:rsid w:val="00B212CF"/>
    <w:rsid w:val="00CD05B6"/>
    <w:rsid w:val="00DC53B8"/>
    <w:rsid w:val="00DE46DF"/>
    <w:rsid w:val="00F11ECE"/>
    <w:rsid w:val="00F23B25"/>
    <w:rsid w:val="00F27A07"/>
    <w:rsid w:val="00F62DFE"/>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61A99B5E"/>
  <w15:chartTrackingRefBased/>
  <w15:docId w15:val="{F9EAB3CC-1DA4-0842-A9BB-1FAC63B37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2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2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2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2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2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2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2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20"/>
    <w:rPr>
      <w:rFonts w:eastAsiaTheme="majorEastAsia" w:cstheme="majorBidi"/>
      <w:color w:val="272727" w:themeColor="text1" w:themeTint="D8"/>
    </w:rPr>
  </w:style>
  <w:style w:type="paragraph" w:styleId="Title">
    <w:name w:val="Title"/>
    <w:basedOn w:val="Normal"/>
    <w:next w:val="Normal"/>
    <w:link w:val="TitleChar"/>
    <w:uiPriority w:val="10"/>
    <w:qFormat/>
    <w:rsid w:val="008C3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220"/>
    <w:pPr>
      <w:spacing w:before="160"/>
      <w:jc w:val="center"/>
    </w:pPr>
    <w:rPr>
      <w:i/>
      <w:iCs/>
      <w:color w:val="404040" w:themeColor="text1" w:themeTint="BF"/>
    </w:rPr>
  </w:style>
  <w:style w:type="character" w:customStyle="1" w:styleId="QuoteChar">
    <w:name w:val="Quote Char"/>
    <w:basedOn w:val="DefaultParagraphFont"/>
    <w:link w:val="Quote"/>
    <w:uiPriority w:val="29"/>
    <w:rsid w:val="008C3220"/>
    <w:rPr>
      <w:i/>
      <w:iCs/>
      <w:color w:val="404040" w:themeColor="text1" w:themeTint="BF"/>
    </w:rPr>
  </w:style>
  <w:style w:type="paragraph" w:styleId="ListParagraph">
    <w:name w:val="List Paragraph"/>
    <w:basedOn w:val="Normal"/>
    <w:uiPriority w:val="34"/>
    <w:qFormat/>
    <w:rsid w:val="008C3220"/>
    <w:pPr>
      <w:ind w:left="720"/>
      <w:contextualSpacing/>
    </w:pPr>
  </w:style>
  <w:style w:type="character" w:styleId="IntenseEmphasis">
    <w:name w:val="Intense Emphasis"/>
    <w:basedOn w:val="DefaultParagraphFont"/>
    <w:uiPriority w:val="21"/>
    <w:qFormat/>
    <w:rsid w:val="008C3220"/>
    <w:rPr>
      <w:i/>
      <w:iCs/>
      <w:color w:val="0F4761" w:themeColor="accent1" w:themeShade="BF"/>
    </w:rPr>
  </w:style>
  <w:style w:type="paragraph" w:styleId="IntenseQuote">
    <w:name w:val="Intense Quote"/>
    <w:basedOn w:val="Normal"/>
    <w:next w:val="Normal"/>
    <w:link w:val="IntenseQuoteChar"/>
    <w:uiPriority w:val="30"/>
    <w:qFormat/>
    <w:rsid w:val="008C3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220"/>
    <w:rPr>
      <w:i/>
      <w:iCs/>
      <w:color w:val="0F4761" w:themeColor="accent1" w:themeShade="BF"/>
    </w:rPr>
  </w:style>
  <w:style w:type="character" w:styleId="IntenseReference">
    <w:name w:val="Intense Reference"/>
    <w:basedOn w:val="DefaultParagraphFont"/>
    <w:uiPriority w:val="32"/>
    <w:qFormat/>
    <w:rsid w:val="008C3220"/>
    <w:rPr>
      <w:b/>
      <w:bCs/>
      <w:smallCaps/>
      <w:color w:val="0F4761" w:themeColor="accent1" w:themeShade="BF"/>
      <w:spacing w:val="5"/>
    </w:rPr>
  </w:style>
  <w:style w:type="paragraph" w:styleId="NormalWeb">
    <w:name w:val="Normal (Web)"/>
    <w:basedOn w:val="Normal"/>
    <w:uiPriority w:val="99"/>
    <w:semiHidden/>
    <w:unhideWhenUsed/>
    <w:rsid w:val="008C322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C3220"/>
    <w:rPr>
      <w:b/>
      <w:bCs/>
    </w:rPr>
  </w:style>
  <w:style w:type="paragraph" w:styleId="NoSpacing">
    <w:name w:val="No Spacing"/>
    <w:uiPriority w:val="1"/>
    <w:qFormat/>
    <w:rsid w:val="003D4BA0"/>
    <w:pPr>
      <w:spacing w:after="0" w:line="240" w:lineRule="auto"/>
    </w:pPr>
  </w:style>
  <w:style w:type="paragraph" w:customStyle="1" w:styleId="Style1">
    <w:name w:val="Style1"/>
    <w:basedOn w:val="Normal"/>
    <w:qFormat/>
    <w:rsid w:val="003D4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490150">
      <w:bodyDiv w:val="1"/>
      <w:marLeft w:val="0"/>
      <w:marRight w:val="0"/>
      <w:marTop w:val="0"/>
      <w:marBottom w:val="0"/>
      <w:divBdr>
        <w:top w:val="none" w:sz="0" w:space="0" w:color="auto"/>
        <w:left w:val="none" w:sz="0" w:space="0" w:color="auto"/>
        <w:bottom w:val="none" w:sz="0" w:space="0" w:color="auto"/>
        <w:right w:val="none" w:sz="0" w:space="0" w:color="auto"/>
      </w:divBdr>
    </w:div>
    <w:div w:id="162176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Dzmitry Shautsou</dc:creator>
  <cp:keywords/>
  <dc:description/>
  <cp:lastModifiedBy>Dzmitry Shautsou</cp:lastModifiedBy>
  <cp:revision>2</cp:revision>
  <dcterms:created xsi:type="dcterms:W3CDTF">2026-10-19T15:06:00Z</dcterms:created>
  <dcterms:modified xsi:type="dcterms:W3CDTF">2026-10-19T17:08:00Z</dcterms:modified>
</cp:coreProperties>
</file>