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B26E" w14:textId="77777777" w:rsidR="003C21BC" w:rsidRDefault="003C21BC" w:rsidP="002F421E">
      <w:pPr>
        <w:pStyle w:val="2"/>
        <w:tabs>
          <w:tab w:val="left" w:pos="312"/>
        </w:tabs>
        <w:spacing w:line="360" w:lineRule="auto"/>
      </w:pPr>
      <w:bookmarkStart w:id="0" w:name="_Toc136465807"/>
      <w:r>
        <w:rPr>
          <w:rFonts w:hint="eastAsia"/>
        </w:rPr>
        <w:t>R</w:t>
      </w:r>
      <w:r>
        <w:t>isk Plan</w:t>
      </w:r>
      <w:bookmarkEnd w:id="0"/>
    </w:p>
    <w:p w14:paraId="06BF2664" w14:textId="5AB5C936" w:rsidR="003C21BC" w:rsidRPr="00B504CE" w:rsidRDefault="003C21BC" w:rsidP="002F421E">
      <w:pPr>
        <w:pStyle w:val="5"/>
        <w:numPr>
          <w:ilvl w:val="0"/>
          <w:numId w:val="6"/>
        </w:numPr>
        <w:spacing w:line="360" w:lineRule="auto"/>
        <w:rPr>
          <w:rFonts w:ascii="黑体" w:eastAsia="黑体" w:hAnsi="黑体"/>
        </w:rPr>
      </w:pPr>
      <w:r w:rsidRPr="00B504CE">
        <w:rPr>
          <w:rFonts w:ascii="黑体" w:eastAsia="黑体" w:hAnsi="黑体"/>
        </w:rPr>
        <w:t>Risk Identification</w:t>
      </w:r>
    </w:p>
    <w:p w14:paraId="6E308AB0" w14:textId="77777777" w:rsidR="003C21BC" w:rsidRPr="002544DD" w:rsidRDefault="003C21BC" w:rsidP="003C21BC">
      <w:pPr>
        <w:spacing w:line="360" w:lineRule="auto"/>
        <w:rPr>
          <w:rFonts w:ascii="Times New Roman" w:hAnsi="Times New Roman" w:cs="Times New Roman"/>
        </w:rPr>
      </w:pPr>
      <w:r w:rsidRPr="002544DD">
        <w:rPr>
          <w:rFonts w:ascii="Times New Roman" w:hAnsi="Times New Roman" w:cs="Times New Roman"/>
        </w:rPr>
        <w:t>Technical Risk: Risk related to technology selection</w:t>
      </w:r>
    </w:p>
    <w:p w14:paraId="57458343" w14:textId="77777777" w:rsidR="003C21BC" w:rsidRPr="002544DD" w:rsidRDefault="003C21BC" w:rsidP="003C21BC">
      <w:pPr>
        <w:spacing w:line="360" w:lineRule="auto"/>
        <w:rPr>
          <w:rFonts w:ascii="Times New Roman" w:hAnsi="Times New Roman" w:cs="Times New Roman"/>
          <w:b/>
          <w:bCs/>
        </w:rPr>
      </w:pPr>
      <w:r w:rsidRPr="002544DD">
        <w:rPr>
          <w:rFonts w:ascii="Times New Roman" w:hAnsi="Times New Roman" w:cs="Times New Roman"/>
        </w:rPr>
        <w:t>Personnel Risk: Unexpected absence of key team members, team collaboration issues</w:t>
      </w:r>
    </w:p>
    <w:p w14:paraId="20C98EF6" w14:textId="77777777" w:rsidR="003C21BC" w:rsidRPr="002544DD" w:rsidRDefault="003C21BC" w:rsidP="003C21BC">
      <w:pPr>
        <w:spacing w:line="360" w:lineRule="auto"/>
        <w:rPr>
          <w:rFonts w:ascii="Times New Roman" w:hAnsi="Times New Roman" w:cs="Times New Roman"/>
        </w:rPr>
      </w:pPr>
      <w:r w:rsidRPr="002544DD">
        <w:rPr>
          <w:rFonts w:ascii="Times New Roman" w:hAnsi="Times New Roman" w:cs="Times New Roman"/>
        </w:rPr>
        <w:t>Requirements Risk: Frequent changes in requirements</w:t>
      </w:r>
    </w:p>
    <w:p w14:paraId="6F7E433D" w14:textId="1AFC0C12" w:rsidR="003C21BC" w:rsidRDefault="003C21BC" w:rsidP="003C21BC">
      <w:pPr>
        <w:spacing w:line="360" w:lineRule="auto"/>
        <w:rPr>
          <w:rFonts w:ascii="Times New Roman" w:hAnsi="Times New Roman" w:cs="Times New Roman"/>
        </w:rPr>
      </w:pPr>
      <w:r w:rsidRPr="002544DD">
        <w:rPr>
          <w:rFonts w:ascii="Times New Roman" w:hAnsi="Times New Roman" w:cs="Times New Roman"/>
        </w:rPr>
        <w:t>Other Risks: Such as holidays, etc.</w:t>
      </w:r>
    </w:p>
    <w:p w14:paraId="5267BD85" w14:textId="77777777" w:rsidR="0049791D" w:rsidRPr="002544DD" w:rsidRDefault="0049791D" w:rsidP="003C21BC">
      <w:pPr>
        <w:spacing w:line="360" w:lineRule="auto"/>
        <w:rPr>
          <w:rFonts w:ascii="Times New Roman" w:hAnsi="Times New Roman" w:cs="Times New Roman"/>
        </w:rPr>
      </w:pPr>
    </w:p>
    <w:p w14:paraId="59E66D20" w14:textId="0F8C1F1C" w:rsidR="003C21BC" w:rsidRPr="002544DD" w:rsidRDefault="003C21BC" w:rsidP="003C21BC">
      <w:pPr>
        <w:pStyle w:val="5"/>
        <w:spacing w:line="360" w:lineRule="auto"/>
        <w:rPr>
          <w:rFonts w:ascii="黑体" w:eastAsia="黑体" w:hAnsi="黑体"/>
        </w:rPr>
      </w:pPr>
      <w:r w:rsidRPr="002544DD">
        <w:rPr>
          <w:rFonts w:ascii="黑体" w:eastAsia="黑体" w:hAnsi="黑体" w:hint="eastAsia"/>
        </w:rPr>
        <w:t>2</w:t>
      </w:r>
      <w:r w:rsidR="002F421E">
        <w:rPr>
          <w:rFonts w:ascii="黑体" w:eastAsia="黑体" w:hAnsi="黑体" w:hint="eastAsia"/>
        </w:rPr>
        <w:t>．</w:t>
      </w:r>
      <w:r w:rsidRPr="002544DD">
        <w:rPr>
          <w:rFonts w:ascii="黑体" w:eastAsia="黑体" w:hAnsi="黑体"/>
        </w:rPr>
        <w:t>Risk Assessment</w:t>
      </w:r>
    </w:p>
    <w:tbl>
      <w:tblPr>
        <w:tblStyle w:val="a7"/>
        <w:tblW w:w="0" w:type="auto"/>
        <w:tblLook w:val="04A0" w:firstRow="1" w:lastRow="0" w:firstColumn="1" w:lastColumn="0" w:noHBand="0" w:noVBand="1"/>
      </w:tblPr>
      <w:tblGrid>
        <w:gridCol w:w="1381"/>
        <w:gridCol w:w="2379"/>
        <w:gridCol w:w="3485"/>
        <w:gridCol w:w="1051"/>
      </w:tblGrid>
      <w:tr w:rsidR="003C21BC" w14:paraId="1B45A540" w14:textId="77777777" w:rsidTr="00750974">
        <w:tc>
          <w:tcPr>
            <w:tcW w:w="1383" w:type="dxa"/>
            <w:vAlign w:val="center"/>
          </w:tcPr>
          <w:p w14:paraId="77F5491A" w14:textId="77777777" w:rsidR="003C21BC" w:rsidRPr="002544DD" w:rsidRDefault="003C21BC" w:rsidP="00750974">
            <w:pPr>
              <w:spacing w:line="360" w:lineRule="auto"/>
              <w:jc w:val="center"/>
            </w:pPr>
          </w:p>
        </w:tc>
        <w:tc>
          <w:tcPr>
            <w:tcW w:w="2411" w:type="dxa"/>
            <w:vAlign w:val="center"/>
          </w:tcPr>
          <w:p w14:paraId="18025A8A" w14:textId="77777777" w:rsidR="003C21BC" w:rsidRPr="002544DD" w:rsidRDefault="003C21BC" w:rsidP="00750974">
            <w:pPr>
              <w:spacing w:line="360" w:lineRule="auto"/>
              <w:jc w:val="center"/>
              <w:rPr>
                <w:b/>
                <w:bCs/>
              </w:rPr>
            </w:pPr>
            <w:r w:rsidRPr="002544DD">
              <w:t>Probability of Occurrence</w:t>
            </w:r>
          </w:p>
        </w:tc>
        <w:tc>
          <w:tcPr>
            <w:tcW w:w="3543" w:type="dxa"/>
            <w:vAlign w:val="center"/>
          </w:tcPr>
          <w:p w14:paraId="2D582FC8" w14:textId="77777777" w:rsidR="003C21BC" w:rsidRPr="002544DD" w:rsidRDefault="003C21BC" w:rsidP="00750974">
            <w:pPr>
              <w:spacing w:line="360" w:lineRule="auto"/>
              <w:jc w:val="center"/>
              <w:rPr>
                <w:b/>
                <w:bCs/>
              </w:rPr>
            </w:pPr>
            <w:r w:rsidRPr="002544DD">
              <w:t>Negative Impact</w:t>
            </w:r>
          </w:p>
        </w:tc>
        <w:tc>
          <w:tcPr>
            <w:tcW w:w="1057" w:type="dxa"/>
            <w:vAlign w:val="center"/>
          </w:tcPr>
          <w:p w14:paraId="2B2DE8B8" w14:textId="77777777" w:rsidR="003C21BC" w:rsidRPr="002544DD" w:rsidRDefault="003C21BC" w:rsidP="00750974">
            <w:pPr>
              <w:spacing w:line="360" w:lineRule="auto"/>
              <w:jc w:val="center"/>
              <w:rPr>
                <w:b/>
                <w:bCs/>
              </w:rPr>
            </w:pPr>
            <w:r w:rsidRPr="002544DD">
              <w:t>Priority</w:t>
            </w:r>
          </w:p>
        </w:tc>
      </w:tr>
      <w:tr w:rsidR="003C21BC" w14:paraId="493CE84A" w14:textId="77777777" w:rsidTr="00750974">
        <w:tc>
          <w:tcPr>
            <w:tcW w:w="1383" w:type="dxa"/>
            <w:vAlign w:val="center"/>
          </w:tcPr>
          <w:p w14:paraId="59E149E3" w14:textId="77777777" w:rsidR="003C21BC" w:rsidRPr="002544DD" w:rsidRDefault="003C21BC" w:rsidP="00750974">
            <w:pPr>
              <w:spacing w:line="360" w:lineRule="auto"/>
              <w:jc w:val="center"/>
              <w:rPr>
                <w:b/>
                <w:bCs/>
              </w:rPr>
            </w:pPr>
            <w:r w:rsidRPr="002544DD">
              <w:t>Technical Risk</w:t>
            </w:r>
          </w:p>
        </w:tc>
        <w:tc>
          <w:tcPr>
            <w:tcW w:w="2411" w:type="dxa"/>
            <w:vAlign w:val="center"/>
          </w:tcPr>
          <w:p w14:paraId="32DC67CD" w14:textId="77777777" w:rsidR="003C21BC" w:rsidRPr="002544DD" w:rsidRDefault="003C21BC" w:rsidP="00750974">
            <w:pPr>
              <w:spacing w:line="360" w:lineRule="auto"/>
              <w:jc w:val="center"/>
            </w:pPr>
            <w:r w:rsidRPr="002544DD">
              <w:t>20%</w:t>
            </w:r>
          </w:p>
        </w:tc>
        <w:tc>
          <w:tcPr>
            <w:tcW w:w="3543" w:type="dxa"/>
            <w:vAlign w:val="center"/>
          </w:tcPr>
          <w:p w14:paraId="4C86F13F" w14:textId="77777777" w:rsidR="003C21BC" w:rsidRPr="002544DD" w:rsidRDefault="003C21BC" w:rsidP="00750974">
            <w:pPr>
              <w:spacing w:line="360" w:lineRule="auto"/>
              <w:jc w:val="center"/>
            </w:pPr>
            <w:r w:rsidRPr="002544DD">
              <w:t>Replacing the technology used requires a reevaluation of the project's feasibility and the development of a new project plan. Extending the time for technology learning may directly result in missing milestones and affecting the project timeline.</w:t>
            </w:r>
          </w:p>
        </w:tc>
        <w:tc>
          <w:tcPr>
            <w:tcW w:w="1057" w:type="dxa"/>
            <w:vAlign w:val="center"/>
          </w:tcPr>
          <w:p w14:paraId="6FE1EC8E" w14:textId="77777777" w:rsidR="003C21BC" w:rsidRPr="002544DD" w:rsidRDefault="003C21BC" w:rsidP="00750974">
            <w:pPr>
              <w:spacing w:line="360" w:lineRule="auto"/>
              <w:jc w:val="center"/>
            </w:pPr>
            <w:r w:rsidRPr="002544DD">
              <w:t>C</w:t>
            </w:r>
          </w:p>
        </w:tc>
      </w:tr>
      <w:tr w:rsidR="003C21BC" w14:paraId="0C52E45A" w14:textId="77777777" w:rsidTr="00750974">
        <w:tc>
          <w:tcPr>
            <w:tcW w:w="1383" w:type="dxa"/>
            <w:vAlign w:val="center"/>
          </w:tcPr>
          <w:p w14:paraId="40A83D84" w14:textId="77777777" w:rsidR="003C21BC" w:rsidRPr="002544DD" w:rsidRDefault="003C21BC" w:rsidP="00750974">
            <w:pPr>
              <w:spacing w:line="360" w:lineRule="auto"/>
              <w:jc w:val="center"/>
              <w:rPr>
                <w:b/>
                <w:bCs/>
              </w:rPr>
            </w:pPr>
            <w:r w:rsidRPr="002544DD">
              <w:t>Personnel Risk</w:t>
            </w:r>
          </w:p>
        </w:tc>
        <w:tc>
          <w:tcPr>
            <w:tcW w:w="2411" w:type="dxa"/>
            <w:vAlign w:val="center"/>
          </w:tcPr>
          <w:p w14:paraId="114CDA9B" w14:textId="77777777" w:rsidR="003C21BC" w:rsidRPr="002544DD" w:rsidRDefault="003C21BC" w:rsidP="00750974">
            <w:pPr>
              <w:spacing w:line="360" w:lineRule="auto"/>
              <w:jc w:val="center"/>
            </w:pPr>
            <w:r w:rsidRPr="002544DD">
              <w:t>40%</w:t>
            </w:r>
          </w:p>
        </w:tc>
        <w:tc>
          <w:tcPr>
            <w:tcW w:w="3543" w:type="dxa"/>
            <w:vAlign w:val="center"/>
          </w:tcPr>
          <w:p w14:paraId="4C6B2421" w14:textId="77777777" w:rsidR="003C21BC" w:rsidRPr="002544DD" w:rsidRDefault="003C21BC" w:rsidP="00750974">
            <w:pPr>
              <w:spacing w:line="360" w:lineRule="auto"/>
              <w:jc w:val="center"/>
            </w:pPr>
            <w:r w:rsidRPr="002544DD">
              <w:t>In the event of an accident involving key project members, it can have varying impacts on the project. In milder cases, it may affect the project timeline, while in more severe cases, it could potentially lead to project failure.</w:t>
            </w:r>
          </w:p>
        </w:tc>
        <w:tc>
          <w:tcPr>
            <w:tcW w:w="1057" w:type="dxa"/>
            <w:vAlign w:val="center"/>
          </w:tcPr>
          <w:p w14:paraId="4555EC31" w14:textId="77777777" w:rsidR="003C21BC" w:rsidRPr="002544DD" w:rsidRDefault="003C21BC" w:rsidP="00750974">
            <w:pPr>
              <w:spacing w:line="360" w:lineRule="auto"/>
              <w:jc w:val="center"/>
            </w:pPr>
            <w:r w:rsidRPr="002544DD">
              <w:t>A</w:t>
            </w:r>
          </w:p>
        </w:tc>
      </w:tr>
      <w:tr w:rsidR="003C21BC" w14:paraId="4495FD6F" w14:textId="77777777" w:rsidTr="00750974">
        <w:tc>
          <w:tcPr>
            <w:tcW w:w="1383" w:type="dxa"/>
            <w:vAlign w:val="center"/>
          </w:tcPr>
          <w:p w14:paraId="630F0E49" w14:textId="77777777" w:rsidR="003C21BC" w:rsidRPr="002544DD" w:rsidRDefault="003C21BC" w:rsidP="00750974">
            <w:pPr>
              <w:spacing w:line="360" w:lineRule="auto"/>
              <w:jc w:val="center"/>
              <w:rPr>
                <w:b/>
                <w:bCs/>
              </w:rPr>
            </w:pPr>
            <w:r w:rsidRPr="002544DD">
              <w:t>Requirements Risk</w:t>
            </w:r>
          </w:p>
        </w:tc>
        <w:tc>
          <w:tcPr>
            <w:tcW w:w="2411" w:type="dxa"/>
            <w:vAlign w:val="center"/>
          </w:tcPr>
          <w:p w14:paraId="53A3EC32" w14:textId="77777777" w:rsidR="003C21BC" w:rsidRPr="002544DD" w:rsidRDefault="003C21BC" w:rsidP="00750974">
            <w:pPr>
              <w:spacing w:line="360" w:lineRule="auto"/>
              <w:jc w:val="center"/>
            </w:pPr>
            <w:r w:rsidRPr="002544DD">
              <w:t>25%</w:t>
            </w:r>
          </w:p>
        </w:tc>
        <w:tc>
          <w:tcPr>
            <w:tcW w:w="3543" w:type="dxa"/>
            <w:vAlign w:val="center"/>
          </w:tcPr>
          <w:p w14:paraId="52A926A9" w14:textId="77777777" w:rsidR="003C21BC" w:rsidRPr="002544DD" w:rsidRDefault="003C21BC" w:rsidP="00750974">
            <w:pPr>
              <w:spacing w:line="360" w:lineRule="auto"/>
              <w:jc w:val="center"/>
            </w:pPr>
            <w:r w:rsidRPr="002544DD">
              <w:t>Frequent changes in requirements can lead to technical risks and schedule risks.</w:t>
            </w:r>
          </w:p>
        </w:tc>
        <w:tc>
          <w:tcPr>
            <w:tcW w:w="1057" w:type="dxa"/>
            <w:vAlign w:val="center"/>
          </w:tcPr>
          <w:p w14:paraId="3E3CFBD5" w14:textId="77777777" w:rsidR="003C21BC" w:rsidRPr="002544DD" w:rsidRDefault="003C21BC" w:rsidP="00750974">
            <w:pPr>
              <w:spacing w:line="360" w:lineRule="auto"/>
              <w:jc w:val="center"/>
            </w:pPr>
            <w:r w:rsidRPr="002544DD">
              <w:t>B</w:t>
            </w:r>
          </w:p>
        </w:tc>
      </w:tr>
      <w:tr w:rsidR="003C21BC" w14:paraId="7ABA5256" w14:textId="77777777" w:rsidTr="00750974">
        <w:tc>
          <w:tcPr>
            <w:tcW w:w="1383" w:type="dxa"/>
            <w:vAlign w:val="center"/>
          </w:tcPr>
          <w:p w14:paraId="49286A1C" w14:textId="77777777" w:rsidR="003C21BC" w:rsidRPr="002544DD" w:rsidRDefault="003C21BC" w:rsidP="00750974">
            <w:pPr>
              <w:spacing w:line="360" w:lineRule="auto"/>
              <w:jc w:val="center"/>
              <w:rPr>
                <w:b/>
                <w:bCs/>
              </w:rPr>
            </w:pPr>
            <w:r w:rsidRPr="002544DD">
              <w:lastRenderedPageBreak/>
              <w:t>Other Risks</w:t>
            </w:r>
          </w:p>
        </w:tc>
        <w:tc>
          <w:tcPr>
            <w:tcW w:w="2411" w:type="dxa"/>
            <w:vAlign w:val="center"/>
          </w:tcPr>
          <w:p w14:paraId="2E7B8565" w14:textId="77777777" w:rsidR="003C21BC" w:rsidRPr="002544DD" w:rsidRDefault="003C21BC" w:rsidP="00750974">
            <w:pPr>
              <w:spacing w:line="360" w:lineRule="auto"/>
              <w:jc w:val="center"/>
            </w:pPr>
            <w:r w:rsidRPr="002544DD">
              <w:t>5%</w:t>
            </w:r>
          </w:p>
        </w:tc>
        <w:tc>
          <w:tcPr>
            <w:tcW w:w="3543" w:type="dxa"/>
            <w:vAlign w:val="center"/>
          </w:tcPr>
          <w:p w14:paraId="53B949A2" w14:textId="77777777" w:rsidR="003C21BC" w:rsidRPr="002544DD" w:rsidRDefault="003C21BC" w:rsidP="00750974">
            <w:pPr>
              <w:spacing w:line="360" w:lineRule="auto"/>
              <w:jc w:val="center"/>
            </w:pPr>
            <w:r w:rsidRPr="002544DD">
              <w:t>If holidays are not included in the development plan, it may result in a pause in progress and a delay in submission deadlines.</w:t>
            </w:r>
          </w:p>
        </w:tc>
        <w:tc>
          <w:tcPr>
            <w:tcW w:w="1057" w:type="dxa"/>
            <w:vAlign w:val="center"/>
          </w:tcPr>
          <w:p w14:paraId="064AB2CF" w14:textId="77777777" w:rsidR="003C21BC" w:rsidRPr="002544DD" w:rsidRDefault="003C21BC" w:rsidP="00750974">
            <w:pPr>
              <w:spacing w:line="360" w:lineRule="auto"/>
              <w:jc w:val="center"/>
            </w:pPr>
            <w:r w:rsidRPr="002544DD">
              <w:t>D</w:t>
            </w:r>
          </w:p>
        </w:tc>
      </w:tr>
    </w:tbl>
    <w:p w14:paraId="58F5B4B6" w14:textId="77777777" w:rsidR="003C21BC" w:rsidRDefault="003C21BC" w:rsidP="003C21BC">
      <w:pPr>
        <w:spacing w:line="360" w:lineRule="auto"/>
      </w:pPr>
    </w:p>
    <w:p w14:paraId="6522938A" w14:textId="662BFB68" w:rsidR="003C21BC" w:rsidRPr="002544DD" w:rsidRDefault="003C21BC" w:rsidP="002F421E">
      <w:pPr>
        <w:pStyle w:val="5"/>
        <w:numPr>
          <w:ilvl w:val="0"/>
          <w:numId w:val="6"/>
        </w:numPr>
        <w:spacing w:line="360" w:lineRule="auto"/>
        <w:rPr>
          <w:rFonts w:ascii="黑体" w:eastAsia="黑体" w:hAnsi="黑体"/>
        </w:rPr>
      </w:pPr>
      <w:r w:rsidRPr="002544DD">
        <w:rPr>
          <w:rFonts w:ascii="黑体" w:eastAsia="黑体" w:hAnsi="黑体"/>
        </w:rPr>
        <w:t>Risk Mitigation Strategies</w:t>
      </w:r>
    </w:p>
    <w:p w14:paraId="7A8304C6" w14:textId="77777777" w:rsidR="003C21BC" w:rsidRPr="002544DD" w:rsidRDefault="003C21BC" w:rsidP="003C21BC">
      <w:pPr>
        <w:spacing w:line="360" w:lineRule="auto"/>
        <w:rPr>
          <w:rFonts w:ascii="Times New Roman" w:hAnsi="Times New Roman" w:cs="Times New Roman"/>
        </w:rPr>
      </w:pPr>
      <w:r w:rsidRPr="002544DD">
        <w:rPr>
          <w:rFonts w:ascii="Times New Roman" w:hAnsi="Times New Roman" w:cs="Times New Roman"/>
        </w:rPr>
        <w:t>Technical Risk: Conduct early technical validation and prototype development to ensure technical feasibility before proceeding with formal development.</w:t>
      </w:r>
    </w:p>
    <w:p w14:paraId="0F5B1280" w14:textId="77777777" w:rsidR="003C21BC" w:rsidRPr="002544DD" w:rsidRDefault="003C21BC" w:rsidP="003C21BC">
      <w:pPr>
        <w:spacing w:line="360" w:lineRule="auto"/>
        <w:rPr>
          <w:rFonts w:ascii="Times New Roman" w:hAnsi="Times New Roman" w:cs="Times New Roman"/>
        </w:rPr>
      </w:pPr>
      <w:r w:rsidRPr="002544DD">
        <w:rPr>
          <w:rFonts w:ascii="Times New Roman" w:hAnsi="Times New Roman" w:cs="Times New Roman"/>
        </w:rPr>
        <w:t>Personnel Risk:</w:t>
      </w:r>
    </w:p>
    <w:p w14:paraId="33E161A3" w14:textId="77777777" w:rsidR="003C21BC" w:rsidRPr="002544DD" w:rsidRDefault="003C21BC" w:rsidP="003C21BC">
      <w:pPr>
        <w:numPr>
          <w:ilvl w:val="0"/>
          <w:numId w:val="2"/>
        </w:numPr>
        <w:spacing w:line="360" w:lineRule="auto"/>
        <w:rPr>
          <w:rFonts w:ascii="Times New Roman" w:hAnsi="Times New Roman" w:cs="Times New Roman"/>
        </w:rPr>
      </w:pPr>
      <w:r w:rsidRPr="002544DD">
        <w:rPr>
          <w:rFonts w:ascii="Times New Roman" w:hAnsi="Times New Roman" w:cs="Times New Roman"/>
        </w:rPr>
        <w:t>Conduct regular knowledge sharing sessions within the team to discuss technical implementation details and learn from each other.</w:t>
      </w:r>
    </w:p>
    <w:p w14:paraId="686B7956" w14:textId="77777777" w:rsidR="003C21BC" w:rsidRPr="002544DD" w:rsidRDefault="003C21BC" w:rsidP="003C21BC">
      <w:pPr>
        <w:numPr>
          <w:ilvl w:val="0"/>
          <w:numId w:val="2"/>
        </w:numPr>
        <w:spacing w:line="360" w:lineRule="auto"/>
        <w:rPr>
          <w:rFonts w:ascii="Times New Roman" w:hAnsi="Times New Roman" w:cs="Times New Roman"/>
        </w:rPr>
      </w:pPr>
      <w:r w:rsidRPr="002544DD">
        <w:rPr>
          <w:rFonts w:ascii="Times New Roman" w:hAnsi="Times New Roman" w:cs="Times New Roman"/>
        </w:rPr>
        <w:t>Assign at least two individuals to collaborate on the development of critical modules to mitigate the risk of key personnel unavailability.</w:t>
      </w:r>
    </w:p>
    <w:p w14:paraId="7E1AD13F" w14:textId="77777777" w:rsidR="003C21BC" w:rsidRPr="002544DD" w:rsidRDefault="003C21BC" w:rsidP="003C21BC">
      <w:pPr>
        <w:spacing w:line="360" w:lineRule="auto"/>
        <w:rPr>
          <w:rFonts w:ascii="Times New Roman" w:hAnsi="Times New Roman" w:cs="Times New Roman"/>
        </w:rPr>
      </w:pPr>
      <w:r w:rsidRPr="002544DD">
        <w:rPr>
          <w:rFonts w:ascii="Times New Roman" w:hAnsi="Times New Roman" w:cs="Times New Roman"/>
        </w:rPr>
        <w:t>Requirement Risk:</w:t>
      </w:r>
    </w:p>
    <w:p w14:paraId="65DA6B80" w14:textId="77777777" w:rsidR="003C21BC" w:rsidRPr="002544DD" w:rsidRDefault="003C21BC" w:rsidP="003C21BC">
      <w:pPr>
        <w:numPr>
          <w:ilvl w:val="0"/>
          <w:numId w:val="3"/>
        </w:numPr>
        <w:spacing w:line="360" w:lineRule="auto"/>
        <w:rPr>
          <w:rFonts w:ascii="Times New Roman" w:hAnsi="Times New Roman" w:cs="Times New Roman"/>
        </w:rPr>
      </w:pPr>
      <w:r w:rsidRPr="002544DD">
        <w:rPr>
          <w:rFonts w:ascii="Times New Roman" w:hAnsi="Times New Roman" w:cs="Times New Roman"/>
        </w:rPr>
        <w:t>Conduct feasibility assessment collectively as a team before accepting requirement changes to ensure their necessity.</w:t>
      </w:r>
    </w:p>
    <w:p w14:paraId="075AF308" w14:textId="77777777" w:rsidR="003C21BC" w:rsidRPr="002544DD" w:rsidRDefault="003C21BC" w:rsidP="003C21BC">
      <w:pPr>
        <w:numPr>
          <w:ilvl w:val="0"/>
          <w:numId w:val="3"/>
        </w:numPr>
        <w:spacing w:line="360" w:lineRule="auto"/>
        <w:rPr>
          <w:rFonts w:ascii="Times New Roman" w:hAnsi="Times New Roman" w:cs="Times New Roman"/>
        </w:rPr>
      </w:pPr>
      <w:r w:rsidRPr="002544DD">
        <w:rPr>
          <w:rFonts w:ascii="Times New Roman" w:hAnsi="Times New Roman" w:cs="Times New Roman"/>
        </w:rPr>
        <w:t>Project manager should schedule and allocate resources appropriately for handling requirement changes, establish a new timeline for the changes, and conduct periodic evaluations.</w:t>
      </w:r>
    </w:p>
    <w:p w14:paraId="472A321A" w14:textId="77777777" w:rsidR="003C21BC" w:rsidRPr="002544DD" w:rsidRDefault="003C21BC" w:rsidP="003C21BC">
      <w:pPr>
        <w:spacing w:line="360" w:lineRule="auto"/>
        <w:rPr>
          <w:rFonts w:ascii="Times New Roman" w:hAnsi="Times New Roman" w:cs="Times New Roman"/>
        </w:rPr>
      </w:pPr>
      <w:r w:rsidRPr="002544DD">
        <w:rPr>
          <w:rFonts w:ascii="Times New Roman" w:hAnsi="Times New Roman" w:cs="Times New Roman"/>
        </w:rPr>
        <w:t>Other Risks:</w:t>
      </w:r>
    </w:p>
    <w:p w14:paraId="38D0F220" w14:textId="77777777" w:rsidR="003C21BC" w:rsidRPr="002544DD" w:rsidRDefault="003C21BC" w:rsidP="003C21BC">
      <w:pPr>
        <w:pStyle w:val="a8"/>
        <w:numPr>
          <w:ilvl w:val="0"/>
          <w:numId w:val="5"/>
        </w:numPr>
        <w:spacing w:line="360" w:lineRule="auto"/>
        <w:ind w:firstLineChars="0"/>
        <w:rPr>
          <w:rFonts w:ascii="Times New Roman" w:hAnsi="Times New Roman" w:cs="Times New Roman"/>
        </w:rPr>
      </w:pPr>
      <w:r w:rsidRPr="002544DD">
        <w:rPr>
          <w:rFonts w:ascii="Times New Roman" w:hAnsi="Times New Roman" w:cs="Times New Roman"/>
        </w:rPr>
        <w:t>Allocate sufficient development time during the early stages of the project plan;</w:t>
      </w:r>
    </w:p>
    <w:p w14:paraId="42E597EE" w14:textId="77777777" w:rsidR="003C21BC" w:rsidRPr="002544DD" w:rsidRDefault="003C21BC" w:rsidP="003C21BC">
      <w:pPr>
        <w:pStyle w:val="a8"/>
        <w:numPr>
          <w:ilvl w:val="0"/>
          <w:numId w:val="5"/>
        </w:numPr>
        <w:spacing w:line="360" w:lineRule="auto"/>
        <w:ind w:firstLineChars="0"/>
        <w:rPr>
          <w:rFonts w:ascii="Times New Roman" w:hAnsi="Times New Roman" w:cs="Times New Roman"/>
        </w:rPr>
      </w:pPr>
      <w:r w:rsidRPr="002544DD">
        <w:rPr>
          <w:rFonts w:ascii="Times New Roman" w:hAnsi="Times New Roman" w:cs="Times New Roman"/>
        </w:rPr>
        <w:t>Reserve buffer time to accommodate unforeseen circumstances and ensure a certain level of flexibility.</w:t>
      </w:r>
    </w:p>
    <w:p w14:paraId="7D026B49" w14:textId="2598AB1B" w:rsidR="003C21BC" w:rsidRPr="00FB5C77" w:rsidRDefault="003C21BC" w:rsidP="003C21BC">
      <w:pPr>
        <w:pStyle w:val="5"/>
        <w:spacing w:line="360" w:lineRule="auto"/>
        <w:rPr>
          <w:rFonts w:ascii="黑体" w:eastAsia="黑体" w:hAnsi="黑体"/>
        </w:rPr>
      </w:pPr>
      <w:r w:rsidRPr="00FB5C77">
        <w:rPr>
          <w:rFonts w:ascii="黑体" w:eastAsia="黑体" w:hAnsi="黑体" w:hint="eastAsia"/>
        </w:rPr>
        <w:t>4</w:t>
      </w:r>
      <w:r w:rsidR="002F421E">
        <w:rPr>
          <w:rFonts w:ascii="黑体" w:eastAsia="黑体" w:hAnsi="黑体" w:hint="eastAsia"/>
        </w:rPr>
        <w:t xml:space="preserve"> </w:t>
      </w:r>
      <w:r w:rsidRPr="00FB5C77">
        <w:rPr>
          <w:rFonts w:ascii="黑体" w:eastAsia="黑体" w:hAnsi="黑体"/>
        </w:rPr>
        <w:t>Risk Review</w:t>
      </w:r>
    </w:p>
    <w:p w14:paraId="60DAC9F3" w14:textId="77777777" w:rsidR="003C21BC" w:rsidRPr="00FB5C77" w:rsidRDefault="003C21BC" w:rsidP="003C21BC">
      <w:pPr>
        <w:numPr>
          <w:ilvl w:val="0"/>
          <w:numId w:val="4"/>
        </w:numPr>
        <w:spacing w:line="360" w:lineRule="auto"/>
        <w:rPr>
          <w:rFonts w:ascii="Times New Roman" w:hAnsi="Times New Roman" w:cs="Times New Roman"/>
        </w:rPr>
      </w:pPr>
      <w:r w:rsidRPr="00FB5C77">
        <w:rPr>
          <w:rFonts w:ascii="Times New Roman" w:hAnsi="Times New Roman" w:cs="Times New Roman"/>
        </w:rPr>
        <w:t>Conduct risk review every three weeks to assess the effectiveness of risk mitigation strategies.</w:t>
      </w:r>
      <w:r w:rsidRPr="00FB5C77">
        <w:rPr>
          <w:rFonts w:ascii="Times New Roman" w:hAnsi="Times New Roman" w:cs="Times New Roman"/>
        </w:rPr>
        <w:t>，</w:t>
      </w:r>
    </w:p>
    <w:p w14:paraId="448267FD" w14:textId="77777777" w:rsidR="003C21BC" w:rsidRPr="00FB5C77" w:rsidRDefault="003C21BC" w:rsidP="003C21BC">
      <w:pPr>
        <w:numPr>
          <w:ilvl w:val="0"/>
          <w:numId w:val="4"/>
        </w:numPr>
        <w:spacing w:line="360" w:lineRule="auto"/>
        <w:rPr>
          <w:rFonts w:ascii="Times New Roman" w:hAnsi="Times New Roman" w:cs="Times New Roman"/>
        </w:rPr>
      </w:pPr>
      <w:r w:rsidRPr="00FB5C77">
        <w:rPr>
          <w:rFonts w:ascii="Times New Roman" w:hAnsi="Times New Roman" w:cs="Times New Roman"/>
        </w:rPr>
        <w:t>Summarize lessons learned and incorporate them into the improvement of the project management process.</w:t>
      </w:r>
    </w:p>
    <w:p w14:paraId="02863A77" w14:textId="77777777" w:rsidR="0000238A" w:rsidRPr="003C21BC" w:rsidRDefault="0000238A"/>
    <w:sectPr w:rsidR="0000238A" w:rsidRPr="003C21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F4F56" w14:textId="77777777" w:rsidR="009D4694" w:rsidRDefault="009D4694" w:rsidP="003C21BC">
      <w:r>
        <w:separator/>
      </w:r>
    </w:p>
  </w:endnote>
  <w:endnote w:type="continuationSeparator" w:id="0">
    <w:p w14:paraId="1EE94E67" w14:textId="77777777" w:rsidR="009D4694" w:rsidRDefault="009D4694" w:rsidP="003C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1587A" w14:textId="77777777" w:rsidR="009D4694" w:rsidRDefault="009D4694" w:rsidP="003C21BC">
      <w:r>
        <w:separator/>
      </w:r>
    </w:p>
  </w:footnote>
  <w:footnote w:type="continuationSeparator" w:id="0">
    <w:p w14:paraId="1BD5F8A9" w14:textId="77777777" w:rsidR="009D4694" w:rsidRDefault="009D4694" w:rsidP="003C2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A56E98"/>
    <w:multiLevelType w:val="singleLevel"/>
    <w:tmpl w:val="88A56E98"/>
    <w:lvl w:ilvl="0">
      <w:start w:val="1"/>
      <w:numFmt w:val="decimal"/>
      <w:lvlText w:val="%1."/>
      <w:lvlJc w:val="left"/>
      <w:pPr>
        <w:tabs>
          <w:tab w:val="left" w:pos="312"/>
        </w:tabs>
      </w:pPr>
    </w:lvl>
  </w:abstractNum>
  <w:abstractNum w:abstractNumId="1" w15:restartNumberingAfterBreak="0">
    <w:nsid w:val="0E383256"/>
    <w:multiLevelType w:val="hybridMultilevel"/>
    <w:tmpl w:val="DBFABF00"/>
    <w:lvl w:ilvl="0" w:tplc="81EEF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BACCA9"/>
    <w:multiLevelType w:val="singleLevel"/>
    <w:tmpl w:val="2FBACCA9"/>
    <w:lvl w:ilvl="0">
      <w:start w:val="1"/>
      <w:numFmt w:val="decimal"/>
      <w:lvlText w:val="%1."/>
      <w:lvlJc w:val="left"/>
      <w:pPr>
        <w:tabs>
          <w:tab w:val="left" w:pos="312"/>
        </w:tabs>
      </w:pPr>
    </w:lvl>
  </w:abstractNum>
  <w:abstractNum w:abstractNumId="3" w15:restartNumberingAfterBreak="0">
    <w:nsid w:val="36807F6B"/>
    <w:multiLevelType w:val="hybridMultilevel"/>
    <w:tmpl w:val="F0FED3B8"/>
    <w:lvl w:ilvl="0" w:tplc="91DE85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9C50D78"/>
    <w:multiLevelType w:val="singleLevel"/>
    <w:tmpl w:val="79C50D78"/>
    <w:lvl w:ilvl="0">
      <w:start w:val="1"/>
      <w:numFmt w:val="decimal"/>
      <w:lvlText w:val="%1."/>
      <w:lvlJc w:val="left"/>
      <w:pPr>
        <w:tabs>
          <w:tab w:val="left" w:pos="312"/>
        </w:tabs>
      </w:pPr>
    </w:lvl>
  </w:abstractNum>
  <w:abstractNum w:abstractNumId="5" w15:restartNumberingAfterBreak="0">
    <w:nsid w:val="7C1969DF"/>
    <w:multiLevelType w:val="singleLevel"/>
    <w:tmpl w:val="7C1969DF"/>
    <w:lvl w:ilvl="0">
      <w:start w:val="1"/>
      <w:numFmt w:val="decimal"/>
      <w:lvlText w:val="%1."/>
      <w:lvlJc w:val="left"/>
      <w:pPr>
        <w:tabs>
          <w:tab w:val="left" w:pos="312"/>
        </w:tabs>
      </w:pPr>
    </w:lvl>
  </w:abstractNum>
  <w:num w:numId="1" w16cid:durableId="1507552462">
    <w:abstractNumId w:val="4"/>
  </w:num>
  <w:num w:numId="2" w16cid:durableId="1885480887">
    <w:abstractNumId w:val="2"/>
  </w:num>
  <w:num w:numId="3" w16cid:durableId="1285698034">
    <w:abstractNumId w:val="0"/>
  </w:num>
  <w:num w:numId="4" w16cid:durableId="1169176551">
    <w:abstractNumId w:val="5"/>
  </w:num>
  <w:num w:numId="5" w16cid:durableId="1649171539">
    <w:abstractNumId w:val="3"/>
  </w:num>
  <w:num w:numId="6" w16cid:durableId="713887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5F"/>
    <w:rsid w:val="0000238A"/>
    <w:rsid w:val="002F421E"/>
    <w:rsid w:val="003C21BC"/>
    <w:rsid w:val="0049791D"/>
    <w:rsid w:val="007C555F"/>
    <w:rsid w:val="009B7FA8"/>
    <w:rsid w:val="009D4694"/>
    <w:rsid w:val="00AD0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51FCE"/>
  <w15:chartTrackingRefBased/>
  <w15:docId w15:val="{C1807202-896C-429D-A1D6-031803B8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21BC"/>
    <w:pPr>
      <w:widowControl w:val="0"/>
      <w:jc w:val="both"/>
    </w:pPr>
    <w:rPr>
      <w:szCs w:val="24"/>
    </w:rPr>
  </w:style>
  <w:style w:type="paragraph" w:styleId="2">
    <w:name w:val="heading 2"/>
    <w:basedOn w:val="a"/>
    <w:next w:val="a"/>
    <w:link w:val="20"/>
    <w:unhideWhenUsed/>
    <w:qFormat/>
    <w:rsid w:val="003C21BC"/>
    <w:pPr>
      <w:keepNext/>
      <w:keepLines/>
      <w:spacing w:before="260" w:after="260" w:line="413" w:lineRule="auto"/>
      <w:outlineLvl w:val="1"/>
    </w:pPr>
    <w:rPr>
      <w:rFonts w:ascii="Arial" w:eastAsia="黑体" w:hAnsi="Arial"/>
      <w:b/>
      <w:sz w:val="32"/>
    </w:rPr>
  </w:style>
  <w:style w:type="paragraph" w:styleId="5">
    <w:name w:val="heading 5"/>
    <w:basedOn w:val="a"/>
    <w:next w:val="a"/>
    <w:link w:val="50"/>
    <w:unhideWhenUsed/>
    <w:qFormat/>
    <w:rsid w:val="003C21BC"/>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21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21BC"/>
    <w:rPr>
      <w:sz w:val="18"/>
      <w:szCs w:val="18"/>
    </w:rPr>
  </w:style>
  <w:style w:type="paragraph" w:styleId="a5">
    <w:name w:val="footer"/>
    <w:basedOn w:val="a"/>
    <w:link w:val="a6"/>
    <w:uiPriority w:val="99"/>
    <w:unhideWhenUsed/>
    <w:rsid w:val="003C21BC"/>
    <w:pPr>
      <w:tabs>
        <w:tab w:val="center" w:pos="4153"/>
        <w:tab w:val="right" w:pos="8306"/>
      </w:tabs>
      <w:snapToGrid w:val="0"/>
      <w:jc w:val="left"/>
    </w:pPr>
    <w:rPr>
      <w:sz w:val="18"/>
      <w:szCs w:val="18"/>
    </w:rPr>
  </w:style>
  <w:style w:type="character" w:customStyle="1" w:styleId="a6">
    <w:name w:val="页脚 字符"/>
    <w:basedOn w:val="a0"/>
    <w:link w:val="a5"/>
    <w:uiPriority w:val="99"/>
    <w:rsid w:val="003C21BC"/>
    <w:rPr>
      <w:sz w:val="18"/>
      <w:szCs w:val="18"/>
    </w:rPr>
  </w:style>
  <w:style w:type="character" w:customStyle="1" w:styleId="20">
    <w:name w:val="标题 2 字符"/>
    <w:basedOn w:val="a0"/>
    <w:link w:val="2"/>
    <w:rsid w:val="003C21BC"/>
    <w:rPr>
      <w:rFonts w:ascii="Arial" w:eastAsia="黑体" w:hAnsi="Arial"/>
      <w:b/>
      <w:sz w:val="32"/>
      <w:szCs w:val="24"/>
    </w:rPr>
  </w:style>
  <w:style w:type="character" w:customStyle="1" w:styleId="50">
    <w:name w:val="标题 5 字符"/>
    <w:basedOn w:val="a0"/>
    <w:link w:val="5"/>
    <w:rsid w:val="003C21BC"/>
    <w:rPr>
      <w:b/>
      <w:sz w:val="28"/>
      <w:szCs w:val="24"/>
    </w:rPr>
  </w:style>
  <w:style w:type="table" w:styleId="a7">
    <w:name w:val="Table Grid"/>
    <w:basedOn w:val="a1"/>
    <w:uiPriority w:val="39"/>
    <w:rsid w:val="003C21B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C21BC"/>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子康</dc:creator>
  <cp:keywords/>
  <dc:description/>
  <cp:lastModifiedBy>龚 子康</cp:lastModifiedBy>
  <cp:revision>3</cp:revision>
  <dcterms:created xsi:type="dcterms:W3CDTF">2023-06-04T02:40:00Z</dcterms:created>
  <dcterms:modified xsi:type="dcterms:W3CDTF">2023-06-04T03:00:00Z</dcterms:modified>
</cp:coreProperties>
</file>