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Arial" w:hAnsi="Arial"/>
          <w:b/>
          <w:color w:val="6366F1"/>
          <w:sz w:val="44"/>
        </w:rPr>
        <w:t>HƯỚNG DẪN SỬ DỤNG ỨNG DỤNG LEARNFLASH</w:t>
      </w:r>
    </w:p>
    <w:p>
      <w:pPr>
        <w:spacing w:after="480"/>
        <w:jc w:val="center"/>
      </w:pPr>
      <w:r>
        <w:rPr>
          <w:i/>
          <w:color w:val="1E293B"/>
          <w:sz w:val="24"/>
        </w:rPr>
        <w:t>Hệ Thống Học Tập Flashcard Tối Ưu Hóa Bằng Thuật Toán SM-2</w:t>
        <w:br/>
        <w:t>(Tài liệu kèm theo đồ án)</w:t>
      </w:r>
    </w:p>
    <w:p>
      <w:pPr>
        <w:spacing w:after="480"/>
        <w:jc w:val="center"/>
      </w:pPr>
      <w:r>
        <w:rPr>
          <w:color w:val="6366F1"/>
        </w:rPr>
        <w:t>❖  ❖  ❖</w:t>
      </w:r>
    </w:p>
    <w:p>
      <w:pPr>
        <w:pStyle w:val="Heading1"/>
        <w:spacing w:before="360" w:after="120"/>
      </w:pPr>
      <w:r>
        <w:rPr>
          <w:b/>
          <w:color w:val="1E293B"/>
          <w:sz w:val="28"/>
        </w:rPr>
        <w:t>1. GIỚI THIỆU CHUNG</w:t>
      </w:r>
    </w:p>
    <w:p>
      <w:pPr>
        <w:spacing w:line="276" w:lineRule="auto" w:after="240"/>
      </w:pPr>
      <w:r>
        <w:t>LearnFlash là ứng dụng thẻ học (Flashcard) thông minh được thiết kế để hỗ trợ học sinh, sinh viên và người đi làm ghi nhớ thông tin một cách tối ưu. Ứng dụng tích hợp thuật toán Spaced Repetition (Lặp lại ngắt quãng) SM-2 nổi tiếng, tự động tính toán thời điểm ôn tập hoàn hảo cho từng thẻ dựa trên mức độ nhớ của bạn. Giao diện được xây dựng bằng Jetpack Compose hiện đại mang lại trải nghiệm mượt mà cùng chế độ sáng tối tự chọn linh hoạt.</w:t>
      </w:r>
    </w:p>
    <w:p>
      <w:pPr>
        <w:pStyle w:val="Heading1"/>
        <w:spacing w:before="360" w:after="120"/>
      </w:pPr>
      <w:r>
        <w:rPr>
          <w:b/>
          <w:color w:val="1E293B"/>
          <w:sz w:val="28"/>
        </w:rPr>
        <w:t>2. HƯỚNG DẪN CÀI ĐẶT &amp; CHẠY ỨNG DỤNG</w:t>
      </w:r>
    </w:p>
    <w:p>
      <w:pPr>
        <w:spacing w:line="276" w:lineRule="auto" w:after="120"/>
      </w:pPr>
      <w:r>
        <w:t>Yêu cầu hệ thống:</w:t>
      </w:r>
    </w:p>
    <w:p>
      <w:pPr>
        <w:pStyle w:val="ListBullet"/>
      </w:pPr>
      <w:r>
        <w:t>Thiết bị Android chạy hệ điều hành Android 7.0 (API 24) trở lên.</w:t>
      </w:r>
    </w:p>
    <w:p>
      <w:pPr>
        <w:pStyle w:val="ListBullet"/>
      </w:pPr>
      <w:r>
        <w:t>Android Studio bản Koala hoặc mới hơn để biên dịch mã nguồn.</w:t>
      </w:r>
    </w:p>
    <w:p>
      <w:pPr>
        <w:spacing w:before="120"/>
      </w:pPr>
      <w:r>
        <w:t>Các bước thực hiện:</w:t>
      </w:r>
    </w:p>
    <w:p>
      <w:pPr>
        <w:pStyle w:val="ListNumber"/>
      </w:pPr>
      <w:r>
        <w:t>Mở thư mục dự án trong Android Studio.</w:t>
      </w:r>
    </w:p>
    <w:p>
      <w:pPr>
        <w:pStyle w:val="ListNumber"/>
      </w:pPr>
      <w:r>
        <w:t>Nhấn nút 'Sync Project with Gradle Files' và đợi quá trình đồng bộ hoàn tất.</w:t>
      </w:r>
    </w:p>
    <w:p>
      <w:pPr>
        <w:pStyle w:val="ListNumber"/>
      </w:pPr>
      <w:r>
        <w:t>Kết nối thiết bị thật (bật USB Debugging) hoặc khởi động Máy ảo Android (Emulator).</w:t>
      </w:r>
    </w:p>
    <w:p>
      <w:pPr>
        <w:pStyle w:val="ListNumber"/>
      </w:pPr>
      <w:r>
        <w:t>Nhấn nút Run (biểu tượng tam giác xanh lá cây) trên thanh công cụ để cài đặt app.</w:t>
      </w:r>
    </w:p>
    <w:p>
      <w:pPr>
        <w:pStyle w:val="Heading1"/>
        <w:spacing w:before="360" w:after="120"/>
      </w:pPr>
      <w:r>
        <w:rPr>
          <w:b/>
          <w:color w:val="1E293B"/>
          <w:sz w:val="28"/>
        </w:rPr>
        <w:t>3. HƯỚNG DẪN CHI TIẾT CÁC TÍNH NĂNG</w:t>
      </w:r>
    </w:p>
    <w:p>
      <w:pPr>
        <w:pStyle w:val="Heading2"/>
        <w:spacing w:before="240" w:after="80"/>
      </w:pPr>
      <w:r>
        <w:rPr>
          <w:b/>
          <w:color w:val="6366F1"/>
          <w:sz w:val="24"/>
        </w:rPr>
        <w:t>3.1. Đăng ký &amp; Đăng nhập tài khoản</w:t>
      </w:r>
    </w:p>
    <w:p>
      <w:pPr>
        <w:spacing w:line="276" w:lineRule="auto"/>
      </w:pPr>
      <w:r>
        <w:t>Màn hình đầu tiên là màn hình đăng nhập. Nếu chưa có tài khoản, nhấn nút 'Đăng ký' để chuyển sang màn hình đăng ký.</w:t>
        <w:br/>
        <w:t>• Nhập tên tài khoản, mật khẩu (tối thiểu 4 ký tự) và xác nhận mật khẩu.</w:t>
        <w:br/>
        <w:t>• Sau khi đăng ký thành công, hệ thống sẽ tự động đăng nhập và tạo sẵn một bộ thẻ mẫu 'Kotlin Basics' làm tài liệu học thử nghiệm.</w:t>
      </w:r>
    </w:p>
    <w:p>
      <w:pPr>
        <w:pStyle w:val="Heading2"/>
        <w:spacing w:before="240" w:after="80"/>
      </w:pPr>
      <w:r>
        <w:rPr>
          <w:b/>
          <w:color w:val="6366F1"/>
          <w:sz w:val="24"/>
        </w:rPr>
        <w:t>3.2. Giao diện trang chủ (HomeScreen)</w:t>
      </w:r>
    </w:p>
    <w:p>
      <w:pPr>
        <w:spacing w:line="276" w:lineRule="auto"/>
      </w:pPr>
      <w:r>
        <w:t>Trang chủ hiển thị lời chào người dùng cá nhân hóa, tổng số lượng thẻ cần ôn trong ngày và 3 thẻ thống kê nhanh (Bộ thẻ, Tổng thẻ, Thẻ cần ôn).</w:t>
        <w:br/>
        <w:t>• Nhấn nút 'Ôn tập' để ôn tập ngay lập tức toàn bộ thẻ đến hạn của tất cả các bộ.</w:t>
        <w:br/>
        <w:t>• Nhấn nút 'Thống kê' để vào trang báo cáo chi tiết.</w:t>
        <w:br/>
        <w:t>• Thanh tìm kiếm giúp lọc nhanh các bộ thẻ dựa trên tên, lĩnh vực hoặc ngôn ngữ.</w:t>
      </w:r>
    </w:p>
    <w:p>
      <w:pPr>
        <w:pStyle w:val="Heading2"/>
        <w:spacing w:before="240" w:after="80"/>
      </w:pPr>
      <w:r>
        <w:rPr>
          <w:b/>
          <w:color w:val="6366F1"/>
          <w:sz w:val="24"/>
        </w:rPr>
        <w:t>3.3. Quản lý Bộ thẻ (Deck CRUD)</w:t>
      </w:r>
    </w:p>
    <w:p>
      <w:pPr>
        <w:spacing w:line="276" w:lineRule="auto"/>
      </w:pPr>
      <w:r>
        <w:t>• Thêm bộ thẻ mới: Nhấn nút dấu cộng (+) màu xanh ở cạnh tiêu đề 'Bộ thẻ của bạn'. Một hộp thoại hiện ra yêu cầu nhập tên bộ thẻ (bắt buộc), mô tả, lĩnh vực và ngôn ngữ.</w:t>
        <w:br/>
        <w:t>• Sửa bộ thẻ: Nhấn biểu tượng cây bút chì ở góc phải của từng bộ thẻ.</w:t>
        <w:br/>
        <w:t>• Xóa bộ thẻ: Nhấn biểu tượng thùng rác màu đỏ. Hệ thống sẽ hỏi xác nhận trước khi xóa toàn bộ thẻ học thuộc bộ đó.</w:t>
      </w:r>
    </w:p>
    <w:p>
      <w:pPr>
        <w:pStyle w:val="Heading2"/>
        <w:spacing w:before="240" w:after="80"/>
      </w:pPr>
      <w:r>
        <w:rPr>
          <w:b/>
          <w:color w:val="6366F1"/>
          <w:sz w:val="24"/>
        </w:rPr>
        <w:t>3.4. Quản lý Thẻ học (Card CRUD)</w:t>
      </w:r>
    </w:p>
    <w:p>
      <w:pPr>
        <w:spacing w:line="276" w:lineRule="auto"/>
      </w:pPr>
      <w:r>
        <w:t>Khi nhấn vào một bộ thẻ bất kỳ trên HomeScreen, bạn sẽ được đưa đến màn hình Chi tiết bộ thẻ.</w:t>
        <w:br/>
        <w:t>• Thêm thẻ mới: Nhấn nút dấu cộng (+). Điền câu hỏi (Mặt trước), câu trả lời (Mặt sau) và các ghi chú mở rộng (ví dụ, mẹo nhớ).</w:t>
        <w:br/>
        <w:t>• Sửa/Xóa thẻ: Nhấn nút sửa (bút chì) hoặc xóa (thùng rác) tương ứng trên từng item thẻ trong danh sách.</w:t>
      </w:r>
    </w:p>
    <w:p>
      <w:pPr>
        <w:pStyle w:val="Heading2"/>
        <w:spacing w:before="240" w:after="80"/>
      </w:pPr>
      <w:r>
        <w:rPr>
          <w:b/>
          <w:color w:val="6366F1"/>
          <w:sz w:val="24"/>
        </w:rPr>
        <w:t>3.5. Học tập &amp; Ôn tập (Lật thẻ 3D và thuật toán SM-2)</w:t>
      </w:r>
    </w:p>
    <w:p>
      <w:pPr>
        <w:spacing w:line="276" w:lineRule="auto"/>
      </w:pPr>
      <w:r>
        <w:t>Màn hình ôn tập hiển thị nội dung câu hỏi ở mặt trước thẻ.</w:t>
        <w:br/>
        <w:t>1. Lật thẻ: Bấm vào thẻ để lật ngược ra mặt sau xem câu trả lời và phần ghi chú bổ sung. Thẻ sẽ lật bằng hiệu ứng xoay 3D mượt mà.</w:t>
        <w:br/>
        <w:t>2. Đánh giá kết quả: Dựa trên khả năng ghi nhớ của bản thân, chọn một trong các mức đánh giá sau:</w:t>
        <w:br/>
        <w:t xml:space="preserve">   - Quên thẻ (1 - 2 điểm): Hệ thống xếp lịch để bạn phải học lại thẻ này vào ngày mai.</w:t>
        <w:br/>
        <w:t xml:space="preserve">   - Nhớ (3 - 5 điểm): Hệ thống tự động kéo dài chu kỳ ôn tập tiếp theo dựa theo hệ số dễ (EF) của thẻ học.</w:t>
        <w:br/>
        <w:t>3. Sau khi đánh giá, thẻ tiếp theo sẽ tự động xuất hiện. Khi hoàn thành toàn bộ danh sách, app hiển thị màn hình chúc mừng.</w:t>
      </w:r>
    </w:p>
    <w:p>
      <w:pPr>
        <w:pStyle w:val="Heading2"/>
        <w:spacing w:before="240" w:after="80"/>
      </w:pPr>
      <w:r>
        <w:rPr>
          <w:b/>
          <w:color w:val="6366F1"/>
          <w:sz w:val="24"/>
        </w:rPr>
        <w:t>3.6. Chuyển đổi giao diện Sáng/Tối (Dark/Light mode)</w:t>
      </w:r>
    </w:p>
    <w:p>
      <w:pPr>
        <w:spacing w:line="276" w:lineRule="auto"/>
      </w:pPr>
      <w:r>
        <w:t>Nhìn lên góc phải phía trên màn hình chính (HomeScreen), cạnh nút Đăng xuất:</w:t>
        <w:br/>
        <w:t>• Bấm nút công tắc trượt hình mặt trời (☀️) / mặt trăng (🌙) để đổi chủ đề thủ công theo sở thích.</w:t>
        <w:br/>
        <w:t>• Khi chưa bấm nút này, ứng dụng sẽ chạy tự động theo giao diện sáng/tối của hệ điều hành trên máy điện thoại.</w:t>
      </w:r>
    </w:p>
    <w:p>
      <w:pPr>
        <w:pStyle w:val="Heading1"/>
        <w:spacing w:before="360" w:after="120"/>
      </w:pPr>
      <w:r>
        <w:rPr>
          <w:b/>
          <w:color w:val="1E293B"/>
          <w:sz w:val="28"/>
        </w:rPr>
        <w:t>4. PHỤ LỤC: GIẢI NGHĨA ĐIỂM SỐ ĐÁNH GIÁ (SM-2)</w:t>
      </w:r>
    </w:p>
    <w:tbl>
      <w:tblPr>
        <w:tblStyle w:val="TableGrid"/>
        <w:tblW w:type="auto" w:w="0"/>
        <w:tblLook w:firstColumn="1" w:firstRow="1" w:lastColumn="0" w:lastRow="0" w:noHBand="0" w:noVBand="1" w:val="04A0"/>
      </w:tblPr>
      <w:tblGrid>
        <w:gridCol w:w="3120"/>
        <w:gridCol w:w="3120"/>
        <w:gridCol w:w="3120"/>
      </w:tblGrid>
      <w:tr>
        <w:tc>
          <w:tcPr>
            <w:tcW w:type="dxa" w:w="3120"/>
            <w:shd w:fill="E2E8F0"/>
          </w:tcPr>
          <w:p>
            <w:pPr>
              <w:spacing w:before="80" w:after="80"/>
            </w:pPr>
            <w:r>
              <w:rPr>
                <w:b/>
              </w:rPr>
              <w:t>Điểm số</w:t>
            </w:r>
          </w:p>
        </w:tc>
        <w:tc>
          <w:tcPr>
            <w:tcW w:type="dxa" w:w="3120"/>
            <w:shd w:fill="E2E8F0"/>
          </w:tcPr>
          <w:p>
            <w:pPr>
              <w:spacing w:before="80" w:after="80"/>
            </w:pPr>
            <w:r>
              <w:rPr>
                <w:b/>
              </w:rPr>
              <w:t>Đánh giá ghi nhớ</w:t>
            </w:r>
          </w:p>
        </w:tc>
        <w:tc>
          <w:tcPr>
            <w:tcW w:type="dxa" w:w="3120"/>
            <w:shd w:fill="E2E8F0"/>
          </w:tcPr>
          <w:p>
            <w:pPr>
              <w:spacing w:before="80" w:after="80"/>
            </w:pPr>
            <w:r>
              <w:rPr>
                <w:b/>
              </w:rPr>
              <w:t>Cách tính toán chu kỳ tiếp theo</w:t>
            </w:r>
          </w:p>
        </w:tc>
      </w:tr>
      <w:tr>
        <w:tc>
          <w:tcPr>
            <w:tcW w:type="dxa" w:w="3120"/>
          </w:tcPr>
          <w:p>
            <w:pPr>
              <w:spacing w:before="80" w:after="80"/>
            </w:pPr>
            <w:r>
              <w:t>1 - 2 điểm</w:t>
            </w:r>
          </w:p>
        </w:tc>
        <w:tc>
          <w:tcPr>
            <w:tcW w:type="dxa" w:w="3120"/>
          </w:tcPr>
          <w:p>
            <w:pPr>
              <w:spacing w:before="80" w:after="80"/>
            </w:pPr>
            <w:r>
              <w:t>Hoàn toàn quên / Trả lời sai trầm trọng</w:t>
            </w:r>
          </w:p>
        </w:tc>
        <w:tc>
          <w:tcPr>
            <w:tcW w:type="dxa" w:w="3120"/>
          </w:tcPr>
          <w:p>
            <w:pPr>
              <w:spacing w:before="80" w:after="80"/>
            </w:pPr>
            <w:r>
              <w:t>Chu kỳ ôn tập reset về 1 ngày (phải học lại vào ngày mai)</w:t>
            </w:r>
          </w:p>
        </w:tc>
      </w:tr>
      <w:tr>
        <w:tc>
          <w:tcPr>
            <w:tcW w:type="dxa" w:w="3120"/>
          </w:tcPr>
          <w:p>
            <w:pPr>
              <w:spacing w:before="80" w:after="80"/>
            </w:pPr>
            <w:r>
              <w:t>3 điểm</w:t>
            </w:r>
          </w:p>
        </w:tc>
        <w:tc>
          <w:tcPr>
            <w:tcW w:type="dxa" w:w="3120"/>
          </w:tcPr>
          <w:p>
            <w:pPr>
              <w:spacing w:before="80" w:after="80"/>
            </w:pPr>
            <w:r>
              <w:t>Nhớ mang máng / Tốn thời gian suy nghĩ mới nhớ ra</w:t>
            </w:r>
          </w:p>
        </w:tc>
        <w:tc>
          <w:tcPr>
            <w:tcW w:type="dxa" w:w="3120"/>
          </w:tcPr>
          <w:p>
            <w:pPr>
              <w:spacing w:before="80" w:after="80"/>
            </w:pPr>
            <w:r>
              <w:t>Lên lịch ôn tập tiếp sau 1 - 6 ngày tùy số lần lặp đúng</w:t>
            </w:r>
          </w:p>
        </w:tc>
      </w:tr>
      <w:tr>
        <w:tc>
          <w:tcPr>
            <w:tcW w:type="dxa" w:w="3120"/>
          </w:tcPr>
          <w:p>
            <w:pPr>
              <w:spacing w:before="80" w:after="80"/>
            </w:pPr>
            <w:r>
              <w:t>4 điểm</w:t>
            </w:r>
          </w:p>
        </w:tc>
        <w:tc>
          <w:tcPr>
            <w:tcW w:type="dxa" w:w="3120"/>
          </w:tcPr>
          <w:p>
            <w:pPr>
              <w:spacing w:before="80" w:after="80"/>
            </w:pPr>
            <w:r>
              <w:t>Trả lời đúng / Nhớ chính xác sau khi suy nghĩ</w:t>
            </w:r>
          </w:p>
        </w:tc>
        <w:tc>
          <w:tcPr>
            <w:tcW w:type="dxa" w:w="3120"/>
          </w:tcPr>
          <w:p>
            <w:pPr>
              <w:spacing w:before="80" w:after="80"/>
            </w:pPr>
            <w:r>
              <w:t>Chu kỳ ôn tập nhân với hệ số EF. EF tăng hoặc giữ nguyên</w:t>
            </w:r>
          </w:p>
        </w:tc>
      </w:tr>
      <w:tr>
        <w:tc>
          <w:tcPr>
            <w:tcW w:type="dxa" w:w="3120"/>
          </w:tcPr>
          <w:p>
            <w:pPr>
              <w:spacing w:before="80" w:after="80"/>
            </w:pPr>
            <w:r>
              <w:t>5 điểm</w:t>
            </w:r>
          </w:p>
        </w:tc>
        <w:tc>
          <w:tcPr>
            <w:tcW w:type="dxa" w:w="3120"/>
          </w:tcPr>
          <w:p>
            <w:pPr>
              <w:spacing w:before="80" w:after="80"/>
            </w:pPr>
            <w:r>
              <w:t>Nhớ hoàn hảo / Trả lời đúng ngay lập tức</w:t>
            </w:r>
          </w:p>
        </w:tc>
        <w:tc>
          <w:tcPr>
            <w:tcW w:type="dxa" w:w="3120"/>
          </w:tcPr>
          <w:p>
            <w:pPr>
              <w:spacing w:before="80" w:after="80"/>
            </w:pPr>
            <w:r>
              <w:t>Chu kỳ ôn tập nhân với hệ số EF. EF tăng cao, giãn lịch rất xa</w:t>
            </w:r>
          </w:p>
        </w:tc>
      </w:tr>
    </w:tbl>
    <w:p>
      <w:pPr>
        <w:spacing w:before="720"/>
      </w:pPr>
    </w:p>
    <w:p>
      <w:pPr>
        <w:jc w:val="right"/>
      </w:pPr>
      <w:r>
        <w:rPr>
          <w:i/>
          <w:color w:val="6366F1"/>
        </w:rPr>
        <w:t>Chúc bạn có trải nghiệm học tập tuyệt vời với LearnFlash!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