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5A092" w14:textId="74C416AE" w:rsidR="007944D8" w:rsidRDefault="007944D8" w:rsidP="007944D8">
      <w:pPr>
        <w:jc w:val="center"/>
        <w:rPr>
          <w:rFonts w:ascii="Times New Roman" w:hAnsi="Times New Roman" w:cs="Times New Roman"/>
          <w:b/>
          <w:bCs/>
          <w:sz w:val="24"/>
          <w:szCs w:val="24"/>
        </w:rPr>
      </w:pPr>
      <w:r>
        <w:rPr>
          <w:rFonts w:ascii="Times New Roman" w:hAnsi="Times New Roman" w:cs="Times New Roman"/>
          <w:b/>
          <w:bCs/>
          <w:sz w:val="24"/>
          <w:szCs w:val="24"/>
        </w:rPr>
        <w:t>Section A</w:t>
      </w:r>
    </w:p>
    <w:p w14:paraId="73F74849" w14:textId="0EBFF7E1" w:rsidR="008302EA" w:rsidRDefault="007944D8">
      <w:pPr>
        <w:rPr>
          <w:rFonts w:ascii="Times New Roman" w:hAnsi="Times New Roman" w:cs="Times New Roman"/>
          <w:b/>
          <w:bCs/>
          <w:sz w:val="24"/>
          <w:szCs w:val="24"/>
        </w:rPr>
      </w:pPr>
      <w:r>
        <w:rPr>
          <w:rFonts w:ascii="Times New Roman" w:hAnsi="Times New Roman" w:cs="Times New Roman"/>
          <w:b/>
          <w:bCs/>
          <w:sz w:val="24"/>
          <w:szCs w:val="24"/>
        </w:rPr>
        <w:t>Question 1</w:t>
      </w:r>
      <w:r w:rsidR="007702AE">
        <w:rPr>
          <w:rFonts w:ascii="Times New Roman" w:hAnsi="Times New Roman" w:cs="Times New Roman"/>
          <w:b/>
          <w:bCs/>
          <w:sz w:val="24"/>
          <w:szCs w:val="24"/>
        </w:rPr>
        <w:t>a</w:t>
      </w:r>
      <w:r>
        <w:rPr>
          <w:rFonts w:ascii="Times New Roman" w:hAnsi="Times New Roman" w:cs="Times New Roman"/>
          <w:b/>
          <w:bCs/>
          <w:sz w:val="24"/>
          <w:szCs w:val="24"/>
        </w:rPr>
        <w:t>)</w:t>
      </w:r>
    </w:p>
    <w:p w14:paraId="4067E948" w14:textId="37B22A97" w:rsidR="00837A8C" w:rsidRDefault="00837A8C" w:rsidP="00837A8C">
      <w:pPr>
        <w:pStyle w:val="ListParagraph"/>
        <w:numPr>
          <w:ilvl w:val="0"/>
          <w:numId w:val="12"/>
        </w:numPr>
        <w:rPr>
          <w:rFonts w:ascii="Times New Roman" w:hAnsi="Times New Roman" w:cs="Times New Roman"/>
          <w:b/>
          <w:bCs/>
          <w:sz w:val="24"/>
          <w:szCs w:val="24"/>
        </w:rPr>
      </w:pPr>
      <w:r>
        <w:rPr>
          <w:rFonts w:ascii="Times New Roman" w:hAnsi="Times New Roman" w:cs="Times New Roman"/>
          <w:b/>
          <w:bCs/>
          <w:sz w:val="24"/>
          <w:szCs w:val="24"/>
        </w:rPr>
        <w:t>Main FX risks to RODGERS Plc</w:t>
      </w:r>
    </w:p>
    <w:p w14:paraId="326D018D" w14:textId="2D1EB5D0" w:rsidR="00837A8C" w:rsidRDefault="00543A6C" w:rsidP="00837A8C">
      <w:pPr>
        <w:pStyle w:val="ListParagraph"/>
        <w:numPr>
          <w:ilvl w:val="0"/>
          <w:numId w:val="13"/>
        </w:numPr>
        <w:rPr>
          <w:rFonts w:ascii="Times New Roman" w:hAnsi="Times New Roman" w:cs="Times New Roman"/>
          <w:b/>
          <w:bCs/>
          <w:sz w:val="24"/>
          <w:szCs w:val="24"/>
        </w:rPr>
      </w:pPr>
      <w:r w:rsidRPr="00837A8C">
        <w:rPr>
          <w:rFonts w:ascii="Times New Roman" w:hAnsi="Times New Roman" w:cs="Times New Roman"/>
          <w:b/>
          <w:bCs/>
          <w:sz w:val="24"/>
          <w:szCs w:val="24"/>
        </w:rPr>
        <w:t>Transaction Exposure (</w:t>
      </w:r>
      <w:r w:rsidR="002F5D57" w:rsidRPr="00837A8C">
        <w:rPr>
          <w:rFonts w:ascii="Times New Roman" w:hAnsi="Times New Roman" w:cs="Times New Roman"/>
          <w:b/>
          <w:bCs/>
          <w:sz w:val="24"/>
          <w:szCs w:val="24"/>
        </w:rPr>
        <w:t>Short term</w:t>
      </w:r>
      <w:r w:rsidRPr="00837A8C">
        <w:rPr>
          <w:rFonts w:ascii="Times New Roman" w:hAnsi="Times New Roman" w:cs="Times New Roman"/>
          <w:b/>
          <w:bCs/>
          <w:sz w:val="24"/>
          <w:szCs w:val="24"/>
        </w:rPr>
        <w:t xml:space="preserve"> cash flow</w:t>
      </w:r>
      <w:r w:rsidR="002F5D57" w:rsidRPr="00837A8C">
        <w:rPr>
          <w:rFonts w:ascii="Times New Roman" w:hAnsi="Times New Roman" w:cs="Times New Roman"/>
          <w:b/>
          <w:bCs/>
          <w:sz w:val="24"/>
          <w:szCs w:val="24"/>
        </w:rPr>
        <w:t xml:space="preserve"> risk)</w:t>
      </w:r>
      <w:r w:rsidRPr="00837A8C">
        <w:rPr>
          <w:rFonts w:ascii="Times New Roman" w:hAnsi="Times New Roman" w:cs="Times New Roman"/>
          <w:b/>
          <w:bCs/>
          <w:sz w:val="24"/>
          <w:szCs w:val="24"/>
        </w:rPr>
        <w:t>:</w:t>
      </w:r>
    </w:p>
    <w:p w14:paraId="33A77B68" w14:textId="1843158A" w:rsidR="00837A8C" w:rsidRPr="00837A8C" w:rsidRDefault="00837A8C" w:rsidP="00837A8C">
      <w:pPr>
        <w:ind w:left="1440"/>
        <w:rPr>
          <w:rFonts w:ascii="Times New Roman" w:hAnsi="Times New Roman" w:cs="Times New Roman"/>
          <w:sz w:val="24"/>
          <w:szCs w:val="24"/>
        </w:rPr>
      </w:pPr>
      <w:r>
        <w:rPr>
          <w:rFonts w:ascii="Times New Roman" w:hAnsi="Times New Roman" w:cs="Times New Roman"/>
          <w:sz w:val="24"/>
          <w:szCs w:val="24"/>
        </w:rPr>
        <w:t>Risk that results from contractual cash flows in currencies other than the reporting currency.</w:t>
      </w:r>
    </w:p>
    <w:p w14:paraId="6388A787" w14:textId="69FB7F7D" w:rsidR="00837A8C" w:rsidRPr="00837A8C" w:rsidRDefault="00837A8C" w:rsidP="00837A8C">
      <w:pPr>
        <w:pStyle w:val="ListParagraph"/>
        <w:numPr>
          <w:ilvl w:val="1"/>
          <w:numId w:val="13"/>
        </w:numPr>
        <w:rPr>
          <w:rFonts w:ascii="Times New Roman" w:hAnsi="Times New Roman" w:cs="Times New Roman"/>
          <w:b/>
          <w:bCs/>
          <w:sz w:val="24"/>
          <w:szCs w:val="24"/>
        </w:rPr>
      </w:pPr>
      <w:r>
        <w:rPr>
          <w:rFonts w:ascii="Times New Roman" w:hAnsi="Times New Roman" w:cs="Times New Roman"/>
          <w:b/>
          <w:bCs/>
          <w:sz w:val="24"/>
          <w:szCs w:val="24"/>
        </w:rPr>
        <w:t>USD receivables (sales)</w:t>
      </w:r>
      <w:r w:rsidRPr="00837A8C">
        <w:rPr>
          <w:rFonts w:ascii="Times New Roman" w:hAnsi="Times New Roman" w:cs="Times New Roman"/>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Customers are in the </w:t>
      </w:r>
      <w:r w:rsidR="000E7496">
        <w:rPr>
          <w:rFonts w:ascii="Times New Roman" w:hAnsi="Times New Roman" w:cs="Times New Roman"/>
          <w:sz w:val="24"/>
          <w:szCs w:val="24"/>
        </w:rPr>
        <w:t>Americas</w:t>
      </w:r>
      <w:r>
        <w:rPr>
          <w:rFonts w:ascii="Times New Roman" w:hAnsi="Times New Roman" w:cs="Times New Roman"/>
          <w:sz w:val="24"/>
          <w:szCs w:val="24"/>
        </w:rPr>
        <w:t xml:space="preserve"> with sales invoiced in USD. Once orders are made, the GBP value of those USD receipts is exposed to the USD/GBP movements until cash is settled.</w:t>
      </w:r>
    </w:p>
    <w:p w14:paraId="44E2CD14" w14:textId="0FBE4556" w:rsidR="00613E58" w:rsidRPr="00AF01EF" w:rsidRDefault="00837A8C" w:rsidP="00613E58">
      <w:pPr>
        <w:pStyle w:val="ListParagraph"/>
        <w:numPr>
          <w:ilvl w:val="1"/>
          <w:numId w:val="13"/>
        </w:numPr>
        <w:rPr>
          <w:rFonts w:ascii="Times New Roman" w:hAnsi="Times New Roman" w:cs="Times New Roman"/>
          <w:b/>
          <w:bCs/>
          <w:sz w:val="24"/>
          <w:szCs w:val="24"/>
        </w:rPr>
      </w:pPr>
      <w:r w:rsidRPr="00613E58">
        <w:rPr>
          <w:rFonts w:ascii="Times New Roman" w:hAnsi="Times New Roman" w:cs="Times New Roman"/>
          <w:b/>
          <w:bCs/>
          <w:sz w:val="24"/>
          <w:szCs w:val="24"/>
        </w:rPr>
        <w:t>EUR payables (purchases)</w:t>
      </w:r>
      <w:r w:rsidRPr="00613E58">
        <w:rPr>
          <w:rFonts w:ascii="Times New Roman" w:hAnsi="Times New Roman" w:cs="Times New Roman"/>
          <w:sz w:val="24"/>
          <w:szCs w:val="24"/>
        </w:rPr>
        <w:t>: Input</w:t>
      </w:r>
      <w:r w:rsidR="00613E58" w:rsidRPr="00613E58">
        <w:rPr>
          <w:rFonts w:ascii="Times New Roman" w:hAnsi="Times New Roman" w:cs="Times New Roman"/>
          <w:sz w:val="24"/>
          <w:szCs w:val="24"/>
        </w:rPr>
        <w:t xml:space="preserve"> materials</w:t>
      </w:r>
      <w:r w:rsidRPr="00613E58">
        <w:rPr>
          <w:rFonts w:ascii="Times New Roman" w:hAnsi="Times New Roman" w:cs="Times New Roman"/>
          <w:sz w:val="24"/>
          <w:szCs w:val="24"/>
        </w:rPr>
        <w:t xml:space="preserve"> are sourced from Europe</w:t>
      </w:r>
      <w:r w:rsidR="00613E58" w:rsidRPr="00613E58">
        <w:rPr>
          <w:rFonts w:ascii="Times New Roman" w:hAnsi="Times New Roman" w:cs="Times New Roman"/>
          <w:sz w:val="24"/>
          <w:szCs w:val="24"/>
        </w:rPr>
        <w:t xml:space="preserve"> and paid in EUR. The 3 month “lead time” increases the settlement horizon, so the GBP cost of the EUR payables is subject to the dynamics of the pair between commitment and payment</w:t>
      </w:r>
      <w:r w:rsidR="00613E58">
        <w:rPr>
          <w:rFonts w:ascii="Times New Roman" w:hAnsi="Times New Roman" w:cs="Times New Roman"/>
          <w:sz w:val="24"/>
          <w:szCs w:val="24"/>
        </w:rPr>
        <w:t>.</w:t>
      </w:r>
    </w:p>
    <w:p w14:paraId="51027367" w14:textId="77777777" w:rsidR="00AF01EF" w:rsidRPr="00AF01EF" w:rsidRDefault="00AF01EF" w:rsidP="00AF01EF">
      <w:pPr>
        <w:pStyle w:val="ListParagraph"/>
        <w:ind w:left="1800"/>
        <w:rPr>
          <w:rFonts w:ascii="Times New Roman" w:hAnsi="Times New Roman" w:cs="Times New Roman"/>
          <w:b/>
          <w:bCs/>
          <w:sz w:val="24"/>
          <w:szCs w:val="24"/>
        </w:rPr>
      </w:pPr>
    </w:p>
    <w:p w14:paraId="51C18811" w14:textId="0850C1D9" w:rsidR="00613E58" w:rsidRDefault="00613E58" w:rsidP="00613E58">
      <w:pPr>
        <w:pStyle w:val="ListParagraph"/>
        <w:numPr>
          <w:ilvl w:val="0"/>
          <w:numId w:val="13"/>
        </w:numPr>
        <w:rPr>
          <w:rFonts w:ascii="Times New Roman" w:hAnsi="Times New Roman" w:cs="Times New Roman"/>
          <w:b/>
          <w:bCs/>
          <w:sz w:val="24"/>
          <w:szCs w:val="24"/>
        </w:rPr>
      </w:pPr>
      <w:r>
        <w:rPr>
          <w:rFonts w:ascii="Times New Roman" w:hAnsi="Times New Roman" w:cs="Times New Roman"/>
          <w:b/>
          <w:bCs/>
          <w:sz w:val="24"/>
          <w:szCs w:val="24"/>
        </w:rPr>
        <w:t>Pre transaction exposure (pricing and contracting risk before invoices)</w:t>
      </w:r>
      <w:r w:rsidR="00397124">
        <w:rPr>
          <w:rFonts w:ascii="Times New Roman" w:hAnsi="Times New Roman" w:cs="Times New Roman"/>
          <w:b/>
          <w:bCs/>
          <w:sz w:val="24"/>
          <w:szCs w:val="24"/>
        </w:rPr>
        <w:t>:</w:t>
      </w:r>
    </w:p>
    <w:p w14:paraId="50B3D4B8" w14:textId="388A2A23" w:rsidR="00613E58" w:rsidRDefault="00613E58" w:rsidP="00613E58">
      <w:pPr>
        <w:ind w:left="1440"/>
        <w:rPr>
          <w:rFonts w:ascii="Times New Roman" w:hAnsi="Times New Roman" w:cs="Times New Roman"/>
          <w:sz w:val="24"/>
          <w:szCs w:val="24"/>
        </w:rPr>
      </w:pPr>
      <w:r>
        <w:rPr>
          <w:rFonts w:ascii="Times New Roman" w:hAnsi="Times New Roman" w:cs="Times New Roman"/>
          <w:sz w:val="24"/>
          <w:szCs w:val="24"/>
        </w:rPr>
        <w:t xml:space="preserve">RODGERS Plc sets a USD price list fixed for 1 year. Even before any sales are contracted, the company is exposed because the chosen USD prices </w:t>
      </w:r>
      <w:r w:rsidR="00AF01EF">
        <w:rPr>
          <w:rFonts w:ascii="Times New Roman" w:hAnsi="Times New Roman" w:cs="Times New Roman"/>
          <w:sz w:val="24"/>
          <w:szCs w:val="24"/>
        </w:rPr>
        <w:t>imbed an implicit FX assumption</w:t>
      </w:r>
    </w:p>
    <w:p w14:paraId="2C12E048" w14:textId="27707D89" w:rsidR="00AF01EF" w:rsidRDefault="00AF01EF" w:rsidP="00AF01EF">
      <w:pPr>
        <w:pStyle w:val="ListParagraph"/>
        <w:numPr>
          <w:ilvl w:val="1"/>
          <w:numId w:val="13"/>
        </w:numPr>
        <w:rPr>
          <w:rFonts w:ascii="Times New Roman" w:hAnsi="Times New Roman" w:cs="Times New Roman"/>
          <w:sz w:val="24"/>
          <w:szCs w:val="24"/>
        </w:rPr>
      </w:pPr>
      <w:r>
        <w:rPr>
          <w:rFonts w:ascii="Times New Roman" w:hAnsi="Times New Roman" w:cs="Times New Roman"/>
          <w:sz w:val="24"/>
          <w:szCs w:val="24"/>
        </w:rPr>
        <w:t>If BGP strengthens vs. USD during the year, the fixed USD price list corresponds to less GBP per unit, compressing margin unless prices are adjusted accordingly.</w:t>
      </w:r>
    </w:p>
    <w:p w14:paraId="6667440F" w14:textId="6D33B7F9" w:rsidR="00AF01EF" w:rsidRDefault="00AF01EF" w:rsidP="00AF01EF">
      <w:pPr>
        <w:pStyle w:val="ListParagraph"/>
        <w:numPr>
          <w:ilvl w:val="1"/>
          <w:numId w:val="13"/>
        </w:numPr>
        <w:rPr>
          <w:rFonts w:ascii="Times New Roman" w:hAnsi="Times New Roman" w:cs="Times New Roman"/>
          <w:sz w:val="24"/>
          <w:szCs w:val="24"/>
        </w:rPr>
      </w:pPr>
      <w:r>
        <w:rPr>
          <w:rFonts w:ascii="Times New Roman" w:hAnsi="Times New Roman" w:cs="Times New Roman"/>
          <w:sz w:val="24"/>
          <w:szCs w:val="24"/>
        </w:rPr>
        <w:t>If GBP weakens vs. USD, the company gains on the equative GBP, but then also faces competitive and demand effects.</w:t>
      </w:r>
    </w:p>
    <w:p w14:paraId="6134010C" w14:textId="77777777" w:rsidR="00AF01EF" w:rsidRDefault="00AF01EF" w:rsidP="00AF01EF">
      <w:pPr>
        <w:pStyle w:val="ListParagraph"/>
        <w:ind w:left="1800"/>
        <w:rPr>
          <w:rFonts w:ascii="Times New Roman" w:hAnsi="Times New Roman" w:cs="Times New Roman"/>
          <w:sz w:val="24"/>
          <w:szCs w:val="24"/>
        </w:rPr>
      </w:pPr>
    </w:p>
    <w:p w14:paraId="35E7B763" w14:textId="7F52032D" w:rsidR="00AF01EF" w:rsidRDefault="00AF01EF" w:rsidP="00AF01EF">
      <w:pPr>
        <w:pStyle w:val="ListParagraph"/>
        <w:numPr>
          <w:ilvl w:val="0"/>
          <w:numId w:val="13"/>
        </w:numPr>
        <w:rPr>
          <w:rFonts w:ascii="Times New Roman" w:hAnsi="Times New Roman" w:cs="Times New Roman"/>
          <w:b/>
          <w:bCs/>
          <w:sz w:val="24"/>
          <w:szCs w:val="24"/>
        </w:rPr>
      </w:pPr>
      <w:r>
        <w:rPr>
          <w:rFonts w:ascii="Times New Roman" w:hAnsi="Times New Roman" w:cs="Times New Roman"/>
          <w:b/>
          <w:bCs/>
          <w:sz w:val="24"/>
          <w:szCs w:val="24"/>
        </w:rPr>
        <w:t>Translation exposure (accounting consolidation risk)</w:t>
      </w:r>
      <w:r w:rsidR="00397124">
        <w:rPr>
          <w:rFonts w:ascii="Times New Roman" w:hAnsi="Times New Roman" w:cs="Times New Roman"/>
          <w:b/>
          <w:bCs/>
          <w:sz w:val="24"/>
          <w:szCs w:val="24"/>
        </w:rPr>
        <w:t>:</w:t>
      </w:r>
    </w:p>
    <w:p w14:paraId="6DB7A255" w14:textId="30E4C376" w:rsidR="00F83961" w:rsidRPr="00F83961" w:rsidRDefault="00F83961" w:rsidP="00F83961">
      <w:pPr>
        <w:ind w:left="1440"/>
        <w:rPr>
          <w:rFonts w:ascii="Times New Roman" w:hAnsi="Times New Roman" w:cs="Times New Roman"/>
          <w:sz w:val="24"/>
          <w:szCs w:val="24"/>
        </w:rPr>
      </w:pPr>
      <w:r>
        <w:rPr>
          <w:rFonts w:ascii="Times New Roman" w:hAnsi="Times New Roman" w:cs="Times New Roman"/>
          <w:sz w:val="24"/>
          <w:szCs w:val="24"/>
        </w:rPr>
        <w:t>The Malaysian subsidiary results and net assets must be translated into GBP for overall reporting in the reporting currency.</w:t>
      </w:r>
    </w:p>
    <w:p w14:paraId="659EFE32" w14:textId="6F02A9BB" w:rsidR="00AF01EF" w:rsidRDefault="00F83961" w:rsidP="00AF01EF">
      <w:pPr>
        <w:pStyle w:val="ListParagraph"/>
        <w:numPr>
          <w:ilvl w:val="1"/>
          <w:numId w:val="13"/>
        </w:numPr>
        <w:rPr>
          <w:rFonts w:ascii="Times New Roman" w:hAnsi="Times New Roman" w:cs="Times New Roman"/>
          <w:sz w:val="24"/>
          <w:szCs w:val="24"/>
        </w:rPr>
      </w:pPr>
      <w:r w:rsidRPr="00F83961">
        <w:rPr>
          <w:rFonts w:ascii="Times New Roman" w:hAnsi="Times New Roman" w:cs="Times New Roman"/>
          <w:sz w:val="24"/>
          <w:szCs w:val="24"/>
        </w:rPr>
        <w:t xml:space="preserve">Translation exposure affects reported </w:t>
      </w:r>
      <w:r>
        <w:rPr>
          <w:rFonts w:ascii="Times New Roman" w:hAnsi="Times New Roman" w:cs="Times New Roman"/>
          <w:sz w:val="24"/>
          <w:szCs w:val="24"/>
        </w:rPr>
        <w:t>performance even if the local currency performance is unchanged.</w:t>
      </w:r>
    </w:p>
    <w:p w14:paraId="1FE13D1A" w14:textId="5079E2E7" w:rsidR="00F83961" w:rsidRDefault="00F83961" w:rsidP="00AF01EF">
      <w:pPr>
        <w:pStyle w:val="ListParagraph"/>
        <w:numPr>
          <w:ilvl w:val="1"/>
          <w:numId w:val="13"/>
        </w:numPr>
        <w:rPr>
          <w:rFonts w:ascii="Times New Roman" w:hAnsi="Times New Roman" w:cs="Times New Roman"/>
          <w:sz w:val="24"/>
          <w:szCs w:val="24"/>
        </w:rPr>
      </w:pPr>
      <w:r>
        <w:rPr>
          <w:rFonts w:ascii="Times New Roman" w:hAnsi="Times New Roman" w:cs="Times New Roman"/>
          <w:sz w:val="24"/>
          <w:szCs w:val="24"/>
        </w:rPr>
        <w:t>As Malaysia becomes a larger share of operations, translation effects become more apparent, particularly if investment increases the MYR net asset base.</w:t>
      </w:r>
    </w:p>
    <w:p w14:paraId="38EC65F1" w14:textId="13117F31" w:rsidR="00F83961" w:rsidRDefault="00F83961" w:rsidP="00F83961">
      <w:pPr>
        <w:pStyle w:val="ListParagraph"/>
        <w:numPr>
          <w:ilvl w:val="0"/>
          <w:numId w:val="13"/>
        </w:numPr>
        <w:rPr>
          <w:rFonts w:ascii="Times New Roman" w:hAnsi="Times New Roman" w:cs="Times New Roman"/>
          <w:b/>
          <w:bCs/>
          <w:sz w:val="24"/>
          <w:szCs w:val="24"/>
        </w:rPr>
      </w:pPr>
      <w:r w:rsidRPr="00397124">
        <w:rPr>
          <w:rFonts w:ascii="Times New Roman" w:hAnsi="Times New Roman" w:cs="Times New Roman"/>
          <w:b/>
          <w:bCs/>
          <w:sz w:val="24"/>
          <w:szCs w:val="24"/>
        </w:rPr>
        <w:t>Economic (strategic/</w:t>
      </w:r>
      <w:r w:rsidR="00397124" w:rsidRPr="00397124">
        <w:rPr>
          <w:rFonts w:ascii="Times New Roman" w:hAnsi="Times New Roman" w:cs="Times New Roman"/>
          <w:b/>
          <w:bCs/>
          <w:sz w:val="24"/>
          <w:szCs w:val="24"/>
        </w:rPr>
        <w:t>competitive</w:t>
      </w:r>
      <w:r w:rsidRPr="00397124">
        <w:rPr>
          <w:rFonts w:ascii="Times New Roman" w:hAnsi="Times New Roman" w:cs="Times New Roman"/>
          <w:b/>
          <w:bCs/>
          <w:sz w:val="24"/>
          <w:szCs w:val="24"/>
        </w:rPr>
        <w:t>) exposure</w:t>
      </w:r>
      <w:r w:rsidR="00397124" w:rsidRPr="00397124">
        <w:rPr>
          <w:rFonts w:ascii="Times New Roman" w:hAnsi="Times New Roman" w:cs="Times New Roman"/>
          <w:b/>
          <w:bCs/>
          <w:sz w:val="24"/>
          <w:szCs w:val="24"/>
        </w:rPr>
        <w:t>:</w:t>
      </w:r>
    </w:p>
    <w:p w14:paraId="55D18856" w14:textId="128A9F13" w:rsidR="00397124" w:rsidRDefault="00397124" w:rsidP="00397124">
      <w:pPr>
        <w:pStyle w:val="ListParagraph"/>
        <w:ind w:left="1440"/>
        <w:rPr>
          <w:rFonts w:ascii="Times New Roman" w:hAnsi="Times New Roman" w:cs="Times New Roman"/>
          <w:sz w:val="24"/>
          <w:szCs w:val="24"/>
        </w:rPr>
      </w:pPr>
      <w:r>
        <w:rPr>
          <w:rFonts w:ascii="Times New Roman" w:hAnsi="Times New Roman" w:cs="Times New Roman"/>
          <w:sz w:val="24"/>
          <w:szCs w:val="24"/>
        </w:rPr>
        <w:t>Economic exposure is the long-term impact of currency changes on the value of a company but also competitors.</w:t>
      </w:r>
    </w:p>
    <w:p w14:paraId="57158E67" w14:textId="715764EA" w:rsidR="00397124" w:rsidRDefault="005E4F39" w:rsidP="00397124">
      <w:pPr>
        <w:pStyle w:val="ListParagraph"/>
        <w:numPr>
          <w:ilvl w:val="1"/>
          <w:numId w:val="13"/>
        </w:numPr>
        <w:rPr>
          <w:rFonts w:ascii="Times New Roman" w:hAnsi="Times New Roman" w:cs="Times New Roman"/>
          <w:sz w:val="24"/>
          <w:szCs w:val="24"/>
        </w:rPr>
      </w:pPr>
      <w:r>
        <w:rPr>
          <w:rFonts w:ascii="Times New Roman" w:hAnsi="Times New Roman" w:cs="Times New Roman"/>
          <w:sz w:val="24"/>
          <w:szCs w:val="24"/>
        </w:rPr>
        <w:t xml:space="preserve">RODGERS Plc competes with European (3) and </w:t>
      </w:r>
      <w:r w:rsidR="000E7496">
        <w:rPr>
          <w:rFonts w:ascii="Times New Roman" w:hAnsi="Times New Roman" w:cs="Times New Roman"/>
          <w:sz w:val="24"/>
          <w:szCs w:val="24"/>
        </w:rPr>
        <w:t>USA</w:t>
      </w:r>
      <w:r>
        <w:rPr>
          <w:rFonts w:ascii="Times New Roman" w:hAnsi="Times New Roman" w:cs="Times New Roman"/>
          <w:sz w:val="24"/>
          <w:szCs w:val="24"/>
        </w:rPr>
        <w:t xml:space="preserve"> suppliers (1). FX moves can change competitor’s relative costs and pricing power, potentially altering RODGERS’s market share, margins and strategies.</w:t>
      </w:r>
    </w:p>
    <w:p w14:paraId="7165EDDB" w14:textId="7EF70A04" w:rsidR="009E4036" w:rsidRDefault="0026310D" w:rsidP="009E4036">
      <w:pPr>
        <w:pStyle w:val="ListParagraph"/>
        <w:numPr>
          <w:ilvl w:val="1"/>
          <w:numId w:val="13"/>
        </w:numPr>
        <w:rPr>
          <w:rFonts w:ascii="Times New Roman" w:hAnsi="Times New Roman" w:cs="Times New Roman"/>
          <w:sz w:val="24"/>
          <w:szCs w:val="24"/>
        </w:rPr>
      </w:pPr>
      <w:r>
        <w:rPr>
          <w:rFonts w:ascii="Times New Roman" w:hAnsi="Times New Roman" w:cs="Times New Roman"/>
          <w:sz w:val="24"/>
          <w:szCs w:val="24"/>
        </w:rPr>
        <w:t xml:space="preserve">Plans to shift production to Malaysia introduces a structural shift in the </w:t>
      </w:r>
      <w:r w:rsidR="00376F0A">
        <w:rPr>
          <w:rFonts w:ascii="Times New Roman" w:hAnsi="Times New Roman" w:cs="Times New Roman"/>
          <w:sz w:val="24"/>
          <w:szCs w:val="24"/>
        </w:rPr>
        <w:t>company’s</w:t>
      </w:r>
      <w:r>
        <w:rPr>
          <w:rFonts w:ascii="Times New Roman" w:hAnsi="Times New Roman" w:cs="Times New Roman"/>
          <w:sz w:val="24"/>
          <w:szCs w:val="24"/>
        </w:rPr>
        <w:t xml:space="preserve"> cost base and operating currency mix</w:t>
      </w:r>
      <w:r w:rsidR="00376F0A">
        <w:rPr>
          <w:rFonts w:ascii="Times New Roman" w:hAnsi="Times New Roman" w:cs="Times New Roman"/>
          <w:sz w:val="24"/>
          <w:szCs w:val="24"/>
        </w:rPr>
        <w:t>, changing the sensitivity of future cashflows to the dynamics of GBP, USD, EUR and MYR.</w:t>
      </w:r>
    </w:p>
    <w:p w14:paraId="3C0506E0" w14:textId="77777777" w:rsidR="009E4036" w:rsidRPr="009E4036" w:rsidRDefault="009E4036" w:rsidP="009E4036">
      <w:pPr>
        <w:rPr>
          <w:rFonts w:ascii="Times New Roman" w:hAnsi="Times New Roman" w:cs="Times New Roman"/>
          <w:sz w:val="24"/>
          <w:szCs w:val="24"/>
        </w:rPr>
      </w:pPr>
    </w:p>
    <w:p w14:paraId="16FE6B5D" w14:textId="5B55D9A0" w:rsidR="00376F0A" w:rsidRDefault="00376F0A" w:rsidP="00376F0A">
      <w:pPr>
        <w:pStyle w:val="ListParagraph"/>
        <w:numPr>
          <w:ilvl w:val="0"/>
          <w:numId w:val="12"/>
        </w:numPr>
        <w:rPr>
          <w:rFonts w:ascii="Times New Roman" w:hAnsi="Times New Roman" w:cs="Times New Roman"/>
          <w:b/>
          <w:bCs/>
          <w:sz w:val="24"/>
          <w:szCs w:val="24"/>
        </w:rPr>
      </w:pPr>
      <w:r>
        <w:rPr>
          <w:rFonts w:ascii="Times New Roman" w:hAnsi="Times New Roman" w:cs="Times New Roman"/>
          <w:b/>
          <w:bCs/>
          <w:sz w:val="24"/>
          <w:szCs w:val="24"/>
        </w:rPr>
        <w:t>Impact on the business if exchange rates move as forecast:</w:t>
      </w:r>
    </w:p>
    <w:p w14:paraId="71E1EAF6" w14:textId="6DFD777E" w:rsidR="00376F0A" w:rsidRDefault="00376F0A" w:rsidP="00376F0A">
      <w:pPr>
        <w:pStyle w:val="ListParagraph"/>
        <w:rPr>
          <w:rFonts w:ascii="Times New Roman" w:hAnsi="Times New Roman" w:cs="Times New Roman"/>
          <w:sz w:val="24"/>
          <w:szCs w:val="24"/>
        </w:rPr>
      </w:pPr>
      <w:r>
        <w:rPr>
          <w:rFonts w:ascii="Times New Roman" w:hAnsi="Times New Roman" w:cs="Times New Roman"/>
          <w:sz w:val="24"/>
          <w:szCs w:val="24"/>
        </w:rPr>
        <w:t>The Bank’s currency view</w:t>
      </w:r>
      <w:r w:rsidR="005D11F7">
        <w:rPr>
          <w:rFonts w:ascii="Times New Roman" w:hAnsi="Times New Roman" w:cs="Times New Roman"/>
          <w:sz w:val="24"/>
          <w:szCs w:val="24"/>
        </w:rPr>
        <w:t xml:space="preserve"> over the next year is:</w:t>
      </w:r>
    </w:p>
    <w:p w14:paraId="73DA194B" w14:textId="20DB5306" w:rsidR="005D11F7" w:rsidRDefault="005D11F7" w:rsidP="005D11F7">
      <w:pPr>
        <w:pStyle w:val="ListParagraph"/>
        <w:numPr>
          <w:ilvl w:val="0"/>
          <w:numId w:val="18"/>
        </w:numPr>
        <w:rPr>
          <w:rFonts w:ascii="Times New Roman" w:hAnsi="Times New Roman" w:cs="Times New Roman"/>
          <w:sz w:val="24"/>
          <w:szCs w:val="24"/>
        </w:rPr>
      </w:pPr>
      <w:r>
        <w:rPr>
          <w:rFonts w:ascii="Times New Roman" w:hAnsi="Times New Roman" w:cs="Times New Roman"/>
          <w:sz w:val="24"/>
          <w:szCs w:val="24"/>
        </w:rPr>
        <w:t>USD: GBP weakens vs USD</w:t>
      </w:r>
    </w:p>
    <w:p w14:paraId="1DAE8C03" w14:textId="482436DB" w:rsidR="005D11F7" w:rsidRDefault="005D11F7" w:rsidP="005D11F7">
      <w:pPr>
        <w:pStyle w:val="ListParagraph"/>
        <w:numPr>
          <w:ilvl w:val="0"/>
          <w:numId w:val="18"/>
        </w:numPr>
        <w:rPr>
          <w:rFonts w:ascii="Times New Roman" w:hAnsi="Times New Roman" w:cs="Times New Roman"/>
          <w:sz w:val="24"/>
          <w:szCs w:val="24"/>
        </w:rPr>
      </w:pPr>
      <w:r>
        <w:rPr>
          <w:rFonts w:ascii="Times New Roman" w:hAnsi="Times New Roman" w:cs="Times New Roman"/>
          <w:sz w:val="24"/>
          <w:szCs w:val="24"/>
        </w:rPr>
        <w:t>EUR: GBP stre</w:t>
      </w:r>
      <w:r w:rsidR="0096090A">
        <w:rPr>
          <w:rFonts w:ascii="Times New Roman" w:hAnsi="Times New Roman" w:cs="Times New Roman"/>
          <w:sz w:val="24"/>
          <w:szCs w:val="24"/>
        </w:rPr>
        <w:t>ngthens vs EUR</w:t>
      </w:r>
    </w:p>
    <w:p w14:paraId="25EDB133" w14:textId="24198889" w:rsidR="0096090A" w:rsidRDefault="0096090A" w:rsidP="0096090A">
      <w:pPr>
        <w:pStyle w:val="ListParagraph"/>
        <w:numPr>
          <w:ilvl w:val="0"/>
          <w:numId w:val="18"/>
        </w:numPr>
        <w:rPr>
          <w:rFonts w:ascii="Times New Roman" w:hAnsi="Times New Roman" w:cs="Times New Roman"/>
          <w:sz w:val="24"/>
          <w:szCs w:val="24"/>
        </w:rPr>
      </w:pPr>
      <w:r>
        <w:rPr>
          <w:rFonts w:ascii="Times New Roman" w:hAnsi="Times New Roman" w:cs="Times New Roman"/>
          <w:sz w:val="24"/>
          <w:szCs w:val="24"/>
        </w:rPr>
        <w:t>MYR: GBP strengthens vs MYR</w:t>
      </w:r>
    </w:p>
    <w:p w14:paraId="22AE9F6D" w14:textId="77777777" w:rsidR="009E4036" w:rsidRPr="009E4036" w:rsidRDefault="009E4036" w:rsidP="009E4036">
      <w:pPr>
        <w:ind w:left="1080"/>
        <w:rPr>
          <w:rFonts w:ascii="Times New Roman" w:hAnsi="Times New Roman" w:cs="Times New Roman"/>
          <w:sz w:val="24"/>
          <w:szCs w:val="24"/>
        </w:rPr>
      </w:pPr>
    </w:p>
    <w:p w14:paraId="5A7B408F" w14:textId="77777777" w:rsidR="0096090A" w:rsidRDefault="0096090A" w:rsidP="0096090A">
      <w:pPr>
        <w:pStyle w:val="ListParagraph"/>
        <w:ind w:left="1440"/>
        <w:rPr>
          <w:rFonts w:ascii="Times New Roman" w:hAnsi="Times New Roman" w:cs="Times New Roman"/>
          <w:sz w:val="24"/>
          <w:szCs w:val="24"/>
        </w:rPr>
      </w:pPr>
    </w:p>
    <w:p w14:paraId="6156589E" w14:textId="6F6D22F2" w:rsidR="0096090A" w:rsidRPr="0096090A" w:rsidRDefault="0096090A" w:rsidP="0096090A">
      <w:pPr>
        <w:pStyle w:val="ListParagraph"/>
        <w:numPr>
          <w:ilvl w:val="0"/>
          <w:numId w:val="19"/>
        </w:numPr>
        <w:rPr>
          <w:rFonts w:ascii="Times New Roman" w:hAnsi="Times New Roman" w:cs="Times New Roman"/>
          <w:b/>
          <w:bCs/>
          <w:sz w:val="24"/>
          <w:szCs w:val="24"/>
        </w:rPr>
      </w:pPr>
      <w:r w:rsidRPr="0096090A">
        <w:rPr>
          <w:rFonts w:ascii="Times New Roman" w:hAnsi="Times New Roman" w:cs="Times New Roman"/>
          <w:b/>
          <w:bCs/>
          <w:sz w:val="24"/>
          <w:szCs w:val="24"/>
        </w:rPr>
        <w:lastRenderedPageBreak/>
        <w:t>USD sales (GBP weakens vs USD):</w:t>
      </w:r>
    </w:p>
    <w:p w14:paraId="2147E509" w14:textId="2254711C" w:rsidR="0013301E" w:rsidRDefault="0013301E" w:rsidP="0013301E">
      <w:pPr>
        <w:pStyle w:val="ListParagraph"/>
        <w:numPr>
          <w:ilvl w:val="0"/>
          <w:numId w:val="20"/>
        </w:numPr>
        <w:rPr>
          <w:rFonts w:ascii="Times New Roman" w:hAnsi="Times New Roman" w:cs="Times New Roman"/>
          <w:sz w:val="24"/>
          <w:szCs w:val="24"/>
        </w:rPr>
      </w:pPr>
      <w:r w:rsidRPr="007F6FE5">
        <w:rPr>
          <w:rFonts w:ascii="Times New Roman" w:hAnsi="Times New Roman" w:cs="Times New Roman"/>
          <w:b/>
          <w:bCs/>
          <w:sz w:val="24"/>
          <w:szCs w:val="24"/>
        </w:rPr>
        <w:t>Positive translation effect:</w:t>
      </w:r>
      <w:r w:rsidRPr="0013301E">
        <w:rPr>
          <w:rFonts w:ascii="Times New Roman" w:hAnsi="Times New Roman" w:cs="Times New Roman"/>
          <w:sz w:val="24"/>
          <w:szCs w:val="24"/>
        </w:rPr>
        <w:t xml:space="preserve"> Each USD of revenue converts into more GBP, </w:t>
      </w:r>
      <w:r>
        <w:rPr>
          <w:rFonts w:ascii="Times New Roman" w:hAnsi="Times New Roman" w:cs="Times New Roman"/>
          <w:sz w:val="24"/>
          <w:szCs w:val="24"/>
        </w:rPr>
        <w:t>increasing</w:t>
      </w:r>
      <w:r w:rsidRPr="0013301E">
        <w:rPr>
          <w:rFonts w:ascii="Times New Roman" w:hAnsi="Times New Roman" w:cs="Times New Roman"/>
          <w:sz w:val="24"/>
          <w:szCs w:val="24"/>
        </w:rPr>
        <w:t xml:space="preserve"> reported GBP sales and operating margin, holding volumes and non-USD costs constant.</w:t>
      </w:r>
    </w:p>
    <w:p w14:paraId="32695F8F" w14:textId="77777777" w:rsidR="0013301E" w:rsidRDefault="0013301E" w:rsidP="0013301E">
      <w:pPr>
        <w:pStyle w:val="ListParagraph"/>
        <w:numPr>
          <w:ilvl w:val="0"/>
          <w:numId w:val="20"/>
        </w:numPr>
        <w:rPr>
          <w:rFonts w:ascii="Times New Roman" w:hAnsi="Times New Roman" w:cs="Times New Roman"/>
          <w:sz w:val="24"/>
          <w:szCs w:val="24"/>
        </w:rPr>
      </w:pPr>
      <w:r w:rsidRPr="007F6FE5">
        <w:rPr>
          <w:rFonts w:ascii="Times New Roman" w:hAnsi="Times New Roman" w:cs="Times New Roman"/>
          <w:b/>
          <w:bCs/>
          <w:sz w:val="24"/>
          <w:szCs w:val="24"/>
        </w:rPr>
        <w:t>Competitiveness effect:</w:t>
      </w:r>
      <w:r w:rsidRPr="0013301E">
        <w:rPr>
          <w:rFonts w:ascii="Times New Roman" w:hAnsi="Times New Roman" w:cs="Times New Roman"/>
          <w:sz w:val="24"/>
          <w:szCs w:val="24"/>
        </w:rPr>
        <w:t xml:space="preserve"> With a largely GBP cost base, a weaker GBP lowers the USD-equivalent cost of UK production, which can support competitiveness in the Americas and/or allow selective price reductions while maintaining GBP margins.</w:t>
      </w:r>
    </w:p>
    <w:p w14:paraId="2A54754F" w14:textId="4C13E147" w:rsidR="00513905" w:rsidRDefault="0013301E" w:rsidP="00513905">
      <w:pPr>
        <w:pStyle w:val="ListParagraph"/>
        <w:numPr>
          <w:ilvl w:val="0"/>
          <w:numId w:val="20"/>
        </w:numPr>
        <w:rPr>
          <w:rFonts w:ascii="Times New Roman" w:hAnsi="Times New Roman" w:cs="Times New Roman"/>
          <w:sz w:val="24"/>
          <w:szCs w:val="24"/>
        </w:rPr>
      </w:pPr>
      <w:r w:rsidRPr="007F6FE5">
        <w:rPr>
          <w:rFonts w:ascii="Times New Roman" w:hAnsi="Times New Roman" w:cs="Times New Roman"/>
          <w:b/>
          <w:bCs/>
          <w:sz w:val="24"/>
          <w:szCs w:val="24"/>
        </w:rPr>
        <w:t>Volume interaction:</w:t>
      </w:r>
      <w:r w:rsidRPr="0013301E">
        <w:rPr>
          <w:rFonts w:ascii="Times New Roman" w:hAnsi="Times New Roman" w:cs="Times New Roman"/>
          <w:sz w:val="24"/>
          <w:szCs w:val="24"/>
        </w:rPr>
        <w:t xml:space="preserve"> Because the USD price list is fixed for the year, a weaker GBP can create “windfall” GBP margins per unit versus budget. However, the realised benefit depends on whether competitors adjust pricing and how price-sensitive customers are, which can change sales volumes.</w:t>
      </w:r>
    </w:p>
    <w:p w14:paraId="63C10027" w14:textId="77777777" w:rsidR="00513905" w:rsidRDefault="00513905" w:rsidP="00513905">
      <w:pPr>
        <w:pStyle w:val="ListParagraph"/>
        <w:ind w:left="1800"/>
        <w:rPr>
          <w:rFonts w:ascii="Times New Roman" w:hAnsi="Times New Roman" w:cs="Times New Roman"/>
          <w:sz w:val="24"/>
          <w:szCs w:val="24"/>
        </w:rPr>
      </w:pPr>
    </w:p>
    <w:p w14:paraId="3D9251B2" w14:textId="00C4404D" w:rsidR="00513905" w:rsidRPr="0096090A" w:rsidRDefault="00513905" w:rsidP="00513905">
      <w:pPr>
        <w:pStyle w:val="ListParagraph"/>
        <w:numPr>
          <w:ilvl w:val="0"/>
          <w:numId w:val="19"/>
        </w:numPr>
        <w:rPr>
          <w:rFonts w:ascii="Times New Roman" w:hAnsi="Times New Roman" w:cs="Times New Roman"/>
          <w:b/>
          <w:bCs/>
          <w:sz w:val="24"/>
          <w:szCs w:val="24"/>
        </w:rPr>
      </w:pPr>
      <w:r>
        <w:rPr>
          <w:rFonts w:ascii="Times New Roman" w:hAnsi="Times New Roman" w:cs="Times New Roman"/>
          <w:b/>
          <w:bCs/>
          <w:sz w:val="24"/>
          <w:szCs w:val="24"/>
        </w:rPr>
        <w:t>EUR purchases (GBP strengthens vs EUR)</w:t>
      </w:r>
      <w:r w:rsidRPr="0096090A">
        <w:rPr>
          <w:rFonts w:ascii="Times New Roman" w:hAnsi="Times New Roman" w:cs="Times New Roman"/>
          <w:b/>
          <w:bCs/>
          <w:sz w:val="24"/>
          <w:szCs w:val="24"/>
        </w:rPr>
        <w:t xml:space="preserve"> </w:t>
      </w:r>
    </w:p>
    <w:p w14:paraId="20A3F5CE" w14:textId="29F21991" w:rsidR="00513905" w:rsidRDefault="00513905" w:rsidP="00513905">
      <w:pPr>
        <w:pStyle w:val="ListParagraph"/>
        <w:numPr>
          <w:ilvl w:val="0"/>
          <w:numId w:val="20"/>
        </w:numPr>
        <w:rPr>
          <w:rFonts w:ascii="Times New Roman" w:hAnsi="Times New Roman" w:cs="Times New Roman"/>
          <w:sz w:val="24"/>
          <w:szCs w:val="24"/>
        </w:rPr>
      </w:pPr>
      <w:r w:rsidRPr="007F6FE5">
        <w:rPr>
          <w:rFonts w:ascii="Times New Roman" w:hAnsi="Times New Roman" w:cs="Times New Roman"/>
          <w:b/>
          <w:bCs/>
          <w:sz w:val="24"/>
          <w:szCs w:val="24"/>
        </w:rPr>
        <w:t>Favourable input cost effect:</w:t>
      </w:r>
      <w:r>
        <w:rPr>
          <w:rFonts w:ascii="Times New Roman" w:hAnsi="Times New Roman" w:cs="Times New Roman"/>
          <w:sz w:val="24"/>
          <w:szCs w:val="24"/>
        </w:rPr>
        <w:t xml:space="preserve"> EUR denominated material cost</w:t>
      </w:r>
      <w:r w:rsidR="00A5461B">
        <w:rPr>
          <w:rFonts w:ascii="Times New Roman" w:hAnsi="Times New Roman" w:cs="Times New Roman"/>
          <w:sz w:val="24"/>
          <w:szCs w:val="24"/>
        </w:rPr>
        <w:t xml:space="preserve"> fewer GBP, supporting gross margin.</w:t>
      </w:r>
    </w:p>
    <w:p w14:paraId="7D4AAAB3" w14:textId="37DE3DF9" w:rsidR="00A5461B" w:rsidRDefault="00A5461B" w:rsidP="00A5461B">
      <w:pPr>
        <w:pStyle w:val="ListParagraph"/>
        <w:numPr>
          <w:ilvl w:val="0"/>
          <w:numId w:val="20"/>
        </w:numPr>
        <w:rPr>
          <w:rFonts w:ascii="Times New Roman" w:hAnsi="Times New Roman" w:cs="Times New Roman"/>
          <w:sz w:val="24"/>
          <w:szCs w:val="24"/>
        </w:rPr>
      </w:pPr>
      <w:r>
        <w:rPr>
          <w:rFonts w:ascii="Times New Roman" w:hAnsi="Times New Roman" w:cs="Times New Roman"/>
          <w:b/>
          <w:bCs/>
          <w:sz w:val="24"/>
          <w:szCs w:val="24"/>
        </w:rPr>
        <w:t>Budgeting stability:</w:t>
      </w:r>
      <w:r>
        <w:rPr>
          <w:rFonts w:ascii="Times New Roman" w:hAnsi="Times New Roman" w:cs="Times New Roman"/>
          <w:sz w:val="24"/>
          <w:szCs w:val="24"/>
        </w:rPr>
        <w:t xml:space="preserve"> Stronger GBP vs EUR reduces volatility of procurement </w:t>
      </w:r>
      <w:r w:rsidR="00092F8D">
        <w:rPr>
          <w:rFonts w:ascii="Times New Roman" w:hAnsi="Times New Roman" w:cs="Times New Roman"/>
          <w:sz w:val="24"/>
          <w:szCs w:val="24"/>
        </w:rPr>
        <w:t>costs but</w:t>
      </w:r>
      <w:r>
        <w:rPr>
          <w:rFonts w:ascii="Times New Roman" w:hAnsi="Times New Roman" w:cs="Times New Roman"/>
          <w:sz w:val="24"/>
          <w:szCs w:val="24"/>
        </w:rPr>
        <w:t xml:space="preserve"> also creates the risk that hedging locks in a worse rate than the eventual spot in terms of opportunity cost.</w:t>
      </w:r>
    </w:p>
    <w:p w14:paraId="4EA90C91" w14:textId="77777777" w:rsidR="00A5461B" w:rsidRPr="00A5461B" w:rsidRDefault="00A5461B" w:rsidP="00A5461B">
      <w:pPr>
        <w:pStyle w:val="ListParagraph"/>
        <w:ind w:left="1800"/>
        <w:rPr>
          <w:rFonts w:ascii="Times New Roman" w:hAnsi="Times New Roman" w:cs="Times New Roman"/>
          <w:sz w:val="24"/>
          <w:szCs w:val="24"/>
        </w:rPr>
      </w:pPr>
    </w:p>
    <w:p w14:paraId="4714EBAF" w14:textId="5302DC02" w:rsidR="00A5461B" w:rsidRPr="0096090A" w:rsidRDefault="00F41D7F" w:rsidP="00A5461B">
      <w:pPr>
        <w:pStyle w:val="ListParagraph"/>
        <w:numPr>
          <w:ilvl w:val="0"/>
          <w:numId w:val="19"/>
        </w:numPr>
        <w:rPr>
          <w:rFonts w:ascii="Times New Roman" w:hAnsi="Times New Roman" w:cs="Times New Roman"/>
          <w:b/>
          <w:bCs/>
          <w:sz w:val="24"/>
          <w:szCs w:val="24"/>
        </w:rPr>
      </w:pPr>
      <w:r>
        <w:rPr>
          <w:rFonts w:ascii="Times New Roman" w:hAnsi="Times New Roman" w:cs="Times New Roman"/>
          <w:b/>
          <w:bCs/>
          <w:sz w:val="24"/>
          <w:szCs w:val="24"/>
        </w:rPr>
        <w:t>Malaysian subsidiary and MYR investment (GBP strengthens vs MTR)</w:t>
      </w:r>
      <w:r w:rsidR="00A5461B">
        <w:rPr>
          <w:rFonts w:ascii="Times New Roman" w:hAnsi="Times New Roman" w:cs="Times New Roman"/>
          <w:b/>
          <w:bCs/>
          <w:sz w:val="24"/>
          <w:szCs w:val="24"/>
        </w:rPr>
        <w:t xml:space="preserve"> </w:t>
      </w:r>
    </w:p>
    <w:p w14:paraId="767D7C42" w14:textId="58413610" w:rsidR="00A5461B" w:rsidRDefault="00F41D7F" w:rsidP="00A5461B">
      <w:pPr>
        <w:pStyle w:val="ListParagraph"/>
        <w:numPr>
          <w:ilvl w:val="0"/>
          <w:numId w:val="20"/>
        </w:numPr>
        <w:rPr>
          <w:rFonts w:ascii="Times New Roman" w:hAnsi="Times New Roman" w:cs="Times New Roman"/>
          <w:sz w:val="24"/>
          <w:szCs w:val="24"/>
        </w:rPr>
      </w:pPr>
      <w:r>
        <w:rPr>
          <w:rFonts w:ascii="Times New Roman" w:hAnsi="Times New Roman" w:cs="Times New Roman"/>
          <w:b/>
          <w:bCs/>
          <w:sz w:val="24"/>
          <w:szCs w:val="24"/>
        </w:rPr>
        <w:t xml:space="preserve">Capex becomes cheaper in GBP: </w:t>
      </w:r>
      <w:r>
        <w:rPr>
          <w:rFonts w:ascii="Times New Roman" w:hAnsi="Times New Roman" w:cs="Times New Roman"/>
          <w:sz w:val="24"/>
          <w:szCs w:val="24"/>
        </w:rPr>
        <w:t>Investment into Malaysian manufacturing site</w:t>
      </w:r>
      <w:r w:rsidR="00843592">
        <w:rPr>
          <w:rFonts w:ascii="Times New Roman" w:hAnsi="Times New Roman" w:cs="Times New Roman"/>
          <w:sz w:val="24"/>
          <w:szCs w:val="24"/>
        </w:rPr>
        <w:t xml:space="preserve"> costs fewer GBP which is beneficial if capex is funded from the UK.</w:t>
      </w:r>
    </w:p>
    <w:p w14:paraId="4C71C617" w14:textId="77777777" w:rsidR="007702AE" w:rsidRDefault="00843592" w:rsidP="007702AE">
      <w:pPr>
        <w:pStyle w:val="ListParagraph"/>
        <w:numPr>
          <w:ilvl w:val="0"/>
          <w:numId w:val="20"/>
        </w:numPr>
        <w:rPr>
          <w:rFonts w:ascii="Times New Roman" w:hAnsi="Times New Roman" w:cs="Times New Roman"/>
          <w:sz w:val="24"/>
          <w:szCs w:val="24"/>
        </w:rPr>
      </w:pPr>
      <w:r>
        <w:rPr>
          <w:rFonts w:ascii="Times New Roman" w:hAnsi="Times New Roman" w:cs="Times New Roman"/>
          <w:b/>
          <w:bCs/>
          <w:sz w:val="24"/>
          <w:szCs w:val="24"/>
        </w:rPr>
        <w:t>Translation headwind:</w:t>
      </w:r>
      <w:r w:rsidR="007E77F3">
        <w:rPr>
          <w:rFonts w:ascii="Times New Roman" w:hAnsi="Times New Roman" w:cs="Times New Roman"/>
          <w:b/>
          <w:bCs/>
          <w:sz w:val="24"/>
          <w:szCs w:val="24"/>
        </w:rPr>
        <w:t xml:space="preserve"> </w:t>
      </w:r>
      <w:r w:rsidR="007E77F3">
        <w:rPr>
          <w:rFonts w:ascii="Times New Roman" w:hAnsi="Times New Roman" w:cs="Times New Roman"/>
          <w:sz w:val="24"/>
          <w:szCs w:val="24"/>
        </w:rPr>
        <w:t>MYR profits and net assets translate to fewer BGP, potentially reducing reported overall earnings</w:t>
      </w:r>
      <w:r w:rsidR="00092F8D">
        <w:rPr>
          <w:rFonts w:ascii="Times New Roman" w:hAnsi="Times New Roman" w:cs="Times New Roman"/>
          <w:sz w:val="24"/>
          <w:szCs w:val="24"/>
        </w:rPr>
        <w:t xml:space="preserve"> despite unchanged operational performance for that office.</w:t>
      </w:r>
    </w:p>
    <w:p w14:paraId="2D12914E" w14:textId="0E21E0A6" w:rsidR="009E4036" w:rsidRDefault="00092F8D" w:rsidP="009E4036">
      <w:pPr>
        <w:ind w:left="1440"/>
        <w:rPr>
          <w:rFonts w:ascii="Times New Roman" w:hAnsi="Times New Roman" w:cs="Times New Roman"/>
          <w:sz w:val="24"/>
          <w:szCs w:val="24"/>
        </w:rPr>
      </w:pPr>
      <w:r w:rsidRPr="007702AE">
        <w:rPr>
          <w:rFonts w:ascii="Times New Roman" w:hAnsi="Times New Roman" w:cs="Times New Roman"/>
          <w:sz w:val="24"/>
          <w:szCs w:val="24"/>
        </w:rPr>
        <w:t>Overall, the forecast scenario broadly favours RODGERS Plc in terms of its GBP profit line due to improved profit line (higher GBP value of USD sales), lower GBP cost of EUR inputs and cheaper GBP to MYR. However, the translation effects can still detract from the reported figures and competitive reactions can change realised volumes and margins.</w:t>
      </w:r>
    </w:p>
    <w:p w14:paraId="2D1151B7" w14:textId="77777777" w:rsidR="009E4036" w:rsidRDefault="009E4036" w:rsidP="009E4036">
      <w:pPr>
        <w:rPr>
          <w:rFonts w:ascii="Times New Roman" w:hAnsi="Times New Roman" w:cs="Times New Roman"/>
          <w:sz w:val="24"/>
          <w:szCs w:val="24"/>
        </w:rPr>
      </w:pPr>
    </w:p>
    <w:p w14:paraId="099AC4EF" w14:textId="20E933F8" w:rsidR="00092F8D" w:rsidRPr="00E367FF" w:rsidRDefault="00092F8D" w:rsidP="00E367FF">
      <w:pPr>
        <w:pStyle w:val="ListParagraph"/>
        <w:numPr>
          <w:ilvl w:val="0"/>
          <w:numId w:val="12"/>
        </w:numPr>
        <w:rPr>
          <w:rFonts w:ascii="Times New Roman" w:hAnsi="Times New Roman" w:cs="Times New Roman"/>
          <w:b/>
          <w:bCs/>
          <w:sz w:val="24"/>
          <w:szCs w:val="24"/>
        </w:rPr>
      </w:pPr>
      <w:r w:rsidRPr="00E367FF">
        <w:rPr>
          <w:rFonts w:ascii="Times New Roman" w:hAnsi="Times New Roman" w:cs="Times New Roman"/>
          <w:b/>
          <w:bCs/>
          <w:sz w:val="24"/>
          <w:szCs w:val="24"/>
        </w:rPr>
        <w:t>Mitigation without derivatives</w:t>
      </w:r>
      <w:r w:rsidR="00754378" w:rsidRPr="00E367FF">
        <w:rPr>
          <w:rFonts w:ascii="Times New Roman" w:hAnsi="Times New Roman" w:cs="Times New Roman"/>
          <w:b/>
          <w:bCs/>
          <w:sz w:val="24"/>
          <w:szCs w:val="24"/>
        </w:rPr>
        <w:t xml:space="preserve"> (internal or operational hedging)</w:t>
      </w:r>
    </w:p>
    <w:p w14:paraId="4AEEB8E3" w14:textId="3B273992" w:rsidR="00E367FF" w:rsidRPr="00E367FF" w:rsidRDefault="00754378" w:rsidP="00E367FF">
      <w:pPr>
        <w:pStyle w:val="ListParagraph"/>
        <w:rPr>
          <w:rFonts w:ascii="Times New Roman" w:hAnsi="Times New Roman" w:cs="Times New Roman"/>
          <w:sz w:val="24"/>
          <w:szCs w:val="24"/>
        </w:rPr>
      </w:pPr>
      <w:r>
        <w:rPr>
          <w:rFonts w:ascii="Times New Roman" w:hAnsi="Times New Roman" w:cs="Times New Roman"/>
          <w:sz w:val="24"/>
          <w:szCs w:val="24"/>
        </w:rPr>
        <w:t>Without using derivatives, RODGERS Plc can reduce its exposure to FX risk by changing how it prices, contracts, funds and organises cash flows.</w:t>
      </w:r>
    </w:p>
    <w:p w14:paraId="1181BC80" w14:textId="19902BD8" w:rsidR="00092F8D" w:rsidRPr="00E367FF" w:rsidRDefault="00754378" w:rsidP="00E367FF">
      <w:pPr>
        <w:ind w:firstLine="720"/>
        <w:rPr>
          <w:rFonts w:ascii="Times New Roman" w:hAnsi="Times New Roman" w:cs="Times New Roman"/>
          <w:sz w:val="24"/>
          <w:szCs w:val="24"/>
        </w:rPr>
      </w:pPr>
      <w:r w:rsidRPr="00E367FF">
        <w:rPr>
          <w:rFonts w:ascii="Times New Roman" w:hAnsi="Times New Roman" w:cs="Times New Roman"/>
          <w:b/>
          <w:bCs/>
          <w:sz w:val="24"/>
          <w:szCs w:val="24"/>
        </w:rPr>
        <w:t>Pricing policy and contractual clauses (addresses transaction exposure)</w:t>
      </w:r>
      <w:r w:rsidR="00675F67" w:rsidRPr="00E367FF">
        <w:rPr>
          <w:rFonts w:ascii="Times New Roman" w:hAnsi="Times New Roman" w:cs="Times New Roman"/>
          <w:b/>
          <w:bCs/>
          <w:sz w:val="24"/>
          <w:szCs w:val="24"/>
        </w:rPr>
        <w:t>:</w:t>
      </w:r>
    </w:p>
    <w:p w14:paraId="77B1DD39" w14:textId="03B7D0DF" w:rsidR="00092F8D" w:rsidRPr="00754378" w:rsidRDefault="00754378" w:rsidP="00E367FF">
      <w:pPr>
        <w:pStyle w:val="ListParagraph"/>
        <w:numPr>
          <w:ilvl w:val="0"/>
          <w:numId w:val="21"/>
        </w:numPr>
        <w:rPr>
          <w:rFonts w:ascii="Times New Roman" w:hAnsi="Times New Roman" w:cs="Times New Roman"/>
          <w:b/>
          <w:bCs/>
          <w:sz w:val="24"/>
          <w:szCs w:val="24"/>
        </w:rPr>
      </w:pPr>
      <w:r>
        <w:rPr>
          <w:rFonts w:ascii="Times New Roman" w:hAnsi="Times New Roman" w:cs="Times New Roman"/>
          <w:sz w:val="24"/>
          <w:szCs w:val="24"/>
        </w:rPr>
        <w:t>Shorten the duration of the USD price list (more frequent repricing).</w:t>
      </w:r>
    </w:p>
    <w:p w14:paraId="20B89FCB" w14:textId="43380794" w:rsidR="00754378" w:rsidRPr="00754378" w:rsidRDefault="00754378" w:rsidP="00E367FF">
      <w:pPr>
        <w:pStyle w:val="ListParagraph"/>
        <w:numPr>
          <w:ilvl w:val="0"/>
          <w:numId w:val="21"/>
        </w:numPr>
        <w:rPr>
          <w:rFonts w:ascii="Times New Roman" w:hAnsi="Times New Roman" w:cs="Times New Roman"/>
          <w:b/>
          <w:bCs/>
          <w:sz w:val="24"/>
          <w:szCs w:val="24"/>
        </w:rPr>
      </w:pPr>
      <w:r>
        <w:rPr>
          <w:rFonts w:ascii="Times New Roman" w:hAnsi="Times New Roman" w:cs="Times New Roman"/>
          <w:sz w:val="24"/>
          <w:szCs w:val="24"/>
        </w:rPr>
        <w:t>Introduce FX adjustment clauses or renegotiation triggers (for example, price resets if FX moves outside a band).</w:t>
      </w:r>
    </w:p>
    <w:p w14:paraId="052D2BB6" w14:textId="6B0524B7" w:rsidR="00754378" w:rsidRPr="00754378" w:rsidRDefault="00754378" w:rsidP="00E367FF">
      <w:pPr>
        <w:pStyle w:val="ListParagraph"/>
        <w:numPr>
          <w:ilvl w:val="0"/>
          <w:numId w:val="21"/>
        </w:numPr>
        <w:rPr>
          <w:rFonts w:ascii="Times New Roman" w:hAnsi="Times New Roman" w:cs="Times New Roman"/>
          <w:b/>
          <w:bCs/>
          <w:sz w:val="24"/>
          <w:szCs w:val="24"/>
        </w:rPr>
      </w:pPr>
      <w:r>
        <w:rPr>
          <w:rFonts w:ascii="Times New Roman" w:hAnsi="Times New Roman" w:cs="Times New Roman"/>
          <w:sz w:val="24"/>
          <w:szCs w:val="24"/>
        </w:rPr>
        <w:t>Where feasible, invoice some customers in GBP or use dual currency pricing (GBP base with USD reference), shifting risk sharing into the contract.</w:t>
      </w:r>
    </w:p>
    <w:p w14:paraId="2608BC15" w14:textId="7C3F90D0" w:rsidR="00754378" w:rsidRPr="00E367FF" w:rsidRDefault="00754378" w:rsidP="00E367FF">
      <w:pPr>
        <w:ind w:firstLine="720"/>
        <w:rPr>
          <w:rFonts w:ascii="Times New Roman" w:hAnsi="Times New Roman" w:cs="Times New Roman"/>
          <w:b/>
          <w:bCs/>
          <w:sz w:val="24"/>
          <w:szCs w:val="24"/>
        </w:rPr>
      </w:pPr>
      <w:r w:rsidRPr="00E367FF">
        <w:rPr>
          <w:rFonts w:ascii="Times New Roman" w:hAnsi="Times New Roman" w:cs="Times New Roman"/>
          <w:b/>
          <w:bCs/>
          <w:sz w:val="24"/>
          <w:szCs w:val="24"/>
        </w:rPr>
        <w:t>Matching and netting via treasury (reduces gross conversion volume)</w:t>
      </w:r>
      <w:r w:rsidR="00675F67" w:rsidRPr="00E367FF">
        <w:rPr>
          <w:rFonts w:ascii="Times New Roman" w:hAnsi="Times New Roman" w:cs="Times New Roman"/>
          <w:b/>
          <w:bCs/>
          <w:sz w:val="24"/>
          <w:szCs w:val="24"/>
        </w:rPr>
        <w:t>:</w:t>
      </w:r>
    </w:p>
    <w:p w14:paraId="357B35AC" w14:textId="1FB0BD56" w:rsidR="00754378" w:rsidRPr="00754378" w:rsidRDefault="00754378" w:rsidP="00E367FF">
      <w:pPr>
        <w:pStyle w:val="ListParagraph"/>
        <w:numPr>
          <w:ilvl w:val="0"/>
          <w:numId w:val="22"/>
        </w:numPr>
        <w:rPr>
          <w:rFonts w:ascii="Times New Roman" w:hAnsi="Times New Roman" w:cs="Times New Roman"/>
          <w:b/>
          <w:bCs/>
          <w:sz w:val="24"/>
          <w:szCs w:val="24"/>
        </w:rPr>
      </w:pPr>
      <w:r>
        <w:rPr>
          <w:rFonts w:ascii="Times New Roman" w:hAnsi="Times New Roman" w:cs="Times New Roman"/>
          <w:sz w:val="24"/>
          <w:szCs w:val="24"/>
        </w:rPr>
        <w:t>Centralise FX cash management and net internal currency flows where possible.</w:t>
      </w:r>
    </w:p>
    <w:p w14:paraId="55A16E40" w14:textId="4ADE28B1" w:rsidR="009E4036" w:rsidRPr="009E4036" w:rsidRDefault="00754378" w:rsidP="009E4036">
      <w:pPr>
        <w:pStyle w:val="ListParagraph"/>
        <w:numPr>
          <w:ilvl w:val="0"/>
          <w:numId w:val="22"/>
        </w:numPr>
        <w:rPr>
          <w:rFonts w:ascii="Times New Roman" w:hAnsi="Times New Roman" w:cs="Times New Roman"/>
          <w:b/>
          <w:bCs/>
          <w:sz w:val="24"/>
          <w:szCs w:val="24"/>
        </w:rPr>
      </w:pPr>
      <w:r>
        <w:rPr>
          <w:rFonts w:ascii="Times New Roman" w:hAnsi="Times New Roman" w:cs="Times New Roman"/>
          <w:sz w:val="24"/>
          <w:szCs w:val="24"/>
        </w:rPr>
        <w:t>Operational</w:t>
      </w:r>
      <w:r w:rsidR="00675F67">
        <w:rPr>
          <w:rFonts w:ascii="Times New Roman" w:hAnsi="Times New Roman" w:cs="Times New Roman"/>
          <w:sz w:val="24"/>
          <w:szCs w:val="24"/>
        </w:rPr>
        <w:t>ly consolidate the currency of costs with the currency of revenues (for example increasing USD linked costs if USD revenues dominate)</w:t>
      </w:r>
      <w:r w:rsidR="00E367FF">
        <w:rPr>
          <w:rFonts w:ascii="Times New Roman" w:hAnsi="Times New Roman" w:cs="Times New Roman"/>
          <w:sz w:val="24"/>
          <w:szCs w:val="24"/>
        </w:rPr>
        <w:t>.</w:t>
      </w:r>
    </w:p>
    <w:p w14:paraId="76E5A41B" w14:textId="77777777" w:rsidR="009E4036" w:rsidRDefault="009E4036" w:rsidP="009E4036">
      <w:pPr>
        <w:rPr>
          <w:rFonts w:ascii="Times New Roman" w:hAnsi="Times New Roman" w:cs="Times New Roman"/>
          <w:b/>
          <w:bCs/>
          <w:sz w:val="24"/>
          <w:szCs w:val="24"/>
        </w:rPr>
      </w:pPr>
    </w:p>
    <w:p w14:paraId="77F02981" w14:textId="77777777" w:rsidR="009E4036" w:rsidRDefault="009E4036" w:rsidP="009E4036">
      <w:pPr>
        <w:rPr>
          <w:rFonts w:ascii="Times New Roman" w:hAnsi="Times New Roman" w:cs="Times New Roman"/>
          <w:b/>
          <w:bCs/>
          <w:sz w:val="24"/>
          <w:szCs w:val="24"/>
        </w:rPr>
      </w:pPr>
    </w:p>
    <w:p w14:paraId="50339319" w14:textId="77777777" w:rsidR="009E4036" w:rsidRPr="009E4036" w:rsidRDefault="009E4036" w:rsidP="009E4036">
      <w:pPr>
        <w:rPr>
          <w:rFonts w:ascii="Times New Roman" w:hAnsi="Times New Roman" w:cs="Times New Roman"/>
          <w:b/>
          <w:bCs/>
          <w:sz w:val="24"/>
          <w:szCs w:val="24"/>
        </w:rPr>
      </w:pPr>
    </w:p>
    <w:p w14:paraId="2F19A0E9" w14:textId="49C2BFAB" w:rsidR="00675F67" w:rsidRPr="00E367FF" w:rsidRDefault="00675F67" w:rsidP="00E367FF">
      <w:pPr>
        <w:ind w:left="720"/>
        <w:rPr>
          <w:rFonts w:ascii="Times New Roman" w:hAnsi="Times New Roman" w:cs="Times New Roman"/>
          <w:b/>
          <w:bCs/>
          <w:sz w:val="24"/>
          <w:szCs w:val="24"/>
        </w:rPr>
      </w:pPr>
      <w:r w:rsidRPr="00E367FF">
        <w:rPr>
          <w:rFonts w:ascii="Times New Roman" w:hAnsi="Times New Roman" w:cs="Times New Roman"/>
          <w:b/>
          <w:bCs/>
          <w:sz w:val="24"/>
          <w:szCs w:val="24"/>
        </w:rPr>
        <w:lastRenderedPageBreak/>
        <w:t>Leading and Lagging (timing management):</w:t>
      </w:r>
    </w:p>
    <w:p w14:paraId="30006568" w14:textId="1C8EC3C8" w:rsidR="00675F67" w:rsidRPr="00E367FF" w:rsidRDefault="00675F67" w:rsidP="00E367FF">
      <w:pPr>
        <w:pStyle w:val="ListParagraph"/>
        <w:numPr>
          <w:ilvl w:val="0"/>
          <w:numId w:val="23"/>
        </w:numPr>
        <w:rPr>
          <w:rFonts w:ascii="Times New Roman" w:hAnsi="Times New Roman" w:cs="Times New Roman"/>
          <w:b/>
          <w:bCs/>
          <w:sz w:val="24"/>
          <w:szCs w:val="24"/>
        </w:rPr>
      </w:pPr>
      <w:r>
        <w:rPr>
          <w:rFonts w:ascii="Times New Roman" w:hAnsi="Times New Roman" w:cs="Times New Roman"/>
          <w:sz w:val="24"/>
          <w:szCs w:val="24"/>
        </w:rPr>
        <w:t>Accelerate receipt of currencies expected to weaken versus GBP and delay payments (where possible) for currencies expected to strengthen.</w:t>
      </w:r>
    </w:p>
    <w:p w14:paraId="5FFF9DD6" w14:textId="77777777" w:rsidR="00F25E42" w:rsidRPr="00F25E42" w:rsidRDefault="00F25E42" w:rsidP="00F25E42">
      <w:pPr>
        <w:pStyle w:val="ListParagraph"/>
        <w:numPr>
          <w:ilvl w:val="0"/>
          <w:numId w:val="23"/>
        </w:numPr>
        <w:rPr>
          <w:rFonts w:ascii="Times New Roman" w:hAnsi="Times New Roman" w:cs="Times New Roman"/>
          <w:b/>
          <w:bCs/>
          <w:sz w:val="24"/>
          <w:szCs w:val="24"/>
        </w:rPr>
      </w:pPr>
      <w:r>
        <w:rPr>
          <w:rFonts w:ascii="Times New Roman" w:hAnsi="Times New Roman" w:cs="Times New Roman"/>
          <w:sz w:val="24"/>
          <w:szCs w:val="24"/>
        </w:rPr>
        <w:t>This is most relevant for the EUR payables given the 3-month settlement window, subject to supplier terms.</w:t>
      </w:r>
    </w:p>
    <w:p w14:paraId="6BF9AD18" w14:textId="3E53BFC7" w:rsidR="00F25E42" w:rsidRDefault="00F25E42" w:rsidP="00F25E42">
      <w:pPr>
        <w:ind w:left="720"/>
        <w:rPr>
          <w:rFonts w:ascii="Times New Roman" w:hAnsi="Times New Roman" w:cs="Times New Roman"/>
          <w:b/>
          <w:bCs/>
          <w:sz w:val="24"/>
          <w:szCs w:val="24"/>
        </w:rPr>
      </w:pPr>
      <w:r>
        <w:rPr>
          <w:rFonts w:ascii="Times New Roman" w:hAnsi="Times New Roman" w:cs="Times New Roman"/>
          <w:b/>
          <w:bCs/>
          <w:sz w:val="24"/>
          <w:szCs w:val="24"/>
        </w:rPr>
        <w:t xml:space="preserve">Balance sheet </w:t>
      </w:r>
      <w:proofErr w:type="spellStart"/>
      <w:r>
        <w:rPr>
          <w:rFonts w:ascii="Times New Roman" w:hAnsi="Times New Roman" w:cs="Times New Roman"/>
          <w:b/>
          <w:bCs/>
          <w:sz w:val="24"/>
          <w:szCs w:val="24"/>
        </w:rPr>
        <w:t>heding</w:t>
      </w:r>
      <w:proofErr w:type="spellEnd"/>
      <w:r>
        <w:rPr>
          <w:rFonts w:ascii="Times New Roman" w:hAnsi="Times New Roman" w:cs="Times New Roman"/>
          <w:b/>
          <w:bCs/>
          <w:sz w:val="24"/>
          <w:szCs w:val="24"/>
        </w:rPr>
        <w:t xml:space="preserve"> through funding choices (especially Malaysia):</w:t>
      </w:r>
    </w:p>
    <w:p w14:paraId="23814AF5" w14:textId="71B1EE7D" w:rsidR="00F25E42" w:rsidRPr="00F25E42" w:rsidRDefault="00F25E42" w:rsidP="00F25E42">
      <w:pPr>
        <w:pStyle w:val="ListParagraph"/>
        <w:numPr>
          <w:ilvl w:val="0"/>
          <w:numId w:val="23"/>
        </w:numPr>
        <w:rPr>
          <w:rFonts w:ascii="Times New Roman" w:hAnsi="Times New Roman" w:cs="Times New Roman"/>
          <w:b/>
          <w:bCs/>
          <w:sz w:val="24"/>
          <w:szCs w:val="24"/>
        </w:rPr>
      </w:pPr>
      <w:r>
        <w:rPr>
          <w:rFonts w:ascii="Times New Roman" w:hAnsi="Times New Roman" w:cs="Times New Roman"/>
          <w:sz w:val="24"/>
          <w:szCs w:val="24"/>
        </w:rPr>
        <w:t>Finance Malaysian assets with MYR liabilities (local borrowing) so that MYR asset translation effects are partially offset by MYR liability translation costs.</w:t>
      </w:r>
    </w:p>
    <w:p w14:paraId="5AF77279" w14:textId="466971EF" w:rsidR="00F25E42" w:rsidRPr="00F25E42" w:rsidRDefault="00F25E42" w:rsidP="00F25E42">
      <w:pPr>
        <w:pStyle w:val="ListParagraph"/>
        <w:numPr>
          <w:ilvl w:val="0"/>
          <w:numId w:val="23"/>
        </w:numPr>
        <w:rPr>
          <w:rFonts w:ascii="Times New Roman" w:hAnsi="Times New Roman" w:cs="Times New Roman"/>
          <w:b/>
          <w:bCs/>
          <w:sz w:val="24"/>
          <w:szCs w:val="24"/>
        </w:rPr>
      </w:pPr>
      <w:r>
        <w:rPr>
          <w:rFonts w:ascii="Times New Roman" w:hAnsi="Times New Roman" w:cs="Times New Roman"/>
          <w:sz w:val="24"/>
          <w:szCs w:val="24"/>
        </w:rPr>
        <w:t>Retain MYR earnings locally to fund MYR investment, reducing need to convert GBP into MYR for capex.</w:t>
      </w:r>
    </w:p>
    <w:p w14:paraId="23865A9B" w14:textId="00EA79EA" w:rsidR="00F25E42" w:rsidRDefault="00F25E42" w:rsidP="00F25E42">
      <w:pPr>
        <w:ind w:left="720"/>
        <w:rPr>
          <w:rFonts w:ascii="Times New Roman" w:hAnsi="Times New Roman" w:cs="Times New Roman"/>
          <w:b/>
          <w:bCs/>
          <w:sz w:val="24"/>
          <w:szCs w:val="24"/>
        </w:rPr>
      </w:pPr>
      <w:r>
        <w:rPr>
          <w:rFonts w:ascii="Times New Roman" w:hAnsi="Times New Roman" w:cs="Times New Roman"/>
          <w:b/>
          <w:bCs/>
          <w:sz w:val="24"/>
          <w:szCs w:val="24"/>
        </w:rPr>
        <w:t>Supply chain and operational diversification:</w:t>
      </w:r>
    </w:p>
    <w:p w14:paraId="55879FF7" w14:textId="05F31303" w:rsidR="00F25E42" w:rsidRPr="00F25E42" w:rsidRDefault="00F25E42" w:rsidP="00F25E42">
      <w:pPr>
        <w:pStyle w:val="ListParagraph"/>
        <w:numPr>
          <w:ilvl w:val="0"/>
          <w:numId w:val="23"/>
        </w:numPr>
        <w:rPr>
          <w:rFonts w:ascii="Times New Roman" w:hAnsi="Times New Roman" w:cs="Times New Roman"/>
          <w:b/>
          <w:bCs/>
          <w:sz w:val="24"/>
          <w:szCs w:val="24"/>
        </w:rPr>
      </w:pPr>
      <w:r>
        <w:rPr>
          <w:rFonts w:ascii="Times New Roman" w:hAnsi="Times New Roman" w:cs="Times New Roman"/>
          <w:sz w:val="24"/>
          <w:szCs w:val="24"/>
        </w:rPr>
        <w:t>Diversify sourcing locations and negotiate invoice currency where possible.</w:t>
      </w:r>
    </w:p>
    <w:p w14:paraId="31A1D783" w14:textId="66CAF153" w:rsidR="00F25E42" w:rsidRPr="007702AE" w:rsidRDefault="00F25E42" w:rsidP="00F25E42">
      <w:pPr>
        <w:pStyle w:val="ListParagraph"/>
        <w:numPr>
          <w:ilvl w:val="0"/>
          <w:numId w:val="23"/>
        </w:numPr>
        <w:rPr>
          <w:rFonts w:ascii="Times New Roman" w:hAnsi="Times New Roman" w:cs="Times New Roman"/>
          <w:b/>
          <w:bCs/>
          <w:sz w:val="24"/>
          <w:szCs w:val="24"/>
        </w:rPr>
      </w:pPr>
      <w:r>
        <w:rPr>
          <w:rFonts w:ascii="Times New Roman" w:hAnsi="Times New Roman" w:cs="Times New Roman"/>
          <w:sz w:val="24"/>
          <w:szCs w:val="24"/>
        </w:rPr>
        <w:t>Consider relocating some cost base in line with revenue base over time, recognising</w:t>
      </w:r>
      <w:r w:rsidR="007702AE">
        <w:rPr>
          <w:rFonts w:ascii="Times New Roman" w:hAnsi="Times New Roman" w:cs="Times New Roman"/>
          <w:sz w:val="24"/>
          <w:szCs w:val="24"/>
        </w:rPr>
        <w:t xml:space="preserve"> that this is </w:t>
      </w:r>
      <w:proofErr w:type="gramStart"/>
      <w:r w:rsidR="007702AE">
        <w:rPr>
          <w:rFonts w:ascii="Times New Roman" w:hAnsi="Times New Roman" w:cs="Times New Roman"/>
          <w:sz w:val="24"/>
          <w:szCs w:val="24"/>
        </w:rPr>
        <w:t>a</w:t>
      </w:r>
      <w:proofErr w:type="gramEnd"/>
      <w:r w:rsidR="007702AE">
        <w:rPr>
          <w:rFonts w:ascii="Times New Roman" w:hAnsi="Times New Roman" w:cs="Times New Roman"/>
          <w:sz w:val="24"/>
          <w:szCs w:val="24"/>
        </w:rPr>
        <w:t xml:space="preserve"> economic exposure decision and not a short-term hedge.</w:t>
      </w:r>
    </w:p>
    <w:p w14:paraId="3710214F" w14:textId="771E5E2A" w:rsidR="009E4036" w:rsidRDefault="007702AE" w:rsidP="009E4036">
      <w:pPr>
        <w:ind w:left="720"/>
        <w:rPr>
          <w:rFonts w:ascii="Times New Roman" w:hAnsi="Times New Roman" w:cs="Times New Roman"/>
          <w:sz w:val="24"/>
          <w:szCs w:val="24"/>
        </w:rPr>
      </w:pPr>
      <w:r w:rsidRPr="007702AE">
        <w:rPr>
          <w:rFonts w:ascii="Times New Roman" w:hAnsi="Times New Roman" w:cs="Times New Roman"/>
          <w:sz w:val="24"/>
          <w:szCs w:val="24"/>
        </w:rPr>
        <w:t xml:space="preserve">Overall, these measures </w:t>
      </w:r>
      <w:r>
        <w:rPr>
          <w:rFonts w:ascii="Times New Roman" w:hAnsi="Times New Roman" w:cs="Times New Roman"/>
          <w:sz w:val="24"/>
          <w:szCs w:val="24"/>
        </w:rPr>
        <w:t>reduce the exposure by design rather than the use of financial instruments and are particularly valuable where volumes are uncertain and competitiveness matters.</w:t>
      </w:r>
    </w:p>
    <w:p w14:paraId="4306CE1F" w14:textId="77777777" w:rsidR="009E4036" w:rsidRPr="009E4036" w:rsidRDefault="009E4036" w:rsidP="009E4036">
      <w:pPr>
        <w:ind w:left="720"/>
        <w:rPr>
          <w:rFonts w:ascii="Times New Roman" w:hAnsi="Times New Roman" w:cs="Times New Roman"/>
          <w:sz w:val="24"/>
          <w:szCs w:val="24"/>
        </w:rPr>
      </w:pPr>
    </w:p>
    <w:p w14:paraId="3D6619D6" w14:textId="26E5CDC7" w:rsidR="007944D8" w:rsidRDefault="007702AE">
      <w:pPr>
        <w:rPr>
          <w:rFonts w:ascii="Times New Roman" w:hAnsi="Times New Roman" w:cs="Times New Roman"/>
          <w:b/>
          <w:bCs/>
          <w:sz w:val="24"/>
          <w:szCs w:val="24"/>
        </w:rPr>
      </w:pPr>
      <w:r>
        <w:rPr>
          <w:rFonts w:ascii="Times New Roman" w:hAnsi="Times New Roman" w:cs="Times New Roman"/>
          <w:b/>
          <w:bCs/>
          <w:sz w:val="24"/>
          <w:szCs w:val="24"/>
        </w:rPr>
        <w:t>Question 1b)</w:t>
      </w:r>
    </w:p>
    <w:p w14:paraId="72C4F355" w14:textId="53D44DC9" w:rsidR="007702AE" w:rsidRDefault="007702AE">
      <w:pPr>
        <w:rPr>
          <w:rFonts w:ascii="Times New Roman" w:hAnsi="Times New Roman" w:cs="Times New Roman"/>
          <w:sz w:val="24"/>
          <w:szCs w:val="24"/>
        </w:rPr>
      </w:pPr>
      <w:r>
        <w:rPr>
          <w:rFonts w:ascii="Times New Roman" w:hAnsi="Times New Roman" w:cs="Times New Roman"/>
          <w:sz w:val="24"/>
          <w:szCs w:val="24"/>
        </w:rPr>
        <w:t>RODGERS Plc uses forward contracts to hedge USD sales and EUR purchases with the following policies:</w:t>
      </w:r>
    </w:p>
    <w:p w14:paraId="5A9C682E" w14:textId="0EEC307D" w:rsidR="007702AE" w:rsidRDefault="002C4C17" w:rsidP="007702AE">
      <w:pPr>
        <w:pStyle w:val="ListParagraph"/>
        <w:numPr>
          <w:ilvl w:val="0"/>
          <w:numId w:val="25"/>
        </w:numPr>
        <w:rPr>
          <w:rFonts w:ascii="Times New Roman" w:hAnsi="Times New Roman" w:cs="Times New Roman"/>
          <w:sz w:val="24"/>
          <w:szCs w:val="24"/>
        </w:rPr>
      </w:pPr>
      <w:r>
        <w:rPr>
          <w:rFonts w:ascii="Times New Roman" w:hAnsi="Times New Roman" w:cs="Times New Roman"/>
          <w:sz w:val="24"/>
          <w:szCs w:val="24"/>
        </w:rPr>
        <w:t xml:space="preserve">Sales (USD receipts): 100% hedge for first 6-months and 75% hedge for the following 6 months executed in 6-month blocks at the 6-month forward rate. </w:t>
      </w:r>
    </w:p>
    <w:p w14:paraId="065101D5" w14:textId="30393528" w:rsidR="002C4C17" w:rsidRDefault="002C4C17" w:rsidP="007702AE">
      <w:pPr>
        <w:pStyle w:val="ListParagraph"/>
        <w:numPr>
          <w:ilvl w:val="0"/>
          <w:numId w:val="25"/>
        </w:numPr>
        <w:rPr>
          <w:rFonts w:ascii="Times New Roman" w:hAnsi="Times New Roman" w:cs="Times New Roman"/>
          <w:sz w:val="24"/>
          <w:szCs w:val="24"/>
        </w:rPr>
      </w:pPr>
      <w:r>
        <w:rPr>
          <w:rFonts w:ascii="Times New Roman" w:hAnsi="Times New Roman" w:cs="Times New Roman"/>
          <w:sz w:val="24"/>
          <w:szCs w:val="24"/>
        </w:rPr>
        <w:t>Purchases (EUR payables): committed exposure hedged at 100%, rolling every 3 months.</w:t>
      </w:r>
    </w:p>
    <w:p w14:paraId="0C88F00F" w14:textId="691E5FA9" w:rsidR="00A8530C" w:rsidRDefault="002C4C17" w:rsidP="002C4C17">
      <w:pPr>
        <w:rPr>
          <w:rFonts w:ascii="Times New Roman" w:hAnsi="Times New Roman" w:cs="Times New Roman"/>
          <w:sz w:val="24"/>
          <w:szCs w:val="24"/>
        </w:rPr>
      </w:pPr>
      <w:r>
        <w:rPr>
          <w:rFonts w:ascii="Times New Roman" w:hAnsi="Times New Roman" w:cs="Times New Roman"/>
          <w:sz w:val="24"/>
          <w:szCs w:val="24"/>
        </w:rPr>
        <w:t xml:space="preserve">There are clear strengths </w:t>
      </w:r>
      <w:r w:rsidR="00A83DBB">
        <w:rPr>
          <w:rFonts w:ascii="Times New Roman" w:hAnsi="Times New Roman" w:cs="Times New Roman"/>
          <w:sz w:val="24"/>
          <w:szCs w:val="24"/>
        </w:rPr>
        <w:t>but there are also</w:t>
      </w:r>
      <w:r>
        <w:rPr>
          <w:rFonts w:ascii="Times New Roman" w:hAnsi="Times New Roman" w:cs="Times New Roman"/>
          <w:sz w:val="24"/>
          <w:szCs w:val="24"/>
        </w:rPr>
        <w:t xml:space="preserve"> weaknesses of this strategy </w:t>
      </w:r>
      <w:r w:rsidR="00A83DBB">
        <w:rPr>
          <w:rFonts w:ascii="Times New Roman" w:hAnsi="Times New Roman" w:cs="Times New Roman"/>
          <w:sz w:val="24"/>
          <w:szCs w:val="24"/>
        </w:rPr>
        <w:t>mainly around instrument fit versus uncertainty of forecast sales, timing alignment and omission of MYR.</w:t>
      </w:r>
    </w:p>
    <w:p w14:paraId="01969FC1" w14:textId="75678CF8" w:rsidR="00A8530C" w:rsidRPr="00A8530C" w:rsidRDefault="00A8530C" w:rsidP="002C4C17">
      <w:pPr>
        <w:rPr>
          <w:rFonts w:ascii="Times New Roman" w:hAnsi="Times New Roman" w:cs="Times New Roman"/>
          <w:b/>
          <w:bCs/>
          <w:sz w:val="24"/>
          <w:szCs w:val="24"/>
        </w:rPr>
      </w:pPr>
      <w:r w:rsidRPr="00A8530C">
        <w:rPr>
          <w:rFonts w:ascii="Times New Roman" w:hAnsi="Times New Roman" w:cs="Times New Roman"/>
          <w:b/>
          <w:bCs/>
          <w:sz w:val="24"/>
          <w:szCs w:val="24"/>
        </w:rPr>
        <w:t>Strengths</w:t>
      </w:r>
      <w:r w:rsidR="008A4CFC">
        <w:rPr>
          <w:rFonts w:ascii="Times New Roman" w:hAnsi="Times New Roman" w:cs="Times New Roman"/>
          <w:b/>
          <w:bCs/>
          <w:sz w:val="24"/>
          <w:szCs w:val="24"/>
        </w:rPr>
        <w:t>:</w:t>
      </w:r>
    </w:p>
    <w:p w14:paraId="7BE352A0" w14:textId="01A76A8C" w:rsidR="002C4C17" w:rsidRDefault="00A83DBB" w:rsidP="00A8530C">
      <w:pPr>
        <w:pStyle w:val="ListParagraph"/>
        <w:numPr>
          <w:ilvl w:val="0"/>
          <w:numId w:val="26"/>
        </w:numPr>
        <w:rPr>
          <w:rFonts w:ascii="Times New Roman" w:hAnsi="Times New Roman" w:cs="Times New Roman"/>
          <w:sz w:val="24"/>
          <w:szCs w:val="24"/>
        </w:rPr>
      </w:pPr>
      <w:r w:rsidRPr="00A83DBB">
        <w:rPr>
          <w:rFonts w:ascii="Times New Roman" w:hAnsi="Times New Roman" w:cs="Times New Roman"/>
          <w:b/>
          <w:bCs/>
          <w:sz w:val="24"/>
          <w:szCs w:val="24"/>
        </w:rPr>
        <w:t>Clear, rule-based policy:</w:t>
      </w:r>
      <w:r>
        <w:rPr>
          <w:rFonts w:ascii="Times New Roman" w:hAnsi="Times New Roman" w:cs="Times New Roman"/>
          <w:sz w:val="24"/>
          <w:szCs w:val="24"/>
        </w:rPr>
        <w:t xml:space="preserve"> The hedge ratio and horizons are explicit, which supports consistency, budgeting and control rather than ad hoc hedging decisions.</w:t>
      </w:r>
    </w:p>
    <w:p w14:paraId="319A2845" w14:textId="2B4975C2" w:rsidR="00A83DBB" w:rsidRPr="00B54AD1" w:rsidRDefault="00A83DBB" w:rsidP="00A8530C">
      <w:pPr>
        <w:pStyle w:val="ListParagraph"/>
        <w:numPr>
          <w:ilvl w:val="0"/>
          <w:numId w:val="26"/>
        </w:numPr>
        <w:rPr>
          <w:rFonts w:ascii="Times New Roman" w:hAnsi="Times New Roman" w:cs="Times New Roman"/>
          <w:b/>
          <w:bCs/>
          <w:sz w:val="24"/>
          <w:szCs w:val="24"/>
        </w:rPr>
      </w:pPr>
      <w:r w:rsidRPr="00A83DBB">
        <w:rPr>
          <w:rFonts w:ascii="Times New Roman" w:hAnsi="Times New Roman" w:cs="Times New Roman"/>
          <w:b/>
          <w:bCs/>
          <w:sz w:val="24"/>
          <w:szCs w:val="24"/>
        </w:rPr>
        <w:t>Recognition of forecast uncertainty:</w:t>
      </w:r>
      <w:r>
        <w:rPr>
          <w:rFonts w:ascii="Times New Roman" w:hAnsi="Times New Roman" w:cs="Times New Roman"/>
          <w:b/>
          <w:bCs/>
          <w:sz w:val="24"/>
          <w:szCs w:val="24"/>
        </w:rPr>
        <w:t xml:space="preserve"> </w:t>
      </w:r>
      <w:r>
        <w:rPr>
          <w:rFonts w:ascii="Times New Roman" w:hAnsi="Times New Roman" w:cs="Times New Roman"/>
          <w:sz w:val="24"/>
          <w:szCs w:val="24"/>
        </w:rPr>
        <w:t xml:space="preserve">Hedging 100% of the nearest term sales but reducing coverage later </w:t>
      </w:r>
      <w:r w:rsidR="00B54AD1">
        <w:rPr>
          <w:rFonts w:ascii="Times New Roman" w:hAnsi="Times New Roman" w:cs="Times New Roman"/>
          <w:sz w:val="24"/>
          <w:szCs w:val="24"/>
        </w:rPr>
        <w:t>considers</w:t>
      </w:r>
      <w:r>
        <w:rPr>
          <w:rFonts w:ascii="Times New Roman" w:hAnsi="Times New Roman" w:cs="Times New Roman"/>
          <w:sz w:val="24"/>
          <w:szCs w:val="24"/>
        </w:rPr>
        <w:t xml:space="preserve"> that forecast uncertainty increases at further time horizons. Reducing the hedge ratio in the 2</w:t>
      </w:r>
      <w:r w:rsidRPr="00A83DBB">
        <w:rPr>
          <w:rFonts w:ascii="Times New Roman" w:hAnsi="Times New Roman" w:cs="Times New Roman"/>
          <w:sz w:val="24"/>
          <w:szCs w:val="24"/>
          <w:vertAlign w:val="superscript"/>
        </w:rPr>
        <w:t>nd</w:t>
      </w:r>
      <w:r>
        <w:rPr>
          <w:rFonts w:ascii="Times New Roman" w:hAnsi="Times New Roman" w:cs="Times New Roman"/>
          <w:sz w:val="24"/>
          <w:szCs w:val="24"/>
        </w:rPr>
        <w:t xml:space="preserve"> half reduce</w:t>
      </w:r>
      <w:r w:rsidR="00B54AD1">
        <w:rPr>
          <w:rFonts w:ascii="Times New Roman" w:hAnsi="Times New Roman" w:cs="Times New Roman"/>
          <w:sz w:val="24"/>
          <w:szCs w:val="24"/>
        </w:rPr>
        <w:t>s the risk of hedging revenues that do not materialise.</w:t>
      </w:r>
    </w:p>
    <w:p w14:paraId="34753917" w14:textId="3F19E2DF" w:rsidR="00B54AD1" w:rsidRPr="00B54AD1" w:rsidRDefault="00B54AD1" w:rsidP="00A8530C">
      <w:pPr>
        <w:pStyle w:val="ListParagraph"/>
        <w:numPr>
          <w:ilvl w:val="0"/>
          <w:numId w:val="26"/>
        </w:numPr>
        <w:rPr>
          <w:rFonts w:ascii="Times New Roman" w:hAnsi="Times New Roman" w:cs="Times New Roman"/>
          <w:b/>
          <w:bCs/>
          <w:sz w:val="24"/>
          <w:szCs w:val="24"/>
        </w:rPr>
      </w:pPr>
      <w:r>
        <w:rPr>
          <w:rFonts w:ascii="Times New Roman" w:hAnsi="Times New Roman" w:cs="Times New Roman"/>
          <w:b/>
          <w:bCs/>
          <w:sz w:val="24"/>
          <w:szCs w:val="24"/>
        </w:rPr>
        <w:t xml:space="preserve">Appropriate handling of EUR purchases: </w:t>
      </w:r>
      <w:r>
        <w:rPr>
          <w:rFonts w:ascii="Times New Roman" w:hAnsi="Times New Roman" w:cs="Times New Roman"/>
          <w:sz w:val="24"/>
          <w:szCs w:val="24"/>
        </w:rPr>
        <w:t>For purchases, the exposures are closer to “known” once procurement is committed (especially given the 3-month lead time). Rolling 3-month forwards to cover the EUR payables is a strong match for the transactional exposure as it locks in GBP input costs.</w:t>
      </w:r>
    </w:p>
    <w:p w14:paraId="1FA232F6" w14:textId="59FA60FC" w:rsidR="00B54AD1" w:rsidRPr="008A4CFC" w:rsidRDefault="00B54AD1" w:rsidP="00A8530C">
      <w:pPr>
        <w:pStyle w:val="ListParagraph"/>
        <w:numPr>
          <w:ilvl w:val="0"/>
          <w:numId w:val="26"/>
        </w:numPr>
        <w:rPr>
          <w:rFonts w:ascii="Times New Roman" w:hAnsi="Times New Roman" w:cs="Times New Roman"/>
          <w:b/>
          <w:bCs/>
          <w:sz w:val="24"/>
          <w:szCs w:val="24"/>
        </w:rPr>
      </w:pPr>
      <w:r>
        <w:rPr>
          <w:rFonts w:ascii="Times New Roman" w:hAnsi="Times New Roman" w:cs="Times New Roman"/>
          <w:b/>
          <w:bCs/>
          <w:sz w:val="24"/>
          <w:szCs w:val="24"/>
        </w:rPr>
        <w:t xml:space="preserve">Operational simplicity: </w:t>
      </w:r>
      <w:r>
        <w:rPr>
          <w:rFonts w:ascii="Times New Roman" w:hAnsi="Times New Roman" w:cs="Times New Roman"/>
          <w:sz w:val="24"/>
          <w:szCs w:val="24"/>
        </w:rPr>
        <w:t xml:space="preserve">Forwards are straightforward to execute and </w:t>
      </w:r>
      <w:r w:rsidR="008A4CFC">
        <w:rPr>
          <w:rFonts w:ascii="Times New Roman" w:hAnsi="Times New Roman" w:cs="Times New Roman"/>
          <w:sz w:val="24"/>
          <w:szCs w:val="24"/>
        </w:rPr>
        <w:t>manage, and they provide certainty over hedged cash flows, which is valuable for planning and performance measurement.</w:t>
      </w:r>
    </w:p>
    <w:p w14:paraId="00BB2004" w14:textId="5EA05A17" w:rsidR="008A4CFC" w:rsidRDefault="008A4CFC" w:rsidP="008A4CFC">
      <w:pPr>
        <w:rPr>
          <w:rFonts w:ascii="Times New Roman" w:hAnsi="Times New Roman" w:cs="Times New Roman"/>
          <w:b/>
          <w:bCs/>
          <w:sz w:val="24"/>
          <w:szCs w:val="24"/>
        </w:rPr>
      </w:pPr>
      <w:r>
        <w:rPr>
          <w:rFonts w:ascii="Times New Roman" w:hAnsi="Times New Roman" w:cs="Times New Roman"/>
          <w:b/>
          <w:bCs/>
          <w:sz w:val="24"/>
          <w:szCs w:val="24"/>
        </w:rPr>
        <w:t>Weaknesses and Risks:</w:t>
      </w:r>
    </w:p>
    <w:p w14:paraId="304D0E14" w14:textId="24855B35" w:rsidR="008A4CFC" w:rsidRPr="00384B80" w:rsidRDefault="008A4CFC" w:rsidP="008A4CFC">
      <w:pPr>
        <w:pStyle w:val="ListParagraph"/>
        <w:numPr>
          <w:ilvl w:val="0"/>
          <w:numId w:val="27"/>
        </w:numPr>
        <w:rPr>
          <w:rFonts w:ascii="Times New Roman" w:hAnsi="Times New Roman" w:cs="Times New Roman"/>
          <w:b/>
          <w:bCs/>
          <w:sz w:val="24"/>
          <w:szCs w:val="24"/>
        </w:rPr>
      </w:pPr>
      <w:r>
        <w:rPr>
          <w:rFonts w:ascii="Times New Roman" w:hAnsi="Times New Roman" w:cs="Times New Roman"/>
          <w:b/>
          <w:bCs/>
          <w:sz w:val="24"/>
          <w:szCs w:val="24"/>
        </w:rPr>
        <w:t xml:space="preserve">Forwards are inflexible for uncertain USD sales volumes: </w:t>
      </w:r>
      <w:r>
        <w:rPr>
          <w:rFonts w:ascii="Times New Roman" w:hAnsi="Times New Roman" w:cs="Times New Roman"/>
          <w:sz w:val="24"/>
          <w:szCs w:val="24"/>
        </w:rPr>
        <w:t>A forward creates an obligation. If actual USD sales fall below forecasts (competitive pressure, demand shock, lost contracts), RODGERS Plc can become over hedged and may need to close or roll contracts, cementing bid-ask costs and potentially creating P&amp;L impact. This is the main structural weakness of using forwards</w:t>
      </w:r>
      <w:r w:rsidR="00384B80">
        <w:rPr>
          <w:rFonts w:ascii="Times New Roman" w:hAnsi="Times New Roman" w:cs="Times New Roman"/>
          <w:sz w:val="24"/>
          <w:szCs w:val="24"/>
        </w:rPr>
        <w:t xml:space="preserve"> against forecast revenues rather than matching contracted receipt obligations exactly.</w:t>
      </w:r>
    </w:p>
    <w:p w14:paraId="0CBAC6DF" w14:textId="138EC45F" w:rsidR="00384B80" w:rsidRPr="00CF0073" w:rsidRDefault="00384B80" w:rsidP="008A4CFC">
      <w:pPr>
        <w:pStyle w:val="ListParagraph"/>
        <w:numPr>
          <w:ilvl w:val="0"/>
          <w:numId w:val="27"/>
        </w:numPr>
        <w:rPr>
          <w:rFonts w:ascii="Times New Roman" w:hAnsi="Times New Roman" w:cs="Times New Roman"/>
          <w:b/>
          <w:bCs/>
          <w:sz w:val="24"/>
          <w:szCs w:val="24"/>
        </w:rPr>
      </w:pPr>
      <w:r>
        <w:rPr>
          <w:rFonts w:ascii="Times New Roman" w:hAnsi="Times New Roman" w:cs="Times New Roman"/>
          <w:b/>
          <w:bCs/>
          <w:sz w:val="24"/>
          <w:szCs w:val="24"/>
        </w:rPr>
        <w:lastRenderedPageBreak/>
        <w:t xml:space="preserve">Timing mismatch risk from hedging in 6-month blocks: </w:t>
      </w:r>
      <w:r>
        <w:rPr>
          <w:rFonts w:ascii="Times New Roman" w:hAnsi="Times New Roman" w:cs="Times New Roman"/>
          <w:sz w:val="24"/>
          <w:szCs w:val="24"/>
        </w:rPr>
        <w:t>Sales are stated as spread evenly throughout the year, implying monthly or continuous receipts. A single 6-month forward maturity does not naturally match a stream of cashflow so there is residual exposure and cash management implications</w:t>
      </w:r>
      <w:r w:rsidR="00CF0073">
        <w:rPr>
          <w:rFonts w:ascii="Times New Roman" w:hAnsi="Times New Roman" w:cs="Times New Roman"/>
          <w:sz w:val="24"/>
          <w:szCs w:val="24"/>
        </w:rPr>
        <w:t xml:space="preserve"> (when to convert interim USD receipts, how closely hedge aligns with settlement dates). A layered hedge (monthly/quarterly) would typically improve hedge effectiveness.</w:t>
      </w:r>
    </w:p>
    <w:p w14:paraId="745ACEE3" w14:textId="7D0FDBCF" w:rsidR="00CF0073" w:rsidRPr="00CF0073" w:rsidRDefault="00CF0073" w:rsidP="008A4CFC">
      <w:pPr>
        <w:pStyle w:val="ListParagraph"/>
        <w:numPr>
          <w:ilvl w:val="0"/>
          <w:numId w:val="27"/>
        </w:numPr>
        <w:rPr>
          <w:rFonts w:ascii="Times New Roman" w:hAnsi="Times New Roman" w:cs="Times New Roman"/>
          <w:b/>
          <w:bCs/>
          <w:sz w:val="24"/>
          <w:szCs w:val="24"/>
        </w:rPr>
      </w:pPr>
      <w:r>
        <w:rPr>
          <w:rFonts w:ascii="Times New Roman" w:hAnsi="Times New Roman" w:cs="Times New Roman"/>
          <w:b/>
          <w:bCs/>
          <w:sz w:val="24"/>
          <w:szCs w:val="24"/>
        </w:rPr>
        <w:t xml:space="preserve">Opportunity loss under bank forecast: </w:t>
      </w:r>
      <w:r>
        <w:rPr>
          <w:rFonts w:ascii="Times New Roman" w:hAnsi="Times New Roman" w:cs="Times New Roman"/>
          <w:sz w:val="24"/>
          <w:szCs w:val="24"/>
        </w:rPr>
        <w:t>If GBP weakens vs USD (as forecast), selling USD forward locks in a rate and sacrifices the upside of converting at a more favourable future spot. Similarly, if GBP strengthens vs EUR, buying EUR forward can lock in a worse rate than would have occurred at settlement. This isn’t necessarily “wrong” if the objective is certainty, but it must be mentioned and recognised as the cost of removing uncertainty.</w:t>
      </w:r>
    </w:p>
    <w:p w14:paraId="4F6714D1" w14:textId="1B57A72F" w:rsidR="00CF0073" w:rsidRPr="008A421F" w:rsidRDefault="00CF0073" w:rsidP="008A4CFC">
      <w:pPr>
        <w:pStyle w:val="ListParagraph"/>
        <w:numPr>
          <w:ilvl w:val="0"/>
          <w:numId w:val="27"/>
        </w:numPr>
        <w:rPr>
          <w:rFonts w:ascii="Times New Roman" w:hAnsi="Times New Roman" w:cs="Times New Roman"/>
          <w:b/>
          <w:bCs/>
          <w:sz w:val="24"/>
          <w:szCs w:val="24"/>
        </w:rPr>
      </w:pPr>
      <w:r>
        <w:rPr>
          <w:rFonts w:ascii="Times New Roman" w:hAnsi="Times New Roman" w:cs="Times New Roman"/>
          <w:b/>
          <w:bCs/>
          <w:sz w:val="24"/>
          <w:szCs w:val="24"/>
        </w:rPr>
        <w:t xml:space="preserve">No coverage of Malaysia/MYR exposures: </w:t>
      </w:r>
      <w:r>
        <w:rPr>
          <w:rFonts w:ascii="Times New Roman" w:hAnsi="Times New Roman" w:cs="Times New Roman"/>
          <w:sz w:val="24"/>
          <w:szCs w:val="24"/>
        </w:rPr>
        <w:t>The policy focuses on USD and EUR transaction exposure and does not address any MYR exposure</w:t>
      </w:r>
      <w:r w:rsidR="008A421F">
        <w:rPr>
          <w:rFonts w:ascii="Times New Roman" w:hAnsi="Times New Roman" w:cs="Times New Roman"/>
          <w:sz w:val="24"/>
          <w:szCs w:val="24"/>
        </w:rPr>
        <w:t>. With translation exposure from the subsidiary or potential MYR transaction exposure for the planned Malaysian capex, MYR exposure is likely to become a more significant consideration and should be treated explicitly on the policy.</w:t>
      </w:r>
    </w:p>
    <w:p w14:paraId="7B15FB5B" w14:textId="36BE6B49" w:rsidR="008A421F" w:rsidRDefault="008A421F" w:rsidP="008A421F">
      <w:pPr>
        <w:rPr>
          <w:rFonts w:ascii="Times New Roman" w:hAnsi="Times New Roman" w:cs="Times New Roman"/>
          <w:sz w:val="24"/>
          <w:szCs w:val="24"/>
        </w:rPr>
      </w:pPr>
      <w:r>
        <w:rPr>
          <w:rFonts w:ascii="Times New Roman" w:hAnsi="Times New Roman" w:cs="Times New Roman"/>
          <w:b/>
          <w:bCs/>
          <w:sz w:val="24"/>
          <w:szCs w:val="24"/>
        </w:rPr>
        <w:t>Overall evaluation and improvements</w:t>
      </w:r>
      <w:r>
        <w:rPr>
          <w:rFonts w:ascii="Times New Roman" w:hAnsi="Times New Roman" w:cs="Times New Roman"/>
          <w:sz w:val="24"/>
          <w:szCs w:val="24"/>
        </w:rPr>
        <w:t xml:space="preserve"> – </w:t>
      </w:r>
      <w:r w:rsidR="007F5086">
        <w:rPr>
          <w:rFonts w:ascii="Times New Roman" w:hAnsi="Times New Roman" w:cs="Times New Roman"/>
          <w:sz w:val="24"/>
          <w:szCs w:val="24"/>
        </w:rPr>
        <w:t xml:space="preserve">Overall the hedging strategy for RODGERS Plc is </w:t>
      </w:r>
      <w:r w:rsidR="00650330">
        <w:rPr>
          <w:rFonts w:ascii="Times New Roman" w:hAnsi="Times New Roman" w:cs="Times New Roman"/>
          <w:sz w:val="24"/>
          <w:szCs w:val="24"/>
        </w:rPr>
        <w:t xml:space="preserve">strongest on EUR purchases: exposures are described as committed and naturally align on the 3-month cycle to give GBP cost certainty. The policy for USD sales is weaker as the USD 1,200m exposure is presented as “spread equally over the year”, which is more indicative of forecast revenues as opposed to contracted </w:t>
      </w:r>
      <w:r w:rsidR="009C4CE3">
        <w:rPr>
          <w:rFonts w:ascii="Times New Roman" w:hAnsi="Times New Roman" w:cs="Times New Roman"/>
          <w:sz w:val="24"/>
          <w:szCs w:val="24"/>
        </w:rPr>
        <w:t>receivables</w:t>
      </w:r>
      <w:r w:rsidR="00650330">
        <w:rPr>
          <w:rFonts w:ascii="Times New Roman" w:hAnsi="Times New Roman" w:cs="Times New Roman"/>
          <w:sz w:val="24"/>
          <w:szCs w:val="24"/>
        </w:rPr>
        <w:t xml:space="preserve">. Using forwards against forecast volumes risk over hedging if sales under-deliver, creasing closing costs on the contracts and unintended speculation. Hedging “the whole 6-months” also creates a timing mismatch versus a monthly receipt stream. </w:t>
      </w:r>
      <w:r w:rsidR="009C4CE3">
        <w:rPr>
          <w:rFonts w:ascii="Times New Roman" w:hAnsi="Times New Roman" w:cs="Times New Roman"/>
          <w:sz w:val="24"/>
          <w:szCs w:val="24"/>
        </w:rPr>
        <w:t>Finally,</w:t>
      </w:r>
      <w:r w:rsidR="00650330">
        <w:rPr>
          <w:rFonts w:ascii="Times New Roman" w:hAnsi="Times New Roman" w:cs="Times New Roman"/>
          <w:sz w:val="24"/>
          <w:szCs w:val="24"/>
        </w:rPr>
        <w:t xml:space="preserve"> the policy omits MYR entirely, despite plans </w:t>
      </w:r>
      <w:r w:rsidR="009C4CE3">
        <w:rPr>
          <w:rFonts w:ascii="Times New Roman" w:hAnsi="Times New Roman" w:cs="Times New Roman"/>
          <w:sz w:val="24"/>
          <w:szCs w:val="24"/>
        </w:rPr>
        <w:t>to expand Malaysian production plant and investment, with translation and potential capex exposure becoming material.</w:t>
      </w:r>
    </w:p>
    <w:p w14:paraId="48ECEDE0" w14:textId="62DD97F8" w:rsidR="00624612" w:rsidRDefault="009C4CE3" w:rsidP="008A421F">
      <w:pPr>
        <w:rPr>
          <w:rFonts w:ascii="Times New Roman" w:hAnsi="Times New Roman" w:cs="Times New Roman"/>
          <w:sz w:val="24"/>
          <w:szCs w:val="24"/>
        </w:rPr>
      </w:pPr>
      <w:r>
        <w:rPr>
          <w:rFonts w:ascii="Times New Roman" w:hAnsi="Times New Roman" w:cs="Times New Roman"/>
          <w:sz w:val="24"/>
          <w:szCs w:val="24"/>
        </w:rPr>
        <w:t>For forecasted USD receivables, hedging only the high confidence receipts with forwards and using options/collars for uncertain volumes</w:t>
      </w:r>
      <w:r w:rsidR="00624612">
        <w:rPr>
          <w:rFonts w:ascii="Times New Roman" w:hAnsi="Times New Roman" w:cs="Times New Roman"/>
          <w:sz w:val="24"/>
          <w:szCs w:val="24"/>
        </w:rPr>
        <w:t xml:space="preserve"> and m</w:t>
      </w:r>
      <w:r>
        <w:rPr>
          <w:rFonts w:ascii="Times New Roman" w:hAnsi="Times New Roman" w:cs="Times New Roman"/>
          <w:sz w:val="24"/>
          <w:szCs w:val="24"/>
        </w:rPr>
        <w:t>oving to layered monthly /quarterly maturities to match</w:t>
      </w:r>
      <w:r w:rsidR="00624612">
        <w:rPr>
          <w:rFonts w:ascii="Times New Roman" w:hAnsi="Times New Roman" w:cs="Times New Roman"/>
          <w:sz w:val="24"/>
          <w:szCs w:val="24"/>
        </w:rPr>
        <w:t xml:space="preserve"> cash flow timings </w:t>
      </w:r>
      <w:r w:rsidR="00624612">
        <w:rPr>
          <w:rFonts w:ascii="Times New Roman" w:hAnsi="Times New Roman" w:cs="Times New Roman"/>
          <w:sz w:val="24"/>
          <w:szCs w:val="24"/>
        </w:rPr>
        <w:t>could improve the reliability of the policy from over hedging situations.</w:t>
      </w:r>
      <w:r w:rsidR="00624612">
        <w:rPr>
          <w:rFonts w:ascii="Times New Roman" w:hAnsi="Times New Roman" w:cs="Times New Roman"/>
          <w:b/>
          <w:bCs/>
          <w:sz w:val="24"/>
          <w:szCs w:val="24"/>
        </w:rPr>
        <w:t xml:space="preserve"> </w:t>
      </w:r>
      <w:r w:rsidR="00624612">
        <w:rPr>
          <w:rFonts w:ascii="Times New Roman" w:hAnsi="Times New Roman" w:cs="Times New Roman"/>
          <w:sz w:val="24"/>
          <w:szCs w:val="24"/>
        </w:rPr>
        <w:t xml:space="preserve">Adding MYR to the policy </w:t>
      </w:r>
      <w:r w:rsidR="007621A0">
        <w:rPr>
          <w:rFonts w:ascii="Times New Roman" w:hAnsi="Times New Roman" w:cs="Times New Roman"/>
          <w:sz w:val="24"/>
          <w:szCs w:val="24"/>
        </w:rPr>
        <w:t xml:space="preserve">ahead of the production shift </w:t>
      </w:r>
      <w:r w:rsidR="0058579F">
        <w:rPr>
          <w:rFonts w:ascii="Times New Roman" w:hAnsi="Times New Roman" w:cs="Times New Roman"/>
          <w:sz w:val="24"/>
          <w:szCs w:val="24"/>
        </w:rPr>
        <w:t>should</w:t>
      </w:r>
      <w:r w:rsidR="00624612">
        <w:rPr>
          <w:rFonts w:ascii="Times New Roman" w:hAnsi="Times New Roman" w:cs="Times New Roman"/>
          <w:sz w:val="24"/>
          <w:szCs w:val="24"/>
        </w:rPr>
        <w:t xml:space="preserve"> include hedging committed capex and </w:t>
      </w:r>
      <w:r w:rsidR="007621A0">
        <w:rPr>
          <w:rFonts w:ascii="Times New Roman" w:hAnsi="Times New Roman" w:cs="Times New Roman"/>
          <w:sz w:val="24"/>
          <w:szCs w:val="24"/>
        </w:rPr>
        <w:t xml:space="preserve">define whether MYR translation exposure is actively managed or only monitored, and why. Strengthening the governance of the whole policy </w:t>
      </w:r>
      <w:r w:rsidR="0058579F">
        <w:rPr>
          <w:rFonts w:ascii="Times New Roman" w:hAnsi="Times New Roman" w:cs="Times New Roman"/>
          <w:sz w:val="24"/>
          <w:szCs w:val="24"/>
        </w:rPr>
        <w:t>to establish forecast refresh cycles, implement hedge ratio bands and adding explicit over hedge limits improves the quality of the risk management.</w:t>
      </w:r>
    </w:p>
    <w:p w14:paraId="59A68CDD" w14:textId="77777777" w:rsidR="0058579F" w:rsidRDefault="0058579F" w:rsidP="008A421F">
      <w:pPr>
        <w:rPr>
          <w:rFonts w:ascii="Times New Roman" w:hAnsi="Times New Roman" w:cs="Times New Roman"/>
          <w:sz w:val="24"/>
          <w:szCs w:val="24"/>
        </w:rPr>
      </w:pPr>
    </w:p>
    <w:p w14:paraId="1DCDFD9B" w14:textId="117F50A1" w:rsidR="0058579F" w:rsidRPr="0058579F" w:rsidRDefault="0058579F" w:rsidP="008A421F">
      <w:pPr>
        <w:rPr>
          <w:rFonts w:ascii="Times New Roman" w:hAnsi="Times New Roman" w:cs="Times New Roman"/>
          <w:b/>
          <w:bCs/>
          <w:sz w:val="24"/>
          <w:szCs w:val="24"/>
        </w:rPr>
      </w:pPr>
      <w:r w:rsidRPr="0058579F">
        <w:rPr>
          <w:rFonts w:ascii="Times New Roman" w:hAnsi="Times New Roman" w:cs="Times New Roman"/>
          <w:b/>
          <w:bCs/>
          <w:sz w:val="24"/>
          <w:szCs w:val="24"/>
        </w:rPr>
        <w:t>Question 2a)</w:t>
      </w:r>
    </w:p>
    <w:p w14:paraId="5D74536E" w14:textId="77777777" w:rsidR="00624612" w:rsidRDefault="00624612" w:rsidP="008A421F">
      <w:pPr>
        <w:rPr>
          <w:rFonts w:ascii="Times New Roman" w:hAnsi="Times New Roman" w:cs="Times New Roman"/>
          <w:sz w:val="24"/>
          <w:szCs w:val="24"/>
        </w:rPr>
      </w:pPr>
    </w:p>
    <w:p w14:paraId="7E978FEF" w14:textId="77777777" w:rsidR="00624612" w:rsidRDefault="00624612" w:rsidP="008A421F">
      <w:pPr>
        <w:rPr>
          <w:rFonts w:ascii="Times New Roman" w:hAnsi="Times New Roman" w:cs="Times New Roman"/>
          <w:sz w:val="24"/>
          <w:szCs w:val="24"/>
        </w:rPr>
      </w:pPr>
    </w:p>
    <w:p w14:paraId="17CAF82B" w14:textId="52B18065" w:rsidR="009C4CE3" w:rsidRPr="008A421F" w:rsidRDefault="009C4CE3" w:rsidP="008A421F">
      <w:pPr>
        <w:rPr>
          <w:rFonts w:ascii="Times New Roman" w:hAnsi="Times New Roman" w:cs="Times New Roman"/>
          <w:sz w:val="24"/>
          <w:szCs w:val="24"/>
        </w:rPr>
      </w:pPr>
      <w:r>
        <w:rPr>
          <w:rFonts w:ascii="Times New Roman" w:hAnsi="Times New Roman" w:cs="Times New Roman"/>
          <w:sz w:val="24"/>
          <w:szCs w:val="24"/>
        </w:rPr>
        <w:t xml:space="preserve"> </w:t>
      </w:r>
    </w:p>
    <w:p w14:paraId="5AD78F17" w14:textId="77777777" w:rsidR="00513905" w:rsidRDefault="00513905">
      <w:pPr>
        <w:rPr>
          <w:rFonts w:ascii="Times New Roman" w:hAnsi="Times New Roman" w:cs="Times New Roman"/>
          <w:b/>
          <w:bCs/>
          <w:sz w:val="24"/>
          <w:szCs w:val="24"/>
        </w:rPr>
      </w:pPr>
    </w:p>
    <w:p w14:paraId="05ACA0BC" w14:textId="77777777" w:rsidR="00513905" w:rsidRDefault="00513905">
      <w:pPr>
        <w:rPr>
          <w:rFonts w:ascii="Times New Roman" w:hAnsi="Times New Roman" w:cs="Times New Roman"/>
          <w:b/>
          <w:bCs/>
          <w:sz w:val="24"/>
          <w:szCs w:val="24"/>
        </w:rPr>
      </w:pPr>
    </w:p>
    <w:p w14:paraId="507C63F7" w14:textId="77777777" w:rsidR="00513905" w:rsidRDefault="00513905">
      <w:pPr>
        <w:rPr>
          <w:rFonts w:ascii="Times New Roman" w:hAnsi="Times New Roman" w:cs="Times New Roman"/>
          <w:b/>
          <w:bCs/>
          <w:sz w:val="24"/>
          <w:szCs w:val="24"/>
        </w:rPr>
      </w:pPr>
    </w:p>
    <w:p w14:paraId="458CC532" w14:textId="77777777" w:rsidR="00513905" w:rsidRDefault="00513905">
      <w:pPr>
        <w:rPr>
          <w:rFonts w:ascii="Times New Roman" w:hAnsi="Times New Roman" w:cs="Times New Roman"/>
          <w:b/>
          <w:bCs/>
          <w:sz w:val="24"/>
          <w:szCs w:val="24"/>
        </w:rPr>
      </w:pPr>
    </w:p>
    <w:p w14:paraId="5EDEA95D" w14:textId="77777777" w:rsidR="007944D8" w:rsidRDefault="007944D8">
      <w:pPr>
        <w:rPr>
          <w:rFonts w:ascii="Times New Roman" w:hAnsi="Times New Roman" w:cs="Times New Roman"/>
          <w:b/>
          <w:bCs/>
          <w:sz w:val="24"/>
          <w:szCs w:val="24"/>
        </w:rPr>
      </w:pPr>
    </w:p>
    <w:p w14:paraId="67587EBF" w14:textId="77777777" w:rsidR="007944D8" w:rsidRDefault="007944D8">
      <w:pPr>
        <w:rPr>
          <w:rFonts w:ascii="Times New Roman" w:hAnsi="Times New Roman" w:cs="Times New Roman"/>
          <w:b/>
          <w:bCs/>
          <w:sz w:val="24"/>
          <w:szCs w:val="24"/>
        </w:rPr>
      </w:pPr>
    </w:p>
    <w:p w14:paraId="21A80BAD" w14:textId="77777777" w:rsidR="007944D8" w:rsidRDefault="007944D8">
      <w:pPr>
        <w:rPr>
          <w:rFonts w:ascii="Times New Roman" w:hAnsi="Times New Roman" w:cs="Times New Roman"/>
          <w:b/>
          <w:bCs/>
          <w:sz w:val="24"/>
          <w:szCs w:val="24"/>
        </w:rPr>
      </w:pPr>
    </w:p>
    <w:p w14:paraId="6A4972C6" w14:textId="77777777" w:rsidR="007944D8" w:rsidRDefault="007944D8">
      <w:pPr>
        <w:rPr>
          <w:rFonts w:ascii="Times New Roman" w:hAnsi="Times New Roman" w:cs="Times New Roman"/>
          <w:b/>
          <w:bCs/>
          <w:sz w:val="24"/>
          <w:szCs w:val="24"/>
        </w:rPr>
      </w:pPr>
    </w:p>
    <w:p w14:paraId="7E3E61C4" w14:textId="00DAA7D9" w:rsidR="004F3082" w:rsidRPr="00C836C8" w:rsidRDefault="004F3082">
      <w:pPr>
        <w:rPr>
          <w:rFonts w:ascii="Times New Roman" w:hAnsi="Times New Roman" w:cs="Times New Roman"/>
          <w:b/>
          <w:bCs/>
          <w:sz w:val="24"/>
          <w:szCs w:val="24"/>
        </w:rPr>
      </w:pPr>
      <w:r w:rsidRPr="00C836C8">
        <w:rPr>
          <w:rFonts w:ascii="Times New Roman" w:hAnsi="Times New Roman" w:cs="Times New Roman"/>
          <w:b/>
          <w:bCs/>
          <w:sz w:val="24"/>
          <w:szCs w:val="24"/>
        </w:rPr>
        <w:t>Ques</w:t>
      </w:r>
      <w:r w:rsidR="00AF29FC" w:rsidRPr="00C836C8">
        <w:rPr>
          <w:rFonts w:ascii="Times New Roman" w:hAnsi="Times New Roman" w:cs="Times New Roman"/>
          <w:b/>
          <w:bCs/>
          <w:sz w:val="24"/>
          <w:szCs w:val="24"/>
        </w:rPr>
        <w:t>tion 10i)</w:t>
      </w:r>
      <w:r w:rsidR="000B4D64">
        <w:rPr>
          <w:rFonts w:ascii="Times New Roman" w:hAnsi="Times New Roman" w:cs="Times New Roman"/>
          <w:b/>
          <w:bCs/>
          <w:sz w:val="24"/>
          <w:szCs w:val="24"/>
        </w:rPr>
        <w:t xml:space="preserve"> Set up the hedge</w:t>
      </w:r>
    </w:p>
    <w:p w14:paraId="23E9385E" w14:textId="77777777" w:rsidR="00C32FD8" w:rsidRDefault="006E57FF" w:rsidP="00C32FD8">
      <w:pPr>
        <w:pStyle w:val="ListParagraph"/>
        <w:numPr>
          <w:ilvl w:val="0"/>
          <w:numId w:val="1"/>
        </w:numPr>
        <w:rPr>
          <w:rFonts w:ascii="Times New Roman" w:hAnsi="Times New Roman" w:cs="Times New Roman"/>
          <w:sz w:val="24"/>
          <w:szCs w:val="24"/>
        </w:rPr>
      </w:pPr>
      <w:r w:rsidRPr="00C836C8">
        <w:rPr>
          <w:rFonts w:ascii="Times New Roman" w:hAnsi="Times New Roman" w:cs="Times New Roman"/>
          <w:sz w:val="24"/>
          <w:szCs w:val="24"/>
        </w:rPr>
        <w:lastRenderedPageBreak/>
        <w:t>Investor start</w:t>
      </w:r>
      <w:r w:rsidR="00141E8E">
        <w:rPr>
          <w:rFonts w:ascii="Times New Roman" w:hAnsi="Times New Roman" w:cs="Times New Roman"/>
          <w:sz w:val="24"/>
          <w:szCs w:val="24"/>
        </w:rPr>
        <w:t>s</w:t>
      </w:r>
      <w:r w:rsidRPr="00C836C8">
        <w:rPr>
          <w:rFonts w:ascii="Times New Roman" w:hAnsi="Times New Roman" w:cs="Times New Roman"/>
          <w:sz w:val="24"/>
          <w:szCs w:val="24"/>
        </w:rPr>
        <w:t xml:space="preserve"> a 3-month deposit in 3 months (</w:t>
      </w:r>
      <w:r w:rsidRPr="00747FAC">
        <w:rPr>
          <w:rFonts w:ascii="Times New Roman" w:hAnsi="Times New Roman" w:cs="Times New Roman"/>
          <w:b/>
          <w:bCs/>
          <w:sz w:val="24"/>
          <w:szCs w:val="24"/>
        </w:rPr>
        <w:t>3v6</w:t>
      </w:r>
      <w:r w:rsidRPr="00C836C8">
        <w:rPr>
          <w:rFonts w:ascii="Times New Roman" w:hAnsi="Times New Roman" w:cs="Times New Roman"/>
          <w:sz w:val="24"/>
          <w:szCs w:val="24"/>
        </w:rPr>
        <w:t>) and expect</w:t>
      </w:r>
      <w:r w:rsidR="00141E8E">
        <w:rPr>
          <w:rFonts w:ascii="Times New Roman" w:hAnsi="Times New Roman" w:cs="Times New Roman"/>
          <w:sz w:val="24"/>
          <w:szCs w:val="24"/>
        </w:rPr>
        <w:t>s</w:t>
      </w:r>
      <w:r w:rsidRPr="00C836C8">
        <w:rPr>
          <w:rFonts w:ascii="Times New Roman" w:hAnsi="Times New Roman" w:cs="Times New Roman"/>
          <w:sz w:val="24"/>
          <w:szCs w:val="24"/>
        </w:rPr>
        <w:t xml:space="preserve"> interest rates to fall</w:t>
      </w:r>
      <w:r w:rsidR="00C32FD8">
        <w:rPr>
          <w:rFonts w:ascii="Times New Roman" w:hAnsi="Times New Roman" w:cs="Times New Roman"/>
          <w:sz w:val="24"/>
          <w:szCs w:val="24"/>
        </w:rPr>
        <w:t xml:space="preserve">. </w:t>
      </w:r>
    </w:p>
    <w:p w14:paraId="4FB70D7C" w14:textId="68085D1E" w:rsidR="001C6904" w:rsidRPr="00C32FD8" w:rsidRDefault="00141E8E" w:rsidP="00C32FD8">
      <w:pPr>
        <w:pStyle w:val="ListParagraph"/>
        <w:numPr>
          <w:ilvl w:val="0"/>
          <w:numId w:val="1"/>
        </w:numPr>
        <w:rPr>
          <w:rFonts w:ascii="Times New Roman" w:hAnsi="Times New Roman" w:cs="Times New Roman"/>
          <w:sz w:val="24"/>
          <w:szCs w:val="24"/>
        </w:rPr>
      </w:pPr>
      <w:r w:rsidRPr="00C32FD8">
        <w:rPr>
          <w:rFonts w:ascii="Times New Roman" w:hAnsi="Times New Roman" w:cs="Times New Roman"/>
          <w:sz w:val="24"/>
          <w:szCs w:val="24"/>
        </w:rPr>
        <w:t>A</w:t>
      </w:r>
      <w:r w:rsidR="00C32FD8" w:rsidRPr="00C32FD8">
        <w:rPr>
          <w:rFonts w:ascii="Times New Roman" w:hAnsi="Times New Roman" w:cs="Times New Roman"/>
          <w:sz w:val="24"/>
          <w:szCs w:val="24"/>
        </w:rPr>
        <w:t>n</w:t>
      </w:r>
      <w:r w:rsidRPr="00C32FD8">
        <w:rPr>
          <w:rFonts w:ascii="Times New Roman" w:hAnsi="Times New Roman" w:cs="Times New Roman"/>
          <w:sz w:val="24"/>
          <w:szCs w:val="24"/>
        </w:rPr>
        <w:t xml:space="preserve"> i</w:t>
      </w:r>
      <w:r w:rsidR="001C6904" w:rsidRPr="00C32FD8">
        <w:rPr>
          <w:rFonts w:ascii="Times New Roman" w:hAnsi="Times New Roman" w:cs="Times New Roman"/>
          <w:sz w:val="24"/>
          <w:szCs w:val="24"/>
        </w:rPr>
        <w:t>nvestor’s risk is that interest rates fall, therefore fix a return (</w:t>
      </w:r>
      <w:r w:rsidR="001C6904" w:rsidRPr="00C32FD8">
        <w:rPr>
          <w:rFonts w:ascii="Times New Roman" w:hAnsi="Times New Roman" w:cs="Times New Roman"/>
          <w:b/>
          <w:bCs/>
          <w:sz w:val="24"/>
          <w:szCs w:val="24"/>
        </w:rPr>
        <w:t>SELL FRA</w:t>
      </w:r>
      <w:r w:rsidR="006E57FF" w:rsidRPr="00C32FD8">
        <w:rPr>
          <w:rFonts w:ascii="Times New Roman" w:hAnsi="Times New Roman" w:cs="Times New Roman"/>
          <w:sz w:val="24"/>
          <w:szCs w:val="24"/>
        </w:rPr>
        <w:t>)</w:t>
      </w:r>
      <w:r w:rsidR="00C32FD8" w:rsidRPr="00C32FD8">
        <w:rPr>
          <w:rFonts w:ascii="Times New Roman" w:hAnsi="Times New Roman" w:cs="Times New Roman"/>
          <w:sz w:val="24"/>
          <w:szCs w:val="24"/>
        </w:rPr>
        <w:t>.</w:t>
      </w:r>
    </w:p>
    <w:p w14:paraId="74A64FCB" w14:textId="59C8AD88" w:rsidR="002B20A2" w:rsidRPr="002B20A2" w:rsidRDefault="00747FAC" w:rsidP="002B20A2">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 xml:space="preserve">Highest bid across dealers is </w:t>
      </w:r>
      <w:r w:rsidRPr="00747FAC">
        <w:rPr>
          <w:rFonts w:ascii="Times New Roman" w:hAnsi="Times New Roman" w:cs="Times New Roman"/>
          <w:sz w:val="24"/>
          <w:szCs w:val="24"/>
        </w:rPr>
        <w:t>HSBC 3v6</w:t>
      </w:r>
      <w:r w:rsidRPr="00747FAC">
        <w:rPr>
          <w:rFonts w:ascii="Times New Roman" w:hAnsi="Times New Roman" w:cs="Times New Roman"/>
          <w:b/>
          <w:bCs/>
          <w:sz w:val="24"/>
          <w:szCs w:val="24"/>
        </w:rPr>
        <w:t xml:space="preserve"> = 4.80%</w:t>
      </w:r>
      <w:r>
        <w:rPr>
          <w:rFonts w:ascii="Times New Roman" w:hAnsi="Times New Roman" w:cs="Times New Roman"/>
          <w:sz w:val="24"/>
          <w:szCs w:val="24"/>
        </w:rPr>
        <w:t xml:space="preserve"> (vs Barclays 4.78%)</w:t>
      </w:r>
      <w:r w:rsidR="00C32FD8">
        <w:rPr>
          <w:rFonts w:ascii="Times New Roman" w:hAnsi="Times New Roman" w:cs="Times New Roman"/>
          <w:sz w:val="24"/>
          <w:szCs w:val="24"/>
        </w:rPr>
        <w:t>.</w:t>
      </w:r>
    </w:p>
    <w:p w14:paraId="0D7B62AC" w14:textId="41715EB3" w:rsidR="002B20A2" w:rsidRDefault="002B20A2" w:rsidP="002B20A2">
      <w:pPr>
        <w:rPr>
          <w:rFonts w:ascii="Times New Roman" w:hAnsi="Times New Roman" w:cs="Times New Roman"/>
          <w:b/>
          <w:bCs/>
          <w:sz w:val="24"/>
          <w:szCs w:val="24"/>
        </w:rPr>
      </w:pPr>
      <w:r w:rsidRPr="002B20A2">
        <w:rPr>
          <w:rFonts w:ascii="Times New Roman" w:hAnsi="Times New Roman" w:cs="Times New Roman"/>
          <w:b/>
          <w:bCs/>
          <w:sz w:val="24"/>
          <w:szCs w:val="24"/>
        </w:rPr>
        <w:t>3v6 SELL £100m 4.80% HSBC</w:t>
      </w:r>
    </w:p>
    <w:p w14:paraId="74666785" w14:textId="77777777" w:rsidR="000B4D64" w:rsidRDefault="000B4D64" w:rsidP="002B20A2">
      <w:pPr>
        <w:rPr>
          <w:rFonts w:ascii="Times New Roman" w:hAnsi="Times New Roman" w:cs="Times New Roman"/>
          <w:b/>
          <w:bCs/>
          <w:sz w:val="24"/>
          <w:szCs w:val="24"/>
        </w:rPr>
      </w:pPr>
    </w:p>
    <w:p w14:paraId="2A8B9C24" w14:textId="2C532680" w:rsidR="000B4D64" w:rsidRDefault="000B4D64" w:rsidP="002B20A2">
      <w:pPr>
        <w:rPr>
          <w:rFonts w:ascii="Times New Roman" w:hAnsi="Times New Roman" w:cs="Times New Roman"/>
          <w:b/>
          <w:bCs/>
          <w:sz w:val="24"/>
          <w:szCs w:val="24"/>
        </w:rPr>
      </w:pPr>
      <w:r>
        <w:rPr>
          <w:rFonts w:ascii="Times New Roman" w:hAnsi="Times New Roman" w:cs="Times New Roman"/>
          <w:b/>
          <w:bCs/>
          <w:sz w:val="24"/>
          <w:szCs w:val="24"/>
        </w:rPr>
        <w:t>Question 10ii) Illustrate the cash flow:</w:t>
      </w:r>
    </w:p>
    <w:p w14:paraId="4D5159EB" w14:textId="650A630C" w:rsidR="0041617A" w:rsidRDefault="0061617B" w:rsidP="004950E3">
      <w:pPr>
        <w:rPr>
          <w:rFonts w:ascii="Times New Roman" w:hAnsi="Times New Roman" w:cs="Times New Roman"/>
          <w:sz w:val="24"/>
          <w:szCs w:val="24"/>
        </w:rPr>
      </w:pPr>
      <w:r w:rsidRPr="004950E3">
        <w:rPr>
          <w:rFonts w:ascii="Times New Roman" w:hAnsi="Times New Roman" w:cs="Times New Roman"/>
          <w:sz w:val="24"/>
          <w:szCs w:val="24"/>
        </w:rPr>
        <w:t xml:space="preserve">Assuming that cash flows are </w:t>
      </w:r>
      <w:r w:rsidR="00AA300F">
        <w:rPr>
          <w:rFonts w:ascii="Times New Roman" w:hAnsi="Times New Roman" w:cs="Times New Roman"/>
          <w:sz w:val="24"/>
          <w:szCs w:val="24"/>
        </w:rPr>
        <w:t xml:space="preserve">settled </w:t>
      </w:r>
      <w:r w:rsidRPr="004950E3">
        <w:rPr>
          <w:rFonts w:ascii="Times New Roman" w:hAnsi="Times New Roman" w:cs="Times New Roman"/>
          <w:sz w:val="24"/>
          <w:szCs w:val="24"/>
        </w:rPr>
        <w:t>at the same time</w:t>
      </w:r>
      <w:r w:rsidR="00CF0323">
        <w:rPr>
          <w:rFonts w:ascii="Times New Roman" w:hAnsi="Times New Roman" w:cs="Times New Roman"/>
          <w:sz w:val="24"/>
          <w:szCs w:val="24"/>
        </w:rPr>
        <w:t xml:space="preserve">, and that </w:t>
      </w:r>
      <m:oMath>
        <m:r>
          <w:rPr>
            <w:rFonts w:ascii="Cambria Math" w:hAnsi="Cambria Math" w:cs="Times New Roman"/>
            <w:sz w:val="24"/>
            <w:szCs w:val="24"/>
          </w:rPr>
          <m:t>year=360</m:t>
        </m:r>
      </m:oMath>
      <w:r w:rsidR="00B0153E">
        <w:rPr>
          <w:rFonts w:ascii="Times New Roman" w:hAnsi="Times New Roman" w:cs="Times New Roman"/>
          <w:sz w:val="24"/>
          <w:szCs w:val="24"/>
        </w:rPr>
        <w:t xml:space="preserve"> </w:t>
      </w:r>
      <w:r w:rsidR="00CF0323">
        <w:rPr>
          <w:rFonts w:ascii="Times New Roman" w:hAnsi="Times New Roman" w:cs="Times New Roman"/>
          <w:sz w:val="24"/>
          <w:szCs w:val="24"/>
        </w:rPr>
        <w:t>days and</w:t>
      </w:r>
      <w:r w:rsidR="0002352C">
        <w:rPr>
          <w:rFonts w:ascii="Times New Roman" w:hAnsi="Times New Roman" w:cs="Times New Roman"/>
          <w:sz w:val="24"/>
          <w:szCs w:val="24"/>
        </w:rPr>
        <w:t xml:space="preserve"> </w:t>
      </w:r>
      <m:oMath>
        <m:r>
          <w:rPr>
            <w:rFonts w:ascii="Cambria Math" w:hAnsi="Cambria Math" w:cs="Times New Roman"/>
            <w:sz w:val="24"/>
            <w:szCs w:val="24"/>
          </w:rPr>
          <m:t>3 months=90</m:t>
        </m:r>
      </m:oMath>
      <w:r w:rsidR="00CF0323">
        <w:rPr>
          <w:rFonts w:ascii="Times New Roman" w:hAnsi="Times New Roman" w:cs="Times New Roman"/>
          <w:sz w:val="24"/>
          <w:szCs w:val="24"/>
        </w:rPr>
        <w:t xml:space="preserve"> days for simplicity:</w:t>
      </w:r>
    </w:p>
    <w:p w14:paraId="31AD5A24" w14:textId="6D834055" w:rsidR="00B0153E" w:rsidRPr="00B0153E" w:rsidRDefault="00B0153E" w:rsidP="004950E3">
      <w:pPr>
        <w:rPr>
          <w:rFonts w:ascii="Times New Roman" w:eastAsiaTheme="minorEastAsia" w:hAnsi="Times New Roman" w:cs="Times New Roman"/>
          <w:b/>
          <w:bCs/>
          <w:sz w:val="24"/>
          <w:szCs w:val="24"/>
        </w:rPr>
      </w:pPr>
      <m:oMathPara>
        <m:oMath>
          <m:r>
            <w:rPr>
              <w:rFonts w:ascii="Cambria Math" w:hAnsi="Cambria Math" w:cs="Times New Roman"/>
              <w:sz w:val="24"/>
              <w:szCs w:val="24"/>
            </w:rPr>
            <m:t>FRA Payoff</m:t>
          </m:r>
          <m:r>
            <m:rPr>
              <m:aln/>
            </m:rPr>
            <w:rPr>
              <w:rFonts w:ascii="Cambria Math"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FRA-Actual</m:t>
              </m:r>
            </m:e>
          </m:d>
          <m:r>
            <w:rPr>
              <w:rFonts w:ascii="Cambria Math" w:eastAsiaTheme="minorEastAsia" w:hAnsi="Cambria Math" w:cs="Times New Roman"/>
              <w:sz w:val="24"/>
              <w:szCs w:val="24"/>
            </w:rPr>
            <m:t xml:space="preserve">×Notional×Time </m:t>
          </m:r>
          <m:r>
            <m:rPr>
              <m:sty m:val="p"/>
            </m:rPr>
            <w:rPr>
              <w:rFonts w:ascii="Times New Roman" w:eastAsiaTheme="minorEastAsia" w:hAnsi="Times New Roman" w:cs="Times New Roman"/>
              <w:sz w:val="24"/>
              <w:szCs w:val="24"/>
            </w:rPr>
            <w:br/>
          </m:r>
        </m:oMath>
        <m:oMath>
          <m:r>
            <m:rPr>
              <m:aln/>
            </m:rP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4.8%-4.5%</m:t>
              </m:r>
            </m:e>
          </m:d>
          <m:r>
            <w:rPr>
              <w:rFonts w:ascii="Cambria Math" w:eastAsiaTheme="minorEastAsia" w:hAnsi="Cambria Math" w:cs="Times New Roman"/>
              <w:sz w:val="24"/>
              <w:szCs w:val="24"/>
            </w:rPr>
            <m:t>×£100m×</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m:t>
              </m:r>
            </m:num>
            <m:den>
              <m:r>
                <w:rPr>
                  <w:rFonts w:ascii="Cambria Math" w:eastAsiaTheme="minorEastAsia" w:hAnsi="Cambria Math" w:cs="Times New Roman"/>
                  <w:sz w:val="24"/>
                  <w:szCs w:val="24"/>
                </w:rPr>
                <m:t>12</m:t>
              </m:r>
            </m:den>
          </m:f>
          <m:r>
            <m:rPr>
              <m:sty m:val="p"/>
            </m:rPr>
            <w:rPr>
              <w:rFonts w:ascii="Times New Roman" w:eastAsiaTheme="minorEastAsia" w:hAnsi="Times New Roman" w:cs="Times New Roman"/>
              <w:sz w:val="24"/>
              <w:szCs w:val="24"/>
            </w:rPr>
            <w:br/>
          </m:r>
        </m:oMath>
        <m:oMath>
          <m:r>
            <m:rPr>
              <m:sty m:val="bi"/>
            </m:rPr>
            <w:rPr>
              <w:rFonts w:ascii="Cambria Math" w:hAnsi="Cambria Math" w:cs="Times New Roman"/>
              <w:sz w:val="24"/>
              <w:szCs w:val="24"/>
            </w:rPr>
            <m:t>FRA Payoff</m:t>
          </m:r>
          <m:r>
            <m:rPr>
              <m:sty m:val="bi"/>
              <m:aln/>
            </m:rPr>
            <w:rPr>
              <w:rFonts w:ascii="Cambria Math" w:eastAsiaTheme="minorEastAsia" w:hAnsi="Cambria Math" w:cs="Times New Roman"/>
              <w:sz w:val="24"/>
              <w:szCs w:val="24"/>
            </w:rPr>
            <m:t>=£0.125</m:t>
          </m:r>
          <m:r>
            <m:rPr>
              <m:sty m:val="bi"/>
            </m:rPr>
            <w:rPr>
              <w:rFonts w:ascii="Cambria Math" w:eastAsiaTheme="minorEastAsia" w:hAnsi="Cambria Math" w:cs="Times New Roman"/>
              <w:sz w:val="24"/>
              <w:szCs w:val="24"/>
            </w:rPr>
            <m:t>m</m:t>
          </m:r>
          <m:r>
            <m:rPr>
              <m:sty m:val="p"/>
            </m:rPr>
            <w:rPr>
              <w:rFonts w:ascii="Times New Roman" w:eastAsiaTheme="minorEastAsia" w:hAnsi="Times New Roman" w:cs="Times New Roman"/>
              <w:sz w:val="24"/>
              <w:szCs w:val="24"/>
            </w:rPr>
            <w:br/>
          </m:r>
        </m:oMath>
        <m:oMath>
          <m:r>
            <w:rPr>
              <w:rFonts w:ascii="Cambria Math" w:eastAsiaTheme="minorEastAsia" w:hAnsi="Cambria Math" w:cs="Times New Roman"/>
              <w:sz w:val="24"/>
              <w:szCs w:val="24"/>
            </w:rPr>
            <m:t>Deposit Interest</m:t>
          </m:r>
          <m:r>
            <m:rPr>
              <m:sty m:val="bi"/>
              <m:aln/>
            </m:rPr>
            <w:rPr>
              <w:rFonts w:ascii="Cambria Math" w:eastAsiaTheme="minorEastAsia" w:hAnsi="Cambria Math" w:cs="Times New Roman"/>
              <w:sz w:val="24"/>
              <w:szCs w:val="24"/>
            </w:rPr>
            <m:t>=</m:t>
          </m:r>
          <m:r>
            <w:rPr>
              <w:rFonts w:ascii="Cambria Math" w:eastAsiaTheme="minorEastAsia" w:hAnsi="Cambria Math" w:cs="Times New Roman"/>
              <w:sz w:val="24"/>
              <w:szCs w:val="24"/>
            </w:rPr>
            <m:t>Rate×Notional×Time</m:t>
          </m:r>
          <m:r>
            <m:rPr>
              <m:sty m:val="p"/>
            </m:rPr>
            <w:rPr>
              <w:rFonts w:ascii="Times New Roman" w:eastAsiaTheme="minorEastAsia" w:hAnsi="Times New Roman" w:cs="Times New Roman"/>
              <w:sz w:val="24"/>
              <w:szCs w:val="24"/>
            </w:rPr>
            <w:br/>
          </m:r>
        </m:oMath>
        <m:oMath>
          <m:r>
            <m:rPr>
              <m:aln/>
            </m:rPr>
            <w:rPr>
              <w:rFonts w:ascii="Cambria Math" w:eastAsiaTheme="minorEastAsia" w:hAnsi="Cambria Math" w:cs="Times New Roman"/>
              <w:sz w:val="24"/>
              <w:szCs w:val="24"/>
            </w:rPr>
            <m:t>=4.3%×£100m×</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m:t>
              </m:r>
            </m:num>
            <m:den>
              <m:r>
                <w:rPr>
                  <w:rFonts w:ascii="Cambria Math" w:eastAsiaTheme="minorEastAsia" w:hAnsi="Cambria Math" w:cs="Times New Roman"/>
                  <w:sz w:val="24"/>
                  <w:szCs w:val="24"/>
                </w:rPr>
                <m:t>12</m:t>
              </m:r>
            </m:den>
          </m:f>
          <m:r>
            <m:rPr>
              <m:sty m:val="p"/>
            </m:rPr>
            <w:rPr>
              <w:rFonts w:ascii="Times New Roman" w:eastAsiaTheme="minorEastAsia" w:hAnsi="Times New Roman" w:cs="Times New Roman"/>
              <w:sz w:val="24"/>
              <w:szCs w:val="24"/>
            </w:rPr>
            <w:br/>
          </m:r>
        </m:oMath>
        <m:oMath>
          <m:r>
            <m:rPr>
              <m:sty m:val="bi"/>
            </m:rPr>
            <w:rPr>
              <w:rFonts w:ascii="Cambria Math" w:eastAsiaTheme="minorEastAsia" w:hAnsi="Cambria Math" w:cs="Times New Roman"/>
              <w:sz w:val="24"/>
              <w:szCs w:val="24"/>
            </w:rPr>
            <m:t>Deposit Interest</m:t>
          </m:r>
          <m:r>
            <m:rPr>
              <m:sty m:val="bi"/>
              <m:aln/>
            </m:rPr>
            <w:rPr>
              <w:rFonts w:ascii="Cambria Math" w:eastAsiaTheme="minorEastAsia" w:hAnsi="Cambria Math" w:cs="Times New Roman"/>
              <w:sz w:val="24"/>
              <w:szCs w:val="24"/>
            </w:rPr>
            <m:t>=£1.075</m:t>
          </m:r>
          <m:r>
            <m:rPr>
              <m:sty m:val="bi"/>
            </m:rPr>
            <w:rPr>
              <w:rFonts w:ascii="Cambria Math" w:eastAsiaTheme="minorEastAsia" w:hAnsi="Cambria Math" w:cs="Times New Roman"/>
              <w:sz w:val="24"/>
              <w:szCs w:val="24"/>
            </w:rPr>
            <m:t>m</m:t>
          </m:r>
          <m:r>
            <m:rPr>
              <m:sty m:val="p"/>
            </m:rPr>
            <w:rPr>
              <w:rFonts w:ascii="Times New Roman" w:eastAsiaTheme="minorEastAsia" w:hAnsi="Times New Roman" w:cs="Times New Roman"/>
              <w:sz w:val="24"/>
              <w:szCs w:val="24"/>
            </w:rPr>
            <w:br/>
          </m:r>
        </m:oMath>
        <m:oMath>
          <m:r>
            <w:rPr>
              <w:rFonts w:ascii="Cambria Math" w:eastAsiaTheme="minorEastAsia" w:hAnsi="Cambria Math" w:cs="Times New Roman"/>
              <w:sz w:val="24"/>
              <w:szCs w:val="24"/>
            </w:rPr>
            <m:t>Total Return</m:t>
          </m:r>
          <m:r>
            <m:rPr>
              <m:aln/>
            </m:rPr>
            <w:rPr>
              <w:rFonts w:ascii="Cambria Math" w:eastAsiaTheme="minorEastAsia" w:hAnsi="Cambria Math" w:cs="Times New Roman"/>
              <w:sz w:val="24"/>
              <w:szCs w:val="24"/>
            </w:rPr>
            <m:t>=</m:t>
          </m:r>
          <m:r>
            <w:rPr>
              <w:rFonts w:ascii="Cambria Math" w:hAnsi="Cambria Math" w:cs="Times New Roman"/>
              <w:sz w:val="24"/>
              <w:szCs w:val="24"/>
            </w:rPr>
            <m:t>FRA Payoff+</m:t>
          </m:r>
          <m:r>
            <w:rPr>
              <w:rFonts w:ascii="Cambria Math" w:eastAsiaTheme="minorEastAsia" w:hAnsi="Cambria Math" w:cs="Times New Roman"/>
              <w:sz w:val="24"/>
              <w:szCs w:val="24"/>
            </w:rPr>
            <m:t>Deposit Interest</m:t>
          </m:r>
          <m:r>
            <m:rPr>
              <m:sty m:val="p"/>
            </m:rPr>
            <w:rPr>
              <w:rFonts w:ascii="Times New Roman" w:eastAsiaTheme="minorEastAsia" w:hAnsi="Times New Roman" w:cs="Times New Roman"/>
              <w:sz w:val="24"/>
              <w:szCs w:val="24"/>
            </w:rPr>
            <w:br/>
          </m:r>
        </m:oMath>
        <m:oMath>
          <m:r>
            <m:rPr>
              <m:aln/>
            </m:rPr>
            <w:rPr>
              <w:rFonts w:ascii="Cambria Math" w:eastAsiaTheme="minorEastAsia" w:hAnsi="Cambria Math" w:cs="Times New Roman"/>
              <w:sz w:val="24"/>
              <w:szCs w:val="24"/>
            </w:rPr>
            <m:t>=£0.125m+£1.075m</m:t>
          </m:r>
          <m:r>
            <m:rPr>
              <m:sty m:val="p"/>
            </m:rPr>
            <w:rPr>
              <w:rFonts w:ascii="Times New Roman" w:eastAsiaTheme="minorEastAsia" w:hAnsi="Times New Roman" w:cs="Times New Roman"/>
              <w:sz w:val="24"/>
              <w:szCs w:val="24"/>
            </w:rPr>
            <w:br/>
          </m:r>
        </m:oMath>
        <m:oMath>
          <m:r>
            <m:rPr>
              <m:sty m:val="bi"/>
            </m:rPr>
            <w:rPr>
              <w:rFonts w:ascii="Cambria Math" w:eastAsiaTheme="minorEastAsia" w:hAnsi="Cambria Math" w:cs="Times New Roman"/>
              <w:sz w:val="24"/>
              <w:szCs w:val="24"/>
            </w:rPr>
            <m:t>Total Return</m:t>
          </m:r>
          <m:r>
            <m:rPr>
              <m:sty m:val="bi"/>
              <m:aln/>
            </m:rPr>
            <w:rPr>
              <w:rFonts w:ascii="Cambria Math" w:eastAsiaTheme="minorEastAsia" w:hAnsi="Cambria Math" w:cs="Times New Roman"/>
              <w:sz w:val="24"/>
              <w:szCs w:val="24"/>
            </w:rPr>
            <m:t>=£1.2</m:t>
          </m:r>
          <m:r>
            <m:rPr>
              <m:sty m:val="bi"/>
            </m:rPr>
            <w:rPr>
              <w:rFonts w:ascii="Cambria Math" w:eastAsiaTheme="minorEastAsia" w:hAnsi="Cambria Math" w:cs="Times New Roman"/>
              <w:sz w:val="24"/>
              <w:szCs w:val="24"/>
            </w:rPr>
            <m:t>m</m:t>
          </m:r>
          <m:r>
            <m:rPr>
              <m:sty m:val="p"/>
            </m:rPr>
            <w:rPr>
              <w:rFonts w:ascii="Times New Roman" w:eastAsiaTheme="minorEastAsia" w:hAnsi="Times New Roman" w:cs="Times New Roman"/>
              <w:sz w:val="24"/>
              <w:szCs w:val="24"/>
            </w:rPr>
            <w:br/>
          </m:r>
        </m:oMath>
        <m:oMath>
          <m:r>
            <w:rPr>
              <w:rFonts w:ascii="Cambria Math" w:eastAsiaTheme="minorEastAsia" w:hAnsi="Cambria Math" w:cs="Times New Roman"/>
              <w:sz w:val="24"/>
              <w:szCs w:val="24"/>
            </w:rPr>
            <m:t>Effective Rate</m:t>
          </m:r>
          <m:r>
            <m:rPr>
              <m:aln/>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Total Return</m:t>
              </m:r>
            </m:num>
            <m:den>
              <m:r>
                <w:rPr>
                  <w:rFonts w:ascii="Cambria Math" w:eastAsiaTheme="minorEastAsia" w:hAnsi="Cambria Math" w:cs="Times New Roman"/>
                  <w:sz w:val="24"/>
                  <w:szCs w:val="24"/>
                </w:rPr>
                <m:t>Notional</m:t>
              </m:r>
            </m:den>
          </m:f>
          <m:r>
            <w:rPr>
              <w:rFonts w:ascii="Cambria Math" w:eastAsiaTheme="minorEastAsia" w:hAnsi="Cambria Math" w:cs="Times New Roman"/>
              <w:sz w:val="24"/>
              <w:szCs w:val="24"/>
            </w:rPr>
            <m:t>×Annualised</m:t>
          </m:r>
          <m:r>
            <m:rPr>
              <m:sty m:val="p"/>
            </m:rPr>
            <w:rPr>
              <w:rFonts w:ascii="Times New Roman" w:eastAsiaTheme="minorEastAsia" w:hAnsi="Times New Roman" w:cs="Times New Roman"/>
              <w:sz w:val="24"/>
              <w:szCs w:val="24"/>
            </w:rPr>
            <w:br/>
          </m:r>
        </m:oMath>
        <m:oMath>
          <m:r>
            <m:rPr>
              <m:aln/>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£1.2m</m:t>
              </m:r>
            </m:num>
            <m:den>
              <m:r>
                <w:rPr>
                  <w:rFonts w:ascii="Cambria Math" w:eastAsiaTheme="minorEastAsia" w:hAnsi="Cambria Math" w:cs="Times New Roman"/>
                  <w:sz w:val="24"/>
                  <w:szCs w:val="24"/>
                </w:rPr>
                <m:t>£100m</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12</m:t>
              </m:r>
            </m:num>
            <m:den>
              <m:r>
                <w:rPr>
                  <w:rFonts w:ascii="Cambria Math" w:eastAsiaTheme="minorEastAsia" w:hAnsi="Cambria Math" w:cs="Times New Roman"/>
                  <w:sz w:val="24"/>
                  <w:szCs w:val="24"/>
                </w:rPr>
                <m:t>3</m:t>
              </m:r>
            </m:den>
          </m:f>
          <m:r>
            <m:rPr>
              <m:sty m:val="p"/>
            </m:rPr>
            <w:rPr>
              <w:rFonts w:ascii="Times New Roman" w:eastAsiaTheme="minorEastAsia" w:hAnsi="Times New Roman" w:cs="Times New Roman"/>
              <w:sz w:val="24"/>
              <w:szCs w:val="24"/>
            </w:rPr>
            <w:br/>
          </m:r>
        </m:oMath>
        <m:oMath>
          <m:r>
            <m:rPr>
              <m:sty m:val="bi"/>
            </m:rPr>
            <w:rPr>
              <w:rFonts w:ascii="Cambria Math" w:eastAsiaTheme="minorEastAsia" w:hAnsi="Cambria Math" w:cs="Times New Roman"/>
              <w:sz w:val="24"/>
              <w:szCs w:val="24"/>
            </w:rPr>
            <m:t>Effective Rate</m:t>
          </m:r>
          <m:r>
            <m:rPr>
              <m:sty m:val="bi"/>
              <m:aln/>
            </m:rPr>
            <w:rPr>
              <w:rFonts w:ascii="Cambria Math" w:eastAsiaTheme="minorEastAsia" w:hAnsi="Cambria Math" w:cs="Times New Roman"/>
              <w:sz w:val="24"/>
              <w:szCs w:val="24"/>
            </w:rPr>
            <m:t>=4.8%</m:t>
          </m:r>
        </m:oMath>
      </m:oMathPara>
    </w:p>
    <w:p w14:paraId="0EF4D493" w14:textId="1687D619" w:rsidR="00136DC0" w:rsidRDefault="00F332B5" w:rsidP="004950E3">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As expecte</w:t>
      </w:r>
      <w:r w:rsidR="0002352C">
        <w:rPr>
          <w:rFonts w:ascii="Times New Roman" w:eastAsiaTheme="minorEastAsia" w:hAnsi="Times New Roman" w:cs="Times New Roman"/>
          <w:sz w:val="24"/>
          <w:szCs w:val="24"/>
        </w:rPr>
        <w:t>d, as is consistent with the rate from Q10i.</w:t>
      </w:r>
    </w:p>
    <w:p w14:paraId="07F129FE" w14:textId="77777777" w:rsidR="0002352C" w:rsidRDefault="0002352C" w:rsidP="004950E3">
      <w:pPr>
        <w:rPr>
          <w:rFonts w:ascii="Times New Roman" w:eastAsiaTheme="minorEastAsia" w:hAnsi="Times New Roman" w:cs="Times New Roman"/>
          <w:sz w:val="24"/>
          <w:szCs w:val="24"/>
        </w:rPr>
      </w:pPr>
    </w:p>
    <w:p w14:paraId="629DF144" w14:textId="703B1195" w:rsidR="0002352C" w:rsidRPr="00136DC0" w:rsidRDefault="0002352C" w:rsidP="004950E3">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Question 10iii)</w:t>
      </w:r>
    </w:p>
    <w:p w14:paraId="628C8055" w14:textId="77777777" w:rsidR="00136DC0" w:rsidRPr="00136DC0" w:rsidRDefault="00136DC0" w:rsidP="004950E3">
      <w:pPr>
        <w:rPr>
          <w:rFonts w:ascii="Times New Roman" w:eastAsiaTheme="minorEastAsia" w:hAnsi="Times New Roman" w:cs="Times New Roman"/>
          <w:sz w:val="24"/>
          <w:szCs w:val="24"/>
        </w:rPr>
      </w:pPr>
    </w:p>
    <w:p w14:paraId="72CDF4BC" w14:textId="77777777" w:rsidR="00CF0323" w:rsidRPr="00CF0323" w:rsidRDefault="00CF0323" w:rsidP="004950E3">
      <w:pPr>
        <w:rPr>
          <w:rFonts w:ascii="Times New Roman" w:eastAsiaTheme="minorEastAsia" w:hAnsi="Times New Roman" w:cs="Times New Roman"/>
          <w:sz w:val="24"/>
          <w:szCs w:val="24"/>
        </w:rPr>
      </w:pPr>
    </w:p>
    <w:p w14:paraId="2722654A" w14:textId="77777777" w:rsidR="00C32FD8" w:rsidRPr="00C32FD8" w:rsidRDefault="00C32FD8" w:rsidP="00C32FD8">
      <w:pPr>
        <w:rPr>
          <w:rFonts w:ascii="Times New Roman" w:hAnsi="Times New Roman" w:cs="Times New Roman"/>
          <w:sz w:val="24"/>
          <w:szCs w:val="24"/>
        </w:rPr>
      </w:pPr>
    </w:p>
    <w:p w14:paraId="6515AAEC" w14:textId="1E32F7C6" w:rsidR="00AF29FC" w:rsidRPr="00C836C8" w:rsidRDefault="00AF29FC">
      <w:pPr>
        <w:rPr>
          <w:rFonts w:ascii="Times New Roman" w:hAnsi="Times New Roman" w:cs="Times New Roman"/>
          <w:sz w:val="24"/>
          <w:szCs w:val="24"/>
        </w:rPr>
      </w:pPr>
    </w:p>
    <w:sectPr w:rsidR="00AF29FC" w:rsidRPr="00C836C8" w:rsidSect="009E403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06FC4" w14:textId="77777777" w:rsidR="00181181" w:rsidRDefault="00181181" w:rsidP="007944D8">
      <w:pPr>
        <w:spacing w:after="0" w:line="240" w:lineRule="auto"/>
      </w:pPr>
      <w:r>
        <w:separator/>
      </w:r>
    </w:p>
  </w:endnote>
  <w:endnote w:type="continuationSeparator" w:id="0">
    <w:p w14:paraId="4B15A049" w14:textId="77777777" w:rsidR="00181181" w:rsidRDefault="00181181" w:rsidP="007944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AABE2" w14:textId="77777777" w:rsidR="00181181" w:rsidRDefault="00181181" w:rsidP="007944D8">
      <w:pPr>
        <w:spacing w:after="0" w:line="240" w:lineRule="auto"/>
      </w:pPr>
      <w:r>
        <w:separator/>
      </w:r>
    </w:p>
  </w:footnote>
  <w:footnote w:type="continuationSeparator" w:id="0">
    <w:p w14:paraId="65FD7002" w14:textId="77777777" w:rsidR="00181181" w:rsidRDefault="00181181" w:rsidP="007944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6D72"/>
    <w:multiLevelType w:val="hybridMultilevel"/>
    <w:tmpl w:val="66900F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25C42EF"/>
    <w:multiLevelType w:val="hybridMultilevel"/>
    <w:tmpl w:val="164E12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67583B"/>
    <w:multiLevelType w:val="hybridMultilevel"/>
    <w:tmpl w:val="B142A8A0"/>
    <w:lvl w:ilvl="0" w:tplc="8D5EEFC4">
      <w:start w:val="1"/>
      <w:numFmt w:val="lowerRoman"/>
      <w:lvlText w:val="%1."/>
      <w:lvlJc w:val="left"/>
      <w:pPr>
        <w:ind w:left="1440" w:hanging="72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83467BC"/>
    <w:multiLevelType w:val="hybridMultilevel"/>
    <w:tmpl w:val="C2E2EDD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0D7A21BC"/>
    <w:multiLevelType w:val="hybridMultilevel"/>
    <w:tmpl w:val="D2B29E4A"/>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DD601F9"/>
    <w:multiLevelType w:val="hybridMultilevel"/>
    <w:tmpl w:val="C6D4582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0E062960"/>
    <w:multiLevelType w:val="hybridMultilevel"/>
    <w:tmpl w:val="DEB4300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533021"/>
    <w:multiLevelType w:val="hybridMultilevel"/>
    <w:tmpl w:val="3E6868B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A206CE"/>
    <w:multiLevelType w:val="hybridMultilevel"/>
    <w:tmpl w:val="C2E6A886"/>
    <w:lvl w:ilvl="0" w:tplc="B99AD5E4">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BE46AF"/>
    <w:multiLevelType w:val="hybridMultilevel"/>
    <w:tmpl w:val="D144D9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16531F19"/>
    <w:multiLevelType w:val="hybridMultilevel"/>
    <w:tmpl w:val="59FC8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3B2FCB"/>
    <w:multiLevelType w:val="hybridMultilevel"/>
    <w:tmpl w:val="6EBC8E40"/>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23D14573"/>
    <w:multiLevelType w:val="hybridMultilevel"/>
    <w:tmpl w:val="DD605D76"/>
    <w:lvl w:ilvl="0" w:tplc="08090001">
      <w:start w:val="1"/>
      <w:numFmt w:val="bullet"/>
      <w:lvlText w:val=""/>
      <w:lvlJc w:val="left"/>
      <w:pPr>
        <w:ind w:left="1440" w:hanging="72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4410734"/>
    <w:multiLevelType w:val="hybridMultilevel"/>
    <w:tmpl w:val="0D6C38E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2BD70B4D"/>
    <w:multiLevelType w:val="hybridMultilevel"/>
    <w:tmpl w:val="D40A35F4"/>
    <w:lvl w:ilvl="0" w:tplc="C1D45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4A1508C"/>
    <w:multiLevelType w:val="hybridMultilevel"/>
    <w:tmpl w:val="BE94EBD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32554A"/>
    <w:multiLevelType w:val="hybridMultilevel"/>
    <w:tmpl w:val="CCF8BAB8"/>
    <w:lvl w:ilvl="0" w:tplc="08090001">
      <w:start w:val="1"/>
      <w:numFmt w:val="bullet"/>
      <w:lvlText w:val=""/>
      <w:lvlJc w:val="left"/>
      <w:pPr>
        <w:ind w:left="1440" w:hanging="72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36715BC2"/>
    <w:multiLevelType w:val="hybridMultilevel"/>
    <w:tmpl w:val="F6805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064D6A"/>
    <w:multiLevelType w:val="hybridMultilevel"/>
    <w:tmpl w:val="DA68636E"/>
    <w:lvl w:ilvl="0" w:tplc="08090001">
      <w:start w:val="1"/>
      <w:numFmt w:val="bullet"/>
      <w:lvlText w:val=""/>
      <w:lvlJc w:val="left"/>
      <w:pPr>
        <w:ind w:left="1440" w:hanging="72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4B175FB"/>
    <w:multiLevelType w:val="hybridMultilevel"/>
    <w:tmpl w:val="7D2CA592"/>
    <w:lvl w:ilvl="0" w:tplc="BEAAF60C">
      <w:start w:val="1"/>
      <w:numFmt w:val="lowerRoman"/>
      <w:lvlText w:val="%1."/>
      <w:lvlJc w:val="left"/>
      <w:pPr>
        <w:ind w:left="1440" w:hanging="720"/>
      </w:pPr>
      <w:rPr>
        <w:rFonts w:hint="default"/>
      </w:rPr>
    </w:lvl>
    <w:lvl w:ilvl="1" w:tplc="08090001">
      <w:start w:val="1"/>
      <w:numFmt w:val="bullet"/>
      <w:lvlText w:val=""/>
      <w:lvlJc w:val="left"/>
      <w:pPr>
        <w:ind w:left="1800" w:hanging="360"/>
      </w:pPr>
      <w:rPr>
        <w:rFonts w:ascii="Symbol" w:hAnsi="Symbol" w:hint="default"/>
      </w:r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520D05A6"/>
    <w:multiLevelType w:val="hybridMultilevel"/>
    <w:tmpl w:val="DA708A9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53A4A18"/>
    <w:multiLevelType w:val="hybridMultilevel"/>
    <w:tmpl w:val="89261A34"/>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55EB61DD"/>
    <w:multiLevelType w:val="hybridMultilevel"/>
    <w:tmpl w:val="5C4E78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268F4"/>
    <w:multiLevelType w:val="hybridMultilevel"/>
    <w:tmpl w:val="518E487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4" w15:restartNumberingAfterBreak="0">
    <w:nsid w:val="6DC84FF5"/>
    <w:multiLevelType w:val="hybridMultilevel"/>
    <w:tmpl w:val="062AFA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4890590"/>
    <w:multiLevelType w:val="hybridMultilevel"/>
    <w:tmpl w:val="2F34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AF31A09"/>
    <w:multiLevelType w:val="hybridMultilevel"/>
    <w:tmpl w:val="2D686E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3300570">
    <w:abstractNumId w:val="15"/>
  </w:num>
  <w:num w:numId="2" w16cid:durableId="744572238">
    <w:abstractNumId w:val="6"/>
  </w:num>
  <w:num w:numId="3" w16cid:durableId="817457418">
    <w:abstractNumId w:val="24"/>
  </w:num>
  <w:num w:numId="4" w16cid:durableId="1708291296">
    <w:abstractNumId w:val="1"/>
  </w:num>
  <w:num w:numId="5" w16cid:durableId="221335051">
    <w:abstractNumId w:val="8"/>
  </w:num>
  <w:num w:numId="6" w16cid:durableId="1547133871">
    <w:abstractNumId w:val="4"/>
  </w:num>
  <w:num w:numId="7" w16cid:durableId="1896311358">
    <w:abstractNumId w:val="9"/>
  </w:num>
  <w:num w:numId="8" w16cid:durableId="1777020255">
    <w:abstractNumId w:val="22"/>
  </w:num>
  <w:num w:numId="9" w16cid:durableId="1365713138">
    <w:abstractNumId w:val="13"/>
  </w:num>
  <w:num w:numId="10" w16cid:durableId="2017728568">
    <w:abstractNumId w:val="20"/>
  </w:num>
  <w:num w:numId="11" w16cid:durableId="1408263527">
    <w:abstractNumId w:val="14"/>
  </w:num>
  <w:num w:numId="12" w16cid:durableId="719206340">
    <w:abstractNumId w:val="26"/>
  </w:num>
  <w:num w:numId="13" w16cid:durableId="228879459">
    <w:abstractNumId w:val="19"/>
  </w:num>
  <w:num w:numId="14" w16cid:durableId="734201154">
    <w:abstractNumId w:val="23"/>
  </w:num>
  <w:num w:numId="15" w16cid:durableId="586424775">
    <w:abstractNumId w:val="5"/>
  </w:num>
  <w:num w:numId="16" w16cid:durableId="1200969136">
    <w:abstractNumId w:val="7"/>
  </w:num>
  <w:num w:numId="17" w16cid:durableId="602804780">
    <w:abstractNumId w:val="21"/>
  </w:num>
  <w:num w:numId="18" w16cid:durableId="324011851">
    <w:abstractNumId w:val="0"/>
  </w:num>
  <w:num w:numId="19" w16cid:durableId="1336495067">
    <w:abstractNumId w:val="2"/>
  </w:num>
  <w:num w:numId="20" w16cid:durableId="464200619">
    <w:abstractNumId w:val="11"/>
  </w:num>
  <w:num w:numId="21" w16cid:durableId="1137407199">
    <w:abstractNumId w:val="16"/>
  </w:num>
  <w:num w:numId="22" w16cid:durableId="858005077">
    <w:abstractNumId w:val="18"/>
  </w:num>
  <w:num w:numId="23" w16cid:durableId="194855088">
    <w:abstractNumId w:val="12"/>
  </w:num>
  <w:num w:numId="24" w16cid:durableId="371424394">
    <w:abstractNumId w:val="3"/>
  </w:num>
  <w:num w:numId="25" w16cid:durableId="434251834">
    <w:abstractNumId w:val="25"/>
  </w:num>
  <w:num w:numId="26" w16cid:durableId="2100758678">
    <w:abstractNumId w:val="10"/>
  </w:num>
  <w:num w:numId="27" w16cid:durableId="184982487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82"/>
    <w:rsid w:val="00010305"/>
    <w:rsid w:val="0002352C"/>
    <w:rsid w:val="00057CB2"/>
    <w:rsid w:val="00061D97"/>
    <w:rsid w:val="00092F8D"/>
    <w:rsid w:val="000B4D64"/>
    <w:rsid w:val="000E7496"/>
    <w:rsid w:val="00123E45"/>
    <w:rsid w:val="0013301E"/>
    <w:rsid w:val="00136DC0"/>
    <w:rsid w:val="00141E8E"/>
    <w:rsid w:val="00181181"/>
    <w:rsid w:val="0018677A"/>
    <w:rsid w:val="001C6904"/>
    <w:rsid w:val="001E6AFE"/>
    <w:rsid w:val="00225A41"/>
    <w:rsid w:val="00255D14"/>
    <w:rsid w:val="0026310D"/>
    <w:rsid w:val="002B20A2"/>
    <w:rsid w:val="002C4C17"/>
    <w:rsid w:val="002F5D57"/>
    <w:rsid w:val="003054A2"/>
    <w:rsid w:val="00376F0A"/>
    <w:rsid w:val="00384B80"/>
    <w:rsid w:val="00397124"/>
    <w:rsid w:val="0041617A"/>
    <w:rsid w:val="004552C2"/>
    <w:rsid w:val="00473618"/>
    <w:rsid w:val="004950E3"/>
    <w:rsid w:val="004F3082"/>
    <w:rsid w:val="00513905"/>
    <w:rsid w:val="00543A6C"/>
    <w:rsid w:val="0058579F"/>
    <w:rsid w:val="005950FE"/>
    <w:rsid w:val="005D11F7"/>
    <w:rsid w:val="005E4F39"/>
    <w:rsid w:val="00613E58"/>
    <w:rsid w:val="0061466A"/>
    <w:rsid w:val="0061617B"/>
    <w:rsid w:val="00624612"/>
    <w:rsid w:val="00650330"/>
    <w:rsid w:val="00675F67"/>
    <w:rsid w:val="006E57FF"/>
    <w:rsid w:val="00747FAC"/>
    <w:rsid w:val="00754378"/>
    <w:rsid w:val="007621A0"/>
    <w:rsid w:val="007702AE"/>
    <w:rsid w:val="007944D8"/>
    <w:rsid w:val="007E77F3"/>
    <w:rsid w:val="007F5086"/>
    <w:rsid w:val="007F6FE5"/>
    <w:rsid w:val="008302EA"/>
    <w:rsid w:val="00837A8C"/>
    <w:rsid w:val="00843592"/>
    <w:rsid w:val="00876995"/>
    <w:rsid w:val="008A421F"/>
    <w:rsid w:val="008A4CFC"/>
    <w:rsid w:val="008E3FC5"/>
    <w:rsid w:val="0096090A"/>
    <w:rsid w:val="009C4CE3"/>
    <w:rsid w:val="009E4036"/>
    <w:rsid w:val="00A5461B"/>
    <w:rsid w:val="00A62D77"/>
    <w:rsid w:val="00A83DBB"/>
    <w:rsid w:val="00A8530C"/>
    <w:rsid w:val="00AA300F"/>
    <w:rsid w:val="00AC09BE"/>
    <w:rsid w:val="00AF01EF"/>
    <w:rsid w:val="00AF29FC"/>
    <w:rsid w:val="00B0153E"/>
    <w:rsid w:val="00B54AD1"/>
    <w:rsid w:val="00C32FD8"/>
    <w:rsid w:val="00C45DF6"/>
    <w:rsid w:val="00C67557"/>
    <w:rsid w:val="00C836C8"/>
    <w:rsid w:val="00CF0073"/>
    <w:rsid w:val="00CF0323"/>
    <w:rsid w:val="00DC71C4"/>
    <w:rsid w:val="00DD0190"/>
    <w:rsid w:val="00E367FF"/>
    <w:rsid w:val="00F25E42"/>
    <w:rsid w:val="00F332B5"/>
    <w:rsid w:val="00F41D7F"/>
    <w:rsid w:val="00F83961"/>
    <w:rsid w:val="00FC20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EE3D"/>
  <w15:chartTrackingRefBased/>
  <w15:docId w15:val="{FD5F6BD3-C8B9-4586-90E4-C5222B53A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F8D"/>
  </w:style>
  <w:style w:type="paragraph" w:styleId="Heading1">
    <w:name w:val="heading 1"/>
    <w:basedOn w:val="Normal"/>
    <w:next w:val="Normal"/>
    <w:link w:val="Heading1Char"/>
    <w:uiPriority w:val="9"/>
    <w:qFormat/>
    <w:rsid w:val="004F3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30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30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30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30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0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0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0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0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30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82"/>
    <w:rPr>
      <w:rFonts w:eastAsiaTheme="majorEastAsia" w:cstheme="majorBidi"/>
      <w:color w:val="272727" w:themeColor="text1" w:themeTint="D8"/>
    </w:rPr>
  </w:style>
  <w:style w:type="paragraph" w:styleId="Title">
    <w:name w:val="Title"/>
    <w:basedOn w:val="Normal"/>
    <w:next w:val="Normal"/>
    <w:link w:val="TitleChar"/>
    <w:uiPriority w:val="10"/>
    <w:qFormat/>
    <w:rsid w:val="004F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0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0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82"/>
    <w:pPr>
      <w:spacing w:before="160"/>
      <w:jc w:val="center"/>
    </w:pPr>
    <w:rPr>
      <w:i/>
      <w:iCs/>
      <w:color w:val="404040" w:themeColor="text1" w:themeTint="BF"/>
    </w:rPr>
  </w:style>
  <w:style w:type="character" w:customStyle="1" w:styleId="QuoteChar">
    <w:name w:val="Quote Char"/>
    <w:basedOn w:val="DefaultParagraphFont"/>
    <w:link w:val="Quote"/>
    <w:uiPriority w:val="29"/>
    <w:rsid w:val="004F3082"/>
    <w:rPr>
      <w:i/>
      <w:iCs/>
      <w:color w:val="404040" w:themeColor="text1" w:themeTint="BF"/>
    </w:rPr>
  </w:style>
  <w:style w:type="paragraph" w:styleId="ListParagraph">
    <w:name w:val="List Paragraph"/>
    <w:basedOn w:val="Normal"/>
    <w:uiPriority w:val="34"/>
    <w:qFormat/>
    <w:rsid w:val="004F3082"/>
    <w:pPr>
      <w:ind w:left="720"/>
      <w:contextualSpacing/>
    </w:pPr>
  </w:style>
  <w:style w:type="character" w:styleId="IntenseEmphasis">
    <w:name w:val="Intense Emphasis"/>
    <w:basedOn w:val="DefaultParagraphFont"/>
    <w:uiPriority w:val="21"/>
    <w:qFormat/>
    <w:rsid w:val="004F3082"/>
    <w:rPr>
      <w:i/>
      <w:iCs/>
      <w:color w:val="0F4761" w:themeColor="accent1" w:themeShade="BF"/>
    </w:rPr>
  </w:style>
  <w:style w:type="paragraph" w:styleId="IntenseQuote">
    <w:name w:val="Intense Quote"/>
    <w:basedOn w:val="Normal"/>
    <w:next w:val="Normal"/>
    <w:link w:val="IntenseQuoteChar"/>
    <w:uiPriority w:val="30"/>
    <w:qFormat/>
    <w:rsid w:val="004F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3082"/>
    <w:rPr>
      <w:i/>
      <w:iCs/>
      <w:color w:val="0F4761" w:themeColor="accent1" w:themeShade="BF"/>
    </w:rPr>
  </w:style>
  <w:style w:type="character" w:styleId="IntenseReference">
    <w:name w:val="Intense Reference"/>
    <w:basedOn w:val="DefaultParagraphFont"/>
    <w:uiPriority w:val="32"/>
    <w:qFormat/>
    <w:rsid w:val="004F3082"/>
    <w:rPr>
      <w:b/>
      <w:bCs/>
      <w:smallCaps/>
      <w:color w:val="0F4761" w:themeColor="accent1" w:themeShade="BF"/>
      <w:spacing w:val="5"/>
    </w:rPr>
  </w:style>
  <w:style w:type="character" w:styleId="PlaceholderText">
    <w:name w:val="Placeholder Text"/>
    <w:basedOn w:val="DefaultParagraphFont"/>
    <w:uiPriority w:val="99"/>
    <w:semiHidden/>
    <w:rsid w:val="00AA300F"/>
    <w:rPr>
      <w:color w:val="666666"/>
    </w:rPr>
  </w:style>
  <w:style w:type="paragraph" w:styleId="Header">
    <w:name w:val="header"/>
    <w:basedOn w:val="Normal"/>
    <w:link w:val="HeaderChar"/>
    <w:uiPriority w:val="99"/>
    <w:unhideWhenUsed/>
    <w:rsid w:val="007944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44D8"/>
  </w:style>
  <w:style w:type="paragraph" w:styleId="Footer">
    <w:name w:val="footer"/>
    <w:basedOn w:val="Normal"/>
    <w:link w:val="FooterChar"/>
    <w:uiPriority w:val="99"/>
    <w:unhideWhenUsed/>
    <w:rsid w:val="007944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44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468</TotalTime>
  <Pages>5</Pages>
  <Words>1647</Words>
  <Characters>10313</Characters>
  <Application>Microsoft Office Word</Application>
  <DocSecurity>0</DocSecurity>
  <Lines>396</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MacLeod, Malcolm</dc:creator>
  <cp:keywords/>
  <dc:description/>
  <cp:lastModifiedBy>MacLeod, Malcolm</cp:lastModifiedBy>
  <cp:revision>6</cp:revision>
  <dcterms:created xsi:type="dcterms:W3CDTF">2025-10-08T21:39:00Z</dcterms:created>
  <dcterms:modified xsi:type="dcterms:W3CDTF">2026-01-15T00:29:00Z</dcterms:modified>
</cp:coreProperties>
</file>