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600" w:after="80"/>
        <w:jc w:val="left"/>
        <w:rPr/>
      </w:pPr>
      <w:r>
        <w:rPr>
          <w:rFonts w:eastAsia="Lato" w:cs="Lato"/>
          <w:color w:val="B45309"/>
          <w:spacing w:val="40"/>
          <w:sz w:val="18"/>
          <w:szCs w:val="18"/>
        </w:rPr>
        <w:t>CONCURSO DATOS ABIERTOS · AYUNTAMIENTO DE MADRID 2026</w:t>
      </w:r>
    </w:p>
    <w:p>
      <w:pPr>
        <w:pStyle w:val="Normal"/>
        <w:spacing w:lineRule="auto" w:line="240" w:before="0" w:after="60"/>
        <w:jc w:val="left"/>
        <w:rPr/>
      </w:pPr>
      <w:r>
        <w:rPr>
          <w:rFonts w:eastAsia="Lato" w:cs="Lato"/>
          <w:b/>
          <w:bCs/>
          <w:color w:val="111111"/>
          <w:sz w:val="40"/>
          <w:szCs w:val="40"/>
        </w:rPr>
        <w:t>Vigilante de Contratación Menor</w:t>
      </w:r>
    </w:p>
    <w:p>
      <w:pPr>
        <w:pStyle w:val="Normal"/>
        <w:spacing w:lineRule="auto" w:line="240" w:before="0" w:after="200"/>
        <w:jc w:val="left"/>
        <w:rPr/>
      </w:pPr>
      <w:r>
        <w:rPr>
          <w:rFonts w:eastAsia="Lato" w:cs="Lato"/>
          <w:i/>
          <w:iCs/>
          <w:color w:val="555555"/>
          <w:sz w:val="24"/>
          <w:szCs w:val="24"/>
        </w:rPr>
        <w:t>Análisis comparado de concentración y fraccionamiento en contratación menor municipal. Madrid frente a Barcelona, 2023–2025.</w:t>
      </w:r>
    </w:p>
    <w:tbl>
      <w:tblPr>
        <w:tblW w:w="9200" w:type="dxa"/>
        <w:jc w:val="left"/>
        <w:tblInd w:w="0" w:type="dxa"/>
        <w:tblLayout w:type="fixed"/>
        <w:tblCellMar>
          <w:top w:w="80" w:type="dxa"/>
          <w:left w:w="120" w:type="dxa"/>
          <w:bottom w:w="80" w:type="dxa"/>
          <w:right w:w="120" w:type="dxa"/>
        </w:tblCellMar>
      </w:tblPr>
      <w:tblGrid>
        <w:gridCol w:w="2400"/>
        <w:gridCol w:w="6799"/>
      </w:tblGrid>
      <w:tr>
        <w:trPr>
          <w:tblHeader w:val="true"/>
        </w:trPr>
        <w:tc>
          <w:tcPr>
            <w:tcW w:w="2400" w:type="dxa"/>
            <w:tcBorders>
              <w:top w:val="single" w:sz="4" w:space="0" w:color="CCCCCC"/>
              <w:left w:val="single" w:sz="4" w:space="0" w:color="CCCCCC"/>
              <w:bottom w:val="single" w:sz="4" w:space="0" w:color="CCCCCC"/>
              <w:right w:val="single" w:sz="4" w:space="0" w:color="CCCCCC"/>
            </w:tcBorders>
            <w:shd w:fill="F2F2F2" w:val="clear"/>
          </w:tcPr>
          <w:p>
            <w:pPr>
              <w:pStyle w:val="Normal"/>
              <w:widowControl w:val="false"/>
              <w:spacing w:lineRule="auto" w:line="240"/>
              <w:rPr/>
            </w:pPr>
            <w:r>
              <w:rPr>
                <w:rFonts w:eastAsia="Lato" w:cs="Lato"/>
                <w:b/>
                <w:bCs/>
                <w:color w:val="111111"/>
                <w:sz w:val="20"/>
                <w:szCs w:val="20"/>
              </w:rPr>
              <w:t>Categoría</w:t>
            </w:r>
          </w:p>
        </w:tc>
        <w:tc>
          <w:tcPr>
            <w:tcW w:w="6799" w:type="dxa"/>
            <w:tcBorders>
              <w:top w:val="single" w:sz="4" w:space="0" w:color="CCCCCC"/>
              <w:left w:val="single" w:sz="4" w:space="0" w:color="CCCCCC"/>
              <w:bottom w:val="single" w:sz="4" w:space="0" w:color="CCCCCC"/>
              <w:right w:val="single" w:sz="4" w:space="0" w:color="CCCCCC"/>
            </w:tcBorders>
            <w:shd w:fill="F2F2F2" w:val="clear"/>
          </w:tcPr>
          <w:p>
            <w:pPr>
              <w:pStyle w:val="Normal"/>
              <w:widowControl w:val="false"/>
              <w:spacing w:lineRule="auto" w:line="240"/>
              <w:rPr/>
            </w:pPr>
            <w:r>
              <w:rPr>
                <w:rFonts w:eastAsia="Lato" w:cs="Lato"/>
                <w:b/>
                <w:bCs/>
                <w:color w:val="111111"/>
                <w:sz w:val="20"/>
                <w:szCs w:val="20"/>
              </w:rPr>
              <w:t>Estudios, investigaciones e ideas</w:t>
            </w:r>
          </w:p>
        </w:tc>
      </w:tr>
      <w:tr>
        <w:trPr/>
        <w:tc>
          <w:tcPr>
            <w:tcW w:w="24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Autor</w:t>
            </w:r>
          </w:p>
        </w:tc>
        <w:tc>
          <w:tcPr>
            <w:tcW w:w="6799"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Gonzalo Martín Roldán</w:t>
            </w:r>
          </w:p>
        </w:tc>
      </w:tr>
      <w:tr>
        <w:trPr/>
        <w:tc>
          <w:tcPr>
            <w:tcW w:w="24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Repositorio</w:t>
            </w:r>
          </w:p>
        </w:tc>
        <w:tc>
          <w:tcPr>
            <w:tcW w:w="6799"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hyperlink r:id="rId2">
              <w:r>
                <w:rPr>
                  <w:rFonts w:eastAsia="Lato" w:cs="Lato"/>
                  <w:color w:val="0563C1"/>
                  <w:sz w:val="22"/>
                  <w:szCs w:val="22"/>
                  <w:u w:val="single"/>
                </w:rPr>
                <w:t>https://github.com/GonxoMR/vigilante</w:t>
              </w:r>
            </w:hyperlink>
          </w:p>
        </w:tc>
      </w:tr>
      <w:tr>
        <w:trPr/>
        <w:tc>
          <w:tcPr>
            <w:tcW w:w="24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Vídeo demo</w:t>
            </w:r>
          </w:p>
        </w:tc>
        <w:tc>
          <w:tcPr>
            <w:tcW w:w="6799"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Pendiente de publicación. URL definitiva se notificará al órgano instructor antes del cierre del plazo de presentación.</w:t>
            </w:r>
          </w:p>
        </w:tc>
      </w:tr>
      <w:tr>
        <w:trPr/>
        <w:tc>
          <w:tcPr>
            <w:tcW w:w="24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Datos</w:t>
            </w:r>
          </w:p>
        </w:tc>
        <w:tc>
          <w:tcPr>
            <w:tcW w:w="6799"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datos.madrid.es · opendata-ajuntament.barcelona.cat (CC BY 4.0)</w:t>
            </w:r>
          </w:p>
        </w:tc>
      </w:tr>
      <w:tr>
        <w:trPr/>
        <w:tc>
          <w:tcPr>
            <w:tcW w:w="24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Período analizado</w:t>
            </w:r>
          </w:p>
        </w:tc>
        <w:tc>
          <w:tcPr>
            <w:tcW w:w="6799"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2023-01 a 2025-04 (28 meses)</w:t>
            </w:r>
          </w:p>
        </w:tc>
      </w:tr>
    </w:tbl>
    <w:p>
      <w:pPr>
        <w:pStyle w:val="Normal"/>
        <w:spacing w:lineRule="auto" w:line="240" w:before="200" w:after="0"/>
        <w:rPr/>
      </w:pPr>
      <w:r>
        <w:rPr/>
      </w:r>
    </w:p>
    <w:p>
      <w:pPr>
        <w:pStyle w:val="Heading2"/>
        <w:spacing w:lineRule="auto" w:line="240" w:before="140" w:after="60"/>
        <w:rPr/>
      </w:pPr>
      <w:r>
        <w:rPr>
          <w:rFonts w:eastAsia="Lato" w:cs="Lato" w:ascii="Lato" w:hAnsi="Lato"/>
          <w:b/>
          <w:bCs/>
          <w:color w:val="111111"/>
          <w:sz w:val="24"/>
          <w:szCs w:val="24"/>
        </w:rPr>
        <w:t>Resumen ejecutivo</w:t>
      </w:r>
    </w:p>
    <w:p>
      <w:pPr>
        <w:pStyle w:val="Normal"/>
        <w:spacing w:lineRule="auto" w:line="240" w:before="0" w:after="80"/>
        <w:jc w:val="both"/>
        <w:rPr/>
      </w:pPr>
      <w:r>
        <w:rPr>
          <w:rFonts w:eastAsia="Lato" w:cs="Lato"/>
          <w:color w:val="111111"/>
          <w:sz w:val="22"/>
          <w:szCs w:val="22"/>
        </w:rPr>
        <w:t xml:space="preserve">Los contratos menores son adjudicaciones directas por debajo de </w:t>
      </w:r>
      <w:r>
        <w:rPr>
          <w:rFonts w:eastAsia="Lato" w:cs="Lato"/>
          <w:b/>
          <w:bCs/>
          <w:color w:val="111111"/>
          <w:sz w:val="22"/>
          <w:szCs w:val="22"/>
        </w:rPr>
        <w:t>15.000 € en servicios y suministros</w:t>
      </w:r>
      <w:r>
        <w:rPr>
          <w:rFonts w:eastAsia="Lato" w:cs="Lato"/>
          <w:color w:val="111111"/>
          <w:sz w:val="22"/>
          <w:szCs w:val="22"/>
        </w:rPr>
        <w:t xml:space="preserve"> y </w:t>
      </w:r>
      <w:r>
        <w:rPr>
          <w:rFonts w:eastAsia="Lato" w:cs="Lato"/>
          <w:b/>
          <w:bCs/>
          <w:color w:val="111111"/>
          <w:sz w:val="22"/>
          <w:szCs w:val="22"/>
        </w:rPr>
        <w:t>40.000 € en obras</w:t>
      </w:r>
      <w:r>
        <w:rPr>
          <w:rFonts w:eastAsia="Lato" w:cs="Lato"/>
          <w:color w:val="111111"/>
          <w:sz w:val="22"/>
          <w:szCs w:val="22"/>
        </w:rPr>
        <w:t xml:space="preserve"> (sin IVA, LCSP). Constituyen el segmento menos visible de la contratación pública española: no requieren publicidad ni concurrencia. Este estudio analiza </w:t>
      </w:r>
      <w:r>
        <w:rPr>
          <w:rFonts w:eastAsia="Lato" w:cs="Lato"/>
          <w:b/>
          <w:bCs/>
          <w:color w:val="111111"/>
          <w:sz w:val="22"/>
          <w:szCs w:val="22"/>
        </w:rPr>
        <w:t>15.778 contratos de Madrid (109,9 M€)</w:t>
      </w:r>
      <w:r>
        <w:rPr>
          <w:rFonts w:eastAsia="Lato" w:cs="Lato"/>
          <w:color w:val="111111"/>
          <w:sz w:val="22"/>
          <w:szCs w:val="22"/>
        </w:rPr>
        <w:t xml:space="preserve"> y </w:t>
      </w:r>
      <w:r>
        <w:rPr>
          <w:rFonts w:eastAsia="Lato" w:cs="Lato"/>
          <w:b/>
          <w:bCs/>
          <w:color w:val="111111"/>
          <w:sz w:val="22"/>
          <w:szCs w:val="22"/>
        </w:rPr>
        <w:t>62.473 de Barcelona</w:t>
      </w:r>
      <w:r>
        <w:rPr>
          <w:rFonts w:eastAsia="Lato" w:cs="Lato"/>
          <w:color w:val="111111"/>
          <w:sz w:val="22"/>
          <w:szCs w:val="22"/>
        </w:rPr>
        <w:t xml:space="preserve"> aplicando el índice Herfindahl-Hirschman (HHI) como medida de concentración por proveedor y la heurística del artículo 99.2 LCSP para detectar posibles fraccionamientos.</w:t>
      </w:r>
    </w:p>
    <w:p>
      <w:pPr>
        <w:pStyle w:val="Normal"/>
        <w:spacing w:lineRule="auto" w:line="240" w:before="0" w:after="80"/>
        <w:jc w:val="both"/>
        <w:rPr/>
      </w:pPr>
      <w:r>
        <w:rPr>
          <w:rFonts w:eastAsia="Lato" w:cs="Lato"/>
          <w:color w:val="111111"/>
          <w:sz w:val="22"/>
          <w:szCs w:val="22"/>
        </w:rPr>
        <w:t xml:space="preserve">Los resultados son consistentes a lo largo de los tres ejercicios. La mediana del HHI por órgano contratante en Madrid es </w:t>
      </w:r>
      <w:r>
        <w:rPr>
          <w:rFonts w:eastAsia="Lato" w:cs="Lato"/>
          <w:b/>
          <w:bCs/>
          <w:color w:val="111111"/>
          <w:sz w:val="22"/>
          <w:szCs w:val="22"/>
        </w:rPr>
        <w:t>3,6 veces superior</w:t>
      </w:r>
      <w:r>
        <w:rPr>
          <w:rFonts w:eastAsia="Lato" w:cs="Lato"/>
          <w:color w:val="111111"/>
          <w:sz w:val="22"/>
          <w:szCs w:val="22"/>
        </w:rPr>
        <w:t xml:space="preserve"> a la de Barcelona (0,044 frente a 0,012). En el sector de tecnologías de la información el ratio asciende a </w:t>
      </w:r>
      <w:r>
        <w:rPr>
          <w:rFonts w:eastAsia="Lato" w:cs="Lato"/>
          <w:b/>
          <w:bCs/>
          <w:color w:val="111111"/>
          <w:sz w:val="22"/>
          <w:szCs w:val="22"/>
        </w:rPr>
        <w:t>31,9×</w:t>
      </w:r>
      <w:r>
        <w:rPr>
          <w:rFonts w:eastAsia="Lato" w:cs="Lato"/>
          <w:color w:val="111111"/>
          <w:sz w:val="22"/>
          <w:szCs w:val="22"/>
        </w:rPr>
        <w:t xml:space="preserve">. El escáner LCSP identifica </w:t>
      </w:r>
      <w:r>
        <w:rPr>
          <w:rFonts w:eastAsia="Lato" w:cs="Lato"/>
          <w:b/>
          <w:bCs/>
          <w:color w:val="111111"/>
          <w:sz w:val="22"/>
          <w:szCs w:val="22"/>
        </w:rPr>
        <w:t>866 ventanas de 30 días</w:t>
      </w:r>
      <w:r>
        <w:rPr>
          <w:rFonts w:eastAsia="Lato" w:cs="Lato"/>
          <w:color w:val="111111"/>
          <w:sz w:val="22"/>
          <w:szCs w:val="22"/>
        </w:rPr>
        <w:t xml:space="preserve"> donde un mismo proveedor supera los umbrales legales en </w:t>
      </w:r>
      <w:r>
        <w:rPr>
          <w:rFonts w:eastAsia="Lato" w:cs="Lato"/>
          <w:b/>
          <w:bCs/>
          <w:color w:val="111111"/>
          <w:sz w:val="22"/>
          <w:szCs w:val="22"/>
        </w:rPr>
        <w:t>342 NIFs</w:t>
      </w:r>
      <w:r>
        <w:rPr>
          <w:rFonts w:eastAsia="Lato" w:cs="Lato"/>
          <w:color w:val="111111"/>
          <w:sz w:val="22"/>
          <w:szCs w:val="22"/>
        </w:rPr>
        <w:t xml:space="preserve"> distintos. Se documentan cuatro casos paradigmáticos: Gartner, MOYPE Sport, Serintcom y el sector TI, con cifras y patrón verificables contra los expedientes administrativos.</w:t>
      </w:r>
    </w:p>
    <w:p>
      <w:pPr>
        <w:pStyle w:val="Normal"/>
        <w:spacing w:lineRule="auto" w:line="240" w:before="0" w:after="80"/>
        <w:jc w:val="both"/>
        <w:rPr/>
      </w:pPr>
      <w:r>
        <w:rPr>
          <w:rFonts w:eastAsia="Lato" w:cs="Lato"/>
          <w:color w:val="111111"/>
          <w:sz w:val="22"/>
          <w:szCs w:val="22"/>
        </w:rPr>
        <w:t xml:space="preserve">La metodología es reproducible mediante un único comando, el código se publica con licencia abierta y el diccionario CPV español que normaliza los objetos de Madrid se entrega como artefacto independiente reutilizable. Sobre esta base, el estudio formula una recomendación operativa al Ayuntamiento de Madrid: </w:t>
      </w:r>
      <w:r>
        <w:rPr>
          <w:rFonts w:eastAsia="Lato" w:cs="Lato"/>
          <w:b/>
          <w:bCs/>
          <w:color w:val="111111"/>
          <w:sz w:val="22"/>
          <w:szCs w:val="22"/>
        </w:rPr>
        <w:t>adoptar el vocabulario CPV de forma nativa en sus contratos menores</w:t>
      </w:r>
      <w:r>
        <w:rPr>
          <w:rFonts w:eastAsia="Lato" w:cs="Lato"/>
          <w:color w:val="111111"/>
          <w:sz w:val="22"/>
          <w:szCs w:val="22"/>
        </w:rPr>
        <w:t xml:space="preserve"> y considerar acuerdos marco para los sectores con concentración recurrente.</w:t>
      </w:r>
    </w:p>
    <w:p>
      <w:pPr>
        <w:pStyle w:val="Heading1"/>
        <w:spacing w:lineRule="auto" w:line="240" w:before="200" w:after="100"/>
        <w:rPr/>
      </w:pPr>
      <w:r>
        <w:rPr>
          <w:rFonts w:eastAsia="Lato" w:cs="Lato" w:ascii="Lato" w:hAnsi="Lato"/>
          <w:b/>
          <w:bCs/>
          <w:color w:val="111111"/>
          <w:sz w:val="28"/>
          <w:szCs w:val="28"/>
        </w:rPr>
        <w:t>1. Descripción del estudio</w:t>
      </w:r>
    </w:p>
    <w:p>
      <w:pPr>
        <w:pStyle w:val="Normal"/>
        <w:spacing w:lineRule="auto" w:line="240" w:before="0" w:after="80"/>
        <w:jc w:val="both"/>
        <w:rPr/>
      </w:pPr>
      <w:r>
        <w:rPr>
          <w:rFonts w:eastAsia="Lato" w:cs="Lato"/>
          <w:b/>
          <w:bCs/>
          <w:color w:val="111111"/>
          <w:sz w:val="22"/>
          <w:szCs w:val="22"/>
        </w:rPr>
        <w:t>Vigilante de Contratación Menor</w:t>
      </w:r>
      <w:r>
        <w:rPr>
          <w:rFonts w:eastAsia="Lato" w:cs="Lato"/>
          <w:color w:val="111111"/>
          <w:sz w:val="22"/>
          <w:szCs w:val="22"/>
        </w:rPr>
        <w:t xml:space="preserve"> es un estudio cuantitativo y reproducible sobre la contratación menor de los Ayuntamientos de Madrid y Barcelona en el período 2023–2025. Cruza por primera vez los dos portales de datos abiertos con dos indicadores homologados: el índice de concentración </w:t>
      </w:r>
      <w:r>
        <w:rPr>
          <w:rFonts w:eastAsia="Lato" w:cs="Lato"/>
          <w:color w:val="111111"/>
          <w:sz w:val="22"/>
          <w:szCs w:val="22"/>
        </w:rPr>
        <w:t xml:space="preserve">de </w:t>
      </w:r>
      <w:r>
        <w:rPr>
          <w:rFonts w:eastAsia="Lato" w:cs="Lato"/>
          <w:color w:val="111111"/>
          <w:sz w:val="22"/>
          <w:szCs w:val="22"/>
        </w:rPr>
        <w:t>Herfindahl Hirschman (HHI), utilizado por la Comisión Europea y el Departamento de Justicia de Estados Unidos en política de competencia, y la prueba de fraccionamiento del artículo 99.2 de la Ley de Contratos del Sector Público.</w:t>
      </w:r>
    </w:p>
    <w:p>
      <w:pPr>
        <w:pStyle w:val="Normal"/>
        <w:spacing w:lineRule="auto" w:line="240" w:before="0" w:after="80"/>
        <w:jc w:val="both"/>
        <w:rPr/>
      </w:pPr>
      <w:r>
        <w:rPr>
          <w:rFonts w:eastAsia="Lato" w:cs="Lato"/>
          <w:color w:val="111111"/>
          <w:sz w:val="22"/>
          <w:szCs w:val="22"/>
        </w:rPr>
        <w:t xml:space="preserve">La elaboración produce tres entregables. Primero, </w:t>
      </w:r>
      <w:r>
        <w:rPr>
          <w:rFonts w:eastAsia="Lato" w:cs="Lato"/>
          <w:b/>
          <w:bCs/>
          <w:color w:val="111111"/>
          <w:sz w:val="22"/>
          <w:szCs w:val="22"/>
        </w:rPr>
        <w:t>un análisis con cuatro hallazgos cuantificados</w:t>
      </w:r>
      <w:r>
        <w:rPr>
          <w:rFonts w:eastAsia="Lato" w:cs="Lato"/>
          <w:color w:val="111111"/>
          <w:sz w:val="22"/>
          <w:szCs w:val="22"/>
        </w:rPr>
        <w:t xml:space="preserve"> que sitúan a Madrid 3,6 veces por encima de Barcelona en concentración mediana por órgano contratante. Segundo, </w:t>
      </w:r>
      <w:r>
        <w:rPr>
          <w:rFonts w:eastAsia="Lato" w:cs="Lato"/>
          <w:b/>
          <w:bCs/>
          <w:color w:val="111111"/>
          <w:sz w:val="22"/>
          <w:szCs w:val="22"/>
        </w:rPr>
        <w:t>un pipeline ETL de cinco pasos</w:t>
      </w:r>
      <w:r>
        <w:rPr>
          <w:rFonts w:eastAsia="Lato" w:cs="Lato"/>
          <w:color w:val="111111"/>
          <w:sz w:val="22"/>
          <w:szCs w:val="22"/>
        </w:rPr>
        <w:t xml:space="preserve"> que descarga, normaliza, clasifica, indexa y publica los datos sobre los que se sostiene el análisis. Tercero, </w:t>
      </w:r>
      <w:r>
        <w:rPr>
          <w:rFonts w:eastAsia="Lato" w:cs="Lato"/>
          <w:b/>
          <w:bCs/>
          <w:color w:val="111111"/>
          <w:sz w:val="22"/>
          <w:szCs w:val="22"/>
        </w:rPr>
        <w:t>un diccionario CPV español</w:t>
      </w:r>
      <w:r>
        <w:rPr>
          <w:rFonts w:eastAsia="Lato" w:cs="Lato"/>
          <w:color w:val="111111"/>
          <w:sz w:val="22"/>
          <w:szCs w:val="22"/>
        </w:rPr>
        <w:t xml:space="preserve"> que traduce los objetos en texto libre que publica Madrid al vocabulario europeo CPV (Reglamento CE 213/2008), publicado como artefacto abierto reutilizable por cualquier administración con esquema de datos análogo.</w:t>
      </w:r>
    </w:p>
    <w:p>
      <w:pPr>
        <w:pStyle w:val="Normal"/>
        <w:spacing w:lineRule="auto" w:line="240" w:before="0" w:after="80"/>
        <w:jc w:val="both"/>
        <w:rPr/>
      </w:pPr>
      <w:r>
        <w:rPr>
          <w:rFonts w:eastAsia="Lato" w:cs="Lato"/>
          <w:color w:val="111111"/>
          <w:sz w:val="22"/>
          <w:szCs w:val="22"/>
        </w:rPr>
        <w:t>La salida visual del estudio es un informe scrollytelling en HTML autocontenido, alojado en el repositorio público y abrible directamente en cualquier navegador moderno. Combina narrativa, gráficos D3.js y casos documentados; sirve al lector no técnico sin renunciar a la trazabilidad metodológica que pide el lector experto.</w:t>
      </w:r>
    </w:p>
    <w:p>
      <w:pPr>
        <w:pStyle w:val="Heading1"/>
        <w:spacing w:lineRule="auto" w:line="240" w:before="200" w:after="100"/>
        <w:rPr/>
      </w:pPr>
      <w:r>
        <w:rPr>
          <w:rFonts w:eastAsia="Lato" w:cs="Lato" w:ascii="Lato" w:hAnsi="Lato"/>
          <w:b/>
          <w:bCs/>
          <w:color w:val="111111"/>
          <w:sz w:val="28"/>
          <w:szCs w:val="28"/>
        </w:rPr>
        <w:t>2. Problema y oportunidad</w:t>
      </w:r>
    </w:p>
    <w:p>
      <w:pPr>
        <w:pStyle w:val="Normal"/>
        <w:spacing w:lineRule="auto" w:line="240" w:before="0" w:after="80"/>
        <w:jc w:val="both"/>
        <w:rPr/>
      </w:pPr>
      <w:r>
        <w:rPr>
          <w:rFonts w:eastAsia="Lato" w:cs="Lato"/>
          <w:color w:val="111111"/>
          <w:sz w:val="22"/>
          <w:szCs w:val="22"/>
        </w:rPr>
        <w:t xml:space="preserve">Los contratos menores agilizan compras de poco importe sin la carga de una licitación completa, y la propia LCSP reconoce su utilidad. En Madrid </w:t>
      </w:r>
      <w:r>
        <w:rPr>
          <w:rFonts w:eastAsia="Lato" w:cs="Lato"/>
          <w:color w:val="111111"/>
          <w:sz w:val="22"/>
          <w:szCs w:val="22"/>
        </w:rPr>
        <w:t xml:space="preserve">movieron </w:t>
      </w:r>
      <w:r>
        <w:rPr>
          <w:rFonts w:eastAsia="Lato" w:cs="Lato"/>
          <w:b/>
          <w:bCs/>
          <w:color w:val="111111"/>
          <w:sz w:val="22"/>
          <w:szCs w:val="22"/>
        </w:rPr>
        <w:t xml:space="preserve">109,9 M€ en 2023–2025, </w:t>
      </w:r>
      <w:r>
        <w:rPr>
          <w:rFonts w:eastAsia="Lato" w:cs="Lato"/>
          <w:b w:val="false"/>
          <w:bCs w:val="false"/>
          <w:color w:val="111111"/>
          <w:sz w:val="22"/>
          <w:szCs w:val="22"/>
        </w:rPr>
        <w:t>alrededor</w:t>
      </w:r>
      <w:r>
        <w:rPr>
          <w:rFonts w:eastAsia="Lato" w:cs="Lato"/>
          <w:color w:val="111111"/>
          <w:sz w:val="22"/>
          <w:szCs w:val="22"/>
        </w:rPr>
        <w:t xml:space="preserve"> </w:t>
      </w:r>
      <w:r>
        <w:rPr>
          <w:rFonts w:eastAsia="Lato" w:cs="Lato"/>
          <w:color w:val="111111"/>
          <w:sz w:val="22"/>
          <w:szCs w:val="22"/>
        </w:rPr>
        <w:t>d</w:t>
      </w:r>
      <w:r>
        <w:rPr>
          <w:rFonts w:eastAsia="Lato" w:cs="Lato"/>
          <w:color w:val="111111"/>
          <w:sz w:val="22"/>
          <w:szCs w:val="22"/>
        </w:rPr>
        <w:t>el 3 % y el 4 % del presupuesto municipal ejecutado anual, una proporción razonable y comparable a la de otras grandes administraciones. La pregunta interesante no es cuánto se gasta por esta vía, sino cómo se distribuye: si el gasto se concentra en pocos proveedores, si determinados órganos contratantes se apoyan sistemáticamente en los mismos NIFs, y si esa distribución mejora o empeora año a año.</w:t>
      </w:r>
    </w:p>
    <w:p>
      <w:pPr>
        <w:pStyle w:val="Normal"/>
        <w:spacing w:lineRule="auto" w:line="240" w:before="0" w:after="80"/>
        <w:jc w:val="both"/>
        <w:rPr/>
      </w:pPr>
      <w:r>
        <w:rPr>
          <w:rFonts w:eastAsia="Lato" w:cs="Lato"/>
          <w:color w:val="111111"/>
          <w:sz w:val="22"/>
          <w:szCs w:val="22"/>
        </w:rPr>
        <w:t xml:space="preserve">La fragilidad del régimen está reconocida en la propia LCSP, cuyo artículo 99.2 lo blinda: </w:t>
      </w:r>
      <w:r>
        <w:rPr>
          <w:rFonts w:eastAsia="Lato" w:cs="Lato"/>
          <w:i/>
          <w:iCs/>
          <w:color w:val="111111"/>
          <w:sz w:val="22"/>
          <w:szCs w:val="22"/>
        </w:rPr>
        <w:t>«no podrá fraccionarse un contrato con la finalidad de disminuir la cuantía del mismo y eludir así los requisitos de publicidad o los relativos al procedimiento de adjudicación que correspondan.»</w:t>
      </w:r>
      <w:r>
        <w:rPr>
          <w:rFonts w:eastAsia="Lato" w:cs="Lato"/>
          <w:color w:val="111111"/>
          <w:sz w:val="22"/>
          <w:szCs w:val="22"/>
        </w:rPr>
        <w:t xml:space="preserve"> El supuesto típico es nítido: un servicio de 28.000 € que debería licitarse puede aparecer como dos contratos de 13.900 € al mismo NIF en el mismo mes. Cada contrato es individualmente legal; el patrón conjunto activa el supuesto.</w:t>
      </w:r>
    </w:p>
    <w:p>
      <w:pPr>
        <w:pStyle w:val="Normal"/>
        <w:spacing w:lineRule="auto" w:line="240" w:before="0" w:after="80"/>
        <w:jc w:val="both"/>
        <w:rPr/>
      </w:pPr>
      <w:r>
        <w:rPr>
          <w:rFonts w:eastAsia="Lato" w:cs="Lato"/>
          <w:color w:val="111111"/>
          <w:sz w:val="22"/>
          <w:szCs w:val="22"/>
        </w:rPr>
        <w:t>El obstáculo no es jurídico sino operativo. Detectar fraccionamiento exige cruzar todos los contratos de cada proveedor en ventanas temporales cortas, una operación que ningún portal español ofrece automatizada hoy. Madrid publica los datos en XLSX mensuales sin códigos CPV; Barcelona en un endpoint SQL con CPV nativo. Reconciliar ambos esquemas, calcular el HHI por sector y barrer las ventanas LCSP requiere días de trabajo experto. La oportunidad de este estudio consiste precisamente en convertir los datos publicados en una capa analítica reutilizable que cualquier administración pueda incorporar a su práctica de control.</w:t>
      </w:r>
    </w:p>
    <w:p>
      <w:pPr>
        <w:pStyle w:val="Heading1"/>
        <w:spacing w:lineRule="auto" w:line="240" w:before="200" w:after="100"/>
        <w:rPr/>
      </w:pPr>
      <w:r>
        <w:rPr>
          <w:rFonts w:eastAsia="Lato" w:cs="Lato" w:ascii="Lato" w:hAnsi="Lato"/>
          <w:b/>
          <w:bCs/>
          <w:color w:val="111111"/>
          <w:sz w:val="28"/>
          <w:szCs w:val="28"/>
        </w:rPr>
        <w:t>3. Objetivo y público beneficiario</w:t>
      </w:r>
    </w:p>
    <w:p>
      <w:pPr>
        <w:pStyle w:val="Normal"/>
        <w:spacing w:lineRule="auto" w:line="240" w:before="0" w:after="80"/>
        <w:jc w:val="both"/>
        <w:rPr>
          <w:lang w:val="es-ES"/>
        </w:rPr>
      </w:pPr>
      <w:r>
        <w:rPr>
          <w:rFonts w:eastAsia="Lato" w:cs="Lato"/>
          <w:color w:val="111111"/>
          <w:sz w:val="22"/>
          <w:szCs w:val="22"/>
          <w:lang w:val="es-ES"/>
        </w:rPr>
        <w:t xml:space="preserve">El objetivo del estudio es </w:t>
      </w:r>
      <w:r>
        <w:rPr>
          <w:rFonts w:eastAsia="Lato" w:cs="Lato"/>
          <w:b/>
          <w:bCs/>
          <w:color w:val="111111"/>
          <w:sz w:val="22"/>
          <w:szCs w:val="22"/>
          <w:lang w:val="es-ES"/>
        </w:rPr>
        <w:t>reducir la fricción analítica entre el dato publicado y la decisión informada</w:t>
      </w:r>
      <w:r>
        <w:rPr>
          <w:rFonts w:eastAsia="Lato" w:cs="Lato"/>
          <w:color w:val="111111"/>
          <w:sz w:val="22"/>
          <w:szCs w:val="22"/>
          <w:lang w:val="es-ES"/>
        </w:rPr>
        <w:t xml:space="preserve">. La contratación menor de Madrid es transparente desde hace años en formato y licencia, pero su explotación seguía siendo cara en tiempo. El trabajo entrega una capa metodológica común, </w:t>
      </w:r>
      <w:r>
        <w:rPr>
          <w:rFonts w:eastAsia="Lato" w:cs="Lato"/>
          <w:color w:val="111111"/>
          <w:sz w:val="22"/>
          <w:szCs w:val="22"/>
          <w:lang w:val="es-ES"/>
        </w:rPr>
        <w:t xml:space="preserve">el </w:t>
      </w:r>
      <w:r>
        <w:rPr>
          <w:rFonts w:eastAsia="Lato" w:cs="Lato"/>
          <w:color w:val="111111"/>
          <w:sz w:val="22"/>
          <w:szCs w:val="22"/>
          <w:lang w:val="es-ES"/>
        </w:rPr>
        <w:t xml:space="preserve">HHI sectorial, escáner LCSP </w:t>
      </w:r>
      <w:r>
        <w:rPr>
          <w:rFonts w:eastAsia="Lato" w:cs="Lato"/>
          <w:color w:val="111111"/>
          <w:sz w:val="22"/>
          <w:szCs w:val="22"/>
          <w:lang w:val="es-ES"/>
        </w:rPr>
        <w:t>y</w:t>
      </w:r>
      <w:r>
        <w:rPr>
          <w:rFonts w:eastAsia="Lato" w:cs="Lato"/>
          <w:color w:val="111111"/>
          <w:sz w:val="22"/>
          <w:szCs w:val="22"/>
          <w:lang w:val="es-ES"/>
        </w:rPr>
        <w:t xml:space="preserve"> diccionario CPV sobre la que tres públicos </w:t>
      </w:r>
      <w:r>
        <w:rPr>
          <w:rFonts w:eastAsia="Lato" w:cs="Lato"/>
          <w:color w:val="111111"/>
          <w:sz w:val="22"/>
          <w:szCs w:val="22"/>
          <w:lang w:val="es-ES"/>
        </w:rPr>
        <w:t>tipo</w:t>
      </w:r>
      <w:r>
        <w:rPr>
          <w:rFonts w:eastAsia="Lato" w:cs="Lato"/>
          <w:color w:val="111111"/>
          <w:sz w:val="22"/>
          <w:szCs w:val="22"/>
          <w:lang w:val="es-ES"/>
        </w:rPr>
        <w:t xml:space="preserve"> distintos </w:t>
      </w:r>
      <w:r>
        <w:rPr>
          <w:rFonts w:eastAsia="Lato" w:cs="Lato"/>
          <w:color w:val="111111"/>
          <w:sz w:val="22"/>
          <w:szCs w:val="22"/>
          <w:lang w:val="es-ES"/>
        </w:rPr>
        <w:t xml:space="preserve">y la sociedad Madrile[]a </w:t>
      </w:r>
      <w:r>
        <w:rPr>
          <w:rFonts w:eastAsia="Lato" w:cs="Lato"/>
          <w:color w:val="111111"/>
          <w:sz w:val="22"/>
          <w:szCs w:val="22"/>
          <w:lang w:val="es-ES"/>
        </w:rPr>
        <w:t>pueden construir.</w:t>
      </w:r>
    </w:p>
    <w:p>
      <w:pPr>
        <w:pStyle w:val="Heading2"/>
        <w:spacing w:lineRule="auto" w:line="240" w:before="140" w:after="60"/>
        <w:rPr/>
      </w:pPr>
      <w:r>
        <w:rPr>
          <w:rFonts w:eastAsia="Lato" w:cs="Lato" w:ascii="Lato" w:hAnsi="Lato"/>
          <w:b/>
          <w:bCs/>
          <w:color w:val="111111"/>
          <w:sz w:val="24"/>
          <w:szCs w:val="24"/>
        </w:rPr>
        <w:t>Ayuntamiento de Madrid</w:t>
      </w:r>
    </w:p>
    <w:p>
      <w:pPr>
        <w:pStyle w:val="Normal"/>
        <w:spacing w:lineRule="auto" w:line="240" w:before="0" w:after="80"/>
        <w:jc w:val="both"/>
        <w:rPr/>
      </w:pPr>
      <w:r>
        <w:rPr>
          <w:rFonts w:eastAsia="Lato" w:cs="Lato"/>
          <w:color w:val="111111"/>
          <w:sz w:val="22"/>
          <w:szCs w:val="22"/>
        </w:rPr>
        <w:t>La principal beneficiaria del estudio es la propia administración municipal. Vigilante ofrece un autodiagnóstico sectorial reproducible que el Ayuntamiento puede integrar en sus procesos internos para identificar dónde un acuerdo marco reduciría la fragmentación, qué sectores se beneficiarían de una licitación centralizada y qué órganos requieren refuerzo preventivo. La metodología es extensible a cualquier ayuntamiento o entidad que publique contratos menores como datos abiertos, lo que multiplica el retorno de la inversión municipal en el portal de datos.</w:t>
      </w:r>
    </w:p>
    <w:p>
      <w:pPr>
        <w:pStyle w:val="Heading2"/>
        <w:spacing w:lineRule="auto" w:line="240" w:before="140" w:after="60"/>
        <w:rPr/>
      </w:pPr>
      <w:r>
        <w:rPr>
          <w:rFonts w:eastAsia="Lato" w:cs="Lato" w:ascii="Lato" w:hAnsi="Lato"/>
          <w:b/>
          <w:bCs/>
          <w:color w:val="111111"/>
          <w:sz w:val="24"/>
          <w:szCs w:val="24"/>
        </w:rPr>
        <w:t>Control interno y órganos de fiscalización</w:t>
      </w:r>
    </w:p>
    <w:p>
      <w:pPr>
        <w:pStyle w:val="Normal"/>
        <w:spacing w:lineRule="auto" w:line="240" w:before="0" w:after="80"/>
        <w:jc w:val="both"/>
        <w:rPr/>
      </w:pPr>
      <w:r>
        <w:rPr>
          <w:rFonts w:eastAsia="Lato" w:cs="Lato"/>
          <w:color w:val="111111"/>
          <w:sz w:val="22"/>
          <w:szCs w:val="22"/>
        </w:rPr>
        <w:t>Intervención General del Ayuntamiento de Madrid (IGAM), Cámara de Cuentas de la Comunidad de Madrid, Tribunal de Cuentas y los demás OCEX y OCEM disponen de un marco metodológico verificable HHI homologado y artículo 99.2 LCSP sobre el que priorizar auditorías de oficio y construir sistemas de alerta temprana basados en evidencia cuantitativa, no en señales aisladas o filtraciones de prensa.</w:t>
      </w:r>
    </w:p>
    <w:p>
      <w:pPr>
        <w:pStyle w:val="Heading2"/>
        <w:spacing w:lineRule="auto" w:line="240" w:before="140" w:after="60"/>
        <w:rPr/>
      </w:pPr>
      <w:r>
        <w:rPr>
          <w:rFonts w:eastAsia="Lato" w:cs="Lato" w:ascii="Lato" w:hAnsi="Lato"/>
          <w:b/>
          <w:bCs/>
          <w:color w:val="111111"/>
          <w:sz w:val="24"/>
          <w:szCs w:val="24"/>
        </w:rPr>
        <w:t>Ciudadanía y periodismo de datos</w:t>
      </w:r>
    </w:p>
    <w:p>
      <w:pPr>
        <w:pStyle w:val="Normal"/>
        <w:spacing w:lineRule="auto" w:line="240" w:before="0" w:after="80"/>
        <w:jc w:val="both"/>
        <w:rPr/>
      </w:pPr>
      <w:r>
        <w:rPr>
          <w:rFonts w:eastAsia="Lato" w:cs="Lato"/>
          <w:color w:val="111111"/>
          <w:sz w:val="22"/>
          <w:szCs w:val="22"/>
        </w:rPr>
        <w:t xml:space="preserve">El tercer público —y el más amplio en términos absolutos— es la ciudadanía de Madrid (cerca de </w:t>
      </w:r>
      <w:r>
        <w:rPr>
          <w:rFonts w:eastAsia="Lato" w:cs="Lato"/>
          <w:b/>
          <w:bCs/>
          <w:color w:val="111111"/>
          <w:sz w:val="22"/>
          <w:szCs w:val="22"/>
        </w:rPr>
        <w:t>3,3 millones de habitantes</w:t>
      </w:r>
      <w:r>
        <w:rPr>
          <w:rFonts w:eastAsia="Lato" w:cs="Lato"/>
          <w:color w:val="111111"/>
          <w:sz w:val="22"/>
          <w:szCs w:val="22"/>
        </w:rPr>
        <w:t>) y el ecosistema cívico de transparencia: periodistas de datos, organizaciones como Civio o Access Info Europe, asociaciones vecinales y observatorios universitarios. El informe visual del estudio ofrece lectura no técnica de los hallazgos sin renunciar a la trazabilidad: cada cifra del informe enlaza al expediente administrativo en el portal de origen.</w:t>
      </w:r>
    </w:p>
    <w:p>
      <w:pPr>
        <w:pStyle w:val="Heading1"/>
        <w:spacing w:lineRule="auto" w:line="240" w:before="200" w:after="100"/>
        <w:rPr/>
      </w:pPr>
      <w:r>
        <w:rPr>
          <w:rFonts w:eastAsia="Lato" w:cs="Lato" w:ascii="Lato" w:hAnsi="Lato"/>
          <w:b/>
          <w:bCs/>
          <w:color w:val="111111"/>
          <w:sz w:val="28"/>
          <w:szCs w:val="28"/>
        </w:rPr>
        <w:t>4. Conjuntos de datos utilizados</w:t>
      </w:r>
    </w:p>
    <w:p>
      <w:pPr>
        <w:pStyle w:val="Normal"/>
        <w:spacing w:lineRule="auto" w:line="240" w:before="0" w:after="80"/>
        <w:jc w:val="both"/>
        <w:rPr/>
      </w:pPr>
      <w:r>
        <w:rPr>
          <w:rFonts w:eastAsia="Lato" w:cs="Lato"/>
          <w:color w:val="111111"/>
          <w:sz w:val="22"/>
          <w:szCs w:val="22"/>
        </w:rPr>
        <w:t xml:space="preserve">El estudio se construye sobre cuatro conjuntos de datos abiertos. Los tres primeros proceden de </w:t>
      </w:r>
      <w:r>
        <w:rPr>
          <w:rFonts w:eastAsia="Lato" w:cs="Lato"/>
          <w:b/>
          <w:bCs/>
          <w:color w:val="111111"/>
          <w:sz w:val="22"/>
          <w:szCs w:val="22"/>
        </w:rPr>
        <w:t>datos.madrid.es</w:t>
      </w:r>
      <w:r>
        <w:rPr>
          <w:rFonts w:eastAsia="Lato" w:cs="Lato"/>
          <w:color w:val="111111"/>
          <w:sz w:val="22"/>
          <w:szCs w:val="22"/>
        </w:rPr>
        <w:t>; el cuarto, del portal de Barcelona, actúa como contraste comparativo. Todos se publican bajo licencia CC BY 4.0 y se descargan automáticamente desde el pipeline.</w:t>
      </w:r>
    </w:p>
    <w:tbl>
      <w:tblPr>
        <w:tblW w:w="9200" w:type="dxa"/>
        <w:jc w:val="left"/>
        <w:tblInd w:w="0" w:type="dxa"/>
        <w:tblLayout w:type="fixed"/>
        <w:tblCellMar>
          <w:top w:w="80" w:type="dxa"/>
          <w:left w:w="120" w:type="dxa"/>
          <w:bottom w:w="80" w:type="dxa"/>
          <w:right w:w="120" w:type="dxa"/>
        </w:tblCellMar>
      </w:tblPr>
      <w:tblGrid>
        <w:gridCol w:w="2400"/>
        <w:gridCol w:w="1300"/>
        <w:gridCol w:w="1300"/>
        <w:gridCol w:w="1099"/>
        <w:gridCol w:w="3101"/>
      </w:tblGrid>
      <w:tr>
        <w:trPr>
          <w:tblHeader w:val="true"/>
        </w:trPr>
        <w:tc>
          <w:tcPr>
            <w:tcW w:w="2400" w:type="dxa"/>
            <w:tcBorders>
              <w:top w:val="single" w:sz="4" w:space="0" w:color="CCCCCC"/>
              <w:left w:val="single" w:sz="4" w:space="0" w:color="CCCCCC"/>
              <w:bottom w:val="single" w:sz="4" w:space="0" w:color="CCCCCC"/>
              <w:right w:val="single" w:sz="4" w:space="0" w:color="CCCCCC"/>
            </w:tcBorders>
            <w:shd w:fill="F2F2F2" w:val="clear"/>
          </w:tcPr>
          <w:p>
            <w:pPr>
              <w:pStyle w:val="Normal"/>
              <w:widowControl w:val="false"/>
              <w:spacing w:lineRule="auto" w:line="240"/>
              <w:rPr/>
            </w:pPr>
            <w:r>
              <w:rPr>
                <w:rFonts w:eastAsia="Lato" w:cs="Lato"/>
                <w:b/>
                <w:bCs/>
                <w:color w:val="111111"/>
                <w:sz w:val="20"/>
                <w:szCs w:val="20"/>
              </w:rPr>
              <w:t>Conjunto de datos</w:t>
            </w:r>
          </w:p>
        </w:tc>
        <w:tc>
          <w:tcPr>
            <w:tcW w:w="1300" w:type="dxa"/>
            <w:tcBorders>
              <w:top w:val="single" w:sz="4" w:space="0" w:color="CCCCCC"/>
              <w:left w:val="single" w:sz="4" w:space="0" w:color="CCCCCC"/>
              <w:bottom w:val="single" w:sz="4" w:space="0" w:color="CCCCCC"/>
              <w:right w:val="single" w:sz="4" w:space="0" w:color="CCCCCC"/>
            </w:tcBorders>
            <w:shd w:fill="F2F2F2" w:val="clear"/>
          </w:tcPr>
          <w:p>
            <w:pPr>
              <w:pStyle w:val="Normal"/>
              <w:widowControl w:val="false"/>
              <w:spacing w:lineRule="auto" w:line="240"/>
              <w:rPr/>
            </w:pPr>
            <w:r>
              <w:rPr>
                <w:rFonts w:eastAsia="Lato" w:cs="Lato"/>
                <w:b/>
                <w:bCs/>
                <w:color w:val="111111"/>
                <w:sz w:val="20"/>
                <w:szCs w:val="20"/>
              </w:rPr>
              <w:t>Identificador</w:t>
            </w:r>
          </w:p>
        </w:tc>
        <w:tc>
          <w:tcPr>
            <w:tcW w:w="1300" w:type="dxa"/>
            <w:tcBorders>
              <w:top w:val="single" w:sz="4" w:space="0" w:color="CCCCCC"/>
              <w:left w:val="single" w:sz="4" w:space="0" w:color="CCCCCC"/>
              <w:bottom w:val="single" w:sz="4" w:space="0" w:color="CCCCCC"/>
              <w:right w:val="single" w:sz="4" w:space="0" w:color="CCCCCC"/>
            </w:tcBorders>
            <w:shd w:fill="F2F2F2" w:val="clear"/>
          </w:tcPr>
          <w:p>
            <w:pPr>
              <w:pStyle w:val="Normal"/>
              <w:widowControl w:val="false"/>
              <w:spacing w:lineRule="auto" w:line="240"/>
              <w:rPr/>
            </w:pPr>
            <w:r>
              <w:rPr>
                <w:rFonts w:eastAsia="Lato" w:cs="Lato"/>
                <w:b/>
                <w:bCs/>
                <w:color w:val="111111"/>
                <w:sz w:val="20"/>
                <w:szCs w:val="20"/>
              </w:rPr>
              <w:t>Formato</w:t>
            </w:r>
          </w:p>
        </w:tc>
        <w:tc>
          <w:tcPr>
            <w:tcW w:w="1099" w:type="dxa"/>
            <w:tcBorders>
              <w:top w:val="single" w:sz="4" w:space="0" w:color="CCCCCC"/>
              <w:left w:val="single" w:sz="4" w:space="0" w:color="CCCCCC"/>
              <w:bottom w:val="single" w:sz="4" w:space="0" w:color="CCCCCC"/>
              <w:right w:val="single" w:sz="4" w:space="0" w:color="CCCCCC"/>
            </w:tcBorders>
            <w:shd w:fill="F2F2F2" w:val="clear"/>
          </w:tcPr>
          <w:p>
            <w:pPr>
              <w:pStyle w:val="Normal"/>
              <w:widowControl w:val="false"/>
              <w:spacing w:lineRule="auto" w:line="240"/>
              <w:rPr/>
            </w:pPr>
            <w:r>
              <w:rPr>
                <w:rFonts w:eastAsia="Lato" w:cs="Lato"/>
                <w:b/>
                <w:bCs/>
                <w:color w:val="111111"/>
                <w:sz w:val="20"/>
                <w:szCs w:val="20"/>
              </w:rPr>
              <w:t>Volumen</w:t>
            </w:r>
          </w:p>
        </w:tc>
        <w:tc>
          <w:tcPr>
            <w:tcW w:w="3101" w:type="dxa"/>
            <w:tcBorders>
              <w:top w:val="single" w:sz="4" w:space="0" w:color="CCCCCC"/>
              <w:left w:val="single" w:sz="4" w:space="0" w:color="CCCCCC"/>
              <w:bottom w:val="single" w:sz="4" w:space="0" w:color="CCCCCC"/>
              <w:right w:val="single" w:sz="4" w:space="0" w:color="CCCCCC"/>
            </w:tcBorders>
            <w:shd w:fill="F2F2F2" w:val="clear"/>
          </w:tcPr>
          <w:p>
            <w:pPr>
              <w:pStyle w:val="Normal"/>
              <w:widowControl w:val="false"/>
              <w:spacing w:lineRule="auto" w:line="240"/>
              <w:rPr/>
            </w:pPr>
            <w:r>
              <w:rPr>
                <w:rFonts w:eastAsia="Lato" w:cs="Lato"/>
                <w:b/>
                <w:bCs/>
                <w:color w:val="111111"/>
                <w:sz w:val="20"/>
                <w:szCs w:val="20"/>
              </w:rPr>
              <w:t>Aporte al estudio</w:t>
            </w:r>
          </w:p>
        </w:tc>
      </w:tr>
      <w:tr>
        <w:trPr/>
        <w:tc>
          <w:tcPr>
            <w:tcW w:w="24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Contratos menores Madrid</w:t>
            </w:r>
          </w:p>
        </w:tc>
        <w:tc>
          <w:tcPr>
            <w:tcW w:w="13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300253-0</w:t>
            </w:r>
          </w:p>
        </w:tc>
        <w:tc>
          <w:tcPr>
            <w:tcW w:w="13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XLSX mensual</w:t>
            </w:r>
          </w:p>
        </w:tc>
        <w:tc>
          <w:tcPr>
            <w:tcW w:w="1099"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15.778 reg.</w:t>
            </w:r>
          </w:p>
        </w:tc>
        <w:tc>
          <w:tcPr>
            <w:tcW w:w="3101"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Núcleo del análisis. 12 columnas: NIF, objeto, importe, órgano, fecha, tipo. Sin CPV nativo.</w:t>
            </w:r>
          </w:p>
        </w:tc>
      </w:tr>
      <w:tr>
        <w:trPr/>
        <w:tc>
          <w:tcPr>
            <w:tcW w:w="24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Contratos actividad Madrid</w:t>
            </w:r>
          </w:p>
        </w:tc>
        <w:tc>
          <w:tcPr>
            <w:tcW w:w="13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216876-0</w:t>
            </w:r>
          </w:p>
        </w:tc>
        <w:tc>
          <w:tcPr>
            <w:tcW w:w="13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XLSX</w:t>
            </w:r>
          </w:p>
        </w:tc>
        <w:tc>
          <w:tcPr>
            <w:tcW w:w="1099"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11 cat.</w:t>
            </w:r>
          </w:p>
        </w:tc>
        <w:tc>
          <w:tcPr>
            <w:tcW w:w="3101"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Marco contextual sobre modificaciones, prórrogas, cesiones y penalidades del resto de actividad contractual.</w:t>
            </w:r>
          </w:p>
        </w:tc>
      </w:tr>
      <w:tr>
        <w:trPr/>
        <w:tc>
          <w:tcPr>
            <w:tcW w:w="24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Ejecución presupuestaria histórica</w:t>
            </w:r>
          </w:p>
        </w:tc>
        <w:tc>
          <w:tcPr>
            <w:tcW w:w="13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211496-0</w:t>
            </w:r>
          </w:p>
        </w:tc>
        <w:tc>
          <w:tcPr>
            <w:tcW w:w="13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CSV</w:t>
            </w:r>
          </w:p>
        </w:tc>
        <w:tc>
          <w:tcPr>
            <w:tcW w:w="1099"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Serie 2018-2025</w:t>
            </w:r>
          </w:p>
        </w:tc>
        <w:tc>
          <w:tcPr>
            <w:tcW w:w="3101"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Denominador para métricas relativas (% del gasto ejecutado anual). Evita distorsiones por tamaño de ciudad.</w:t>
            </w:r>
          </w:p>
        </w:tc>
      </w:tr>
      <w:tr>
        <w:trPr/>
        <w:tc>
          <w:tcPr>
            <w:tcW w:w="24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Perfil Contractant Barcelona</w:t>
            </w:r>
          </w:p>
        </w:tc>
        <w:tc>
          <w:tcPr>
            <w:tcW w:w="13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PSCP (opendata-ajuntament)</w:t>
            </w:r>
          </w:p>
        </w:tc>
        <w:tc>
          <w:tcPr>
            <w:tcW w:w="13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API SQL</w:t>
            </w:r>
          </w:p>
        </w:tc>
        <w:tc>
          <w:tcPr>
            <w:tcW w:w="1099"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62.473 reg.</w:t>
            </w:r>
          </w:p>
        </w:tc>
        <w:tc>
          <w:tcPr>
            <w:tcW w:w="3101"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Contraste comparativo. CPV nativo. Filtro TIPUS_CONTRACTE = menor.</w:t>
            </w:r>
          </w:p>
        </w:tc>
      </w:tr>
    </w:tbl>
    <w:p>
      <w:pPr>
        <w:pStyle w:val="Normal"/>
        <w:spacing w:lineRule="auto" w:line="240" w:before="80" w:after="60"/>
        <w:rPr/>
      </w:pPr>
      <w:r>
        <w:rPr/>
      </w:r>
    </w:p>
    <w:p>
      <w:pPr>
        <w:pStyle w:val="Normal"/>
        <w:spacing w:lineRule="auto" w:line="240" w:before="0" w:after="80"/>
        <w:jc w:val="both"/>
        <w:rPr/>
      </w:pPr>
      <w:r>
        <w:rPr>
          <w:rFonts w:eastAsia="Lato" w:cs="Lato"/>
          <w:b/>
          <w:bCs/>
          <w:color w:val="111111"/>
          <w:sz w:val="22"/>
          <w:szCs w:val="22"/>
        </w:rPr>
        <w:t xml:space="preserve">Series históricas: </w:t>
      </w:r>
      <w:r>
        <w:rPr>
          <w:rFonts w:eastAsia="Lato" w:cs="Lato"/>
          <w:color w:val="111111"/>
          <w:sz w:val="22"/>
          <w:szCs w:val="22"/>
        </w:rPr>
        <w:t>los cuatro conjuntos cubren al menos 2023, 2024 y 2025, y la ejecución presupuestaria llega hasta 2018. La estabilidad de los esquemas durante 28 meses permite afirmar que los hallazgos no son ruido coyuntural sino patrones repetidos en tres ejercicios consecutivos.</w:t>
      </w:r>
    </w:p>
    <w:p>
      <w:pPr>
        <w:pStyle w:val="Normal"/>
        <w:spacing w:lineRule="auto" w:line="240" w:before="0" w:after="80"/>
        <w:jc w:val="both"/>
        <w:rPr/>
      </w:pPr>
      <w:r>
        <w:rPr>
          <w:rFonts w:eastAsia="Lato" w:cs="Lato"/>
          <w:b/>
          <w:bCs/>
          <w:color w:val="111111"/>
          <w:sz w:val="22"/>
          <w:szCs w:val="22"/>
        </w:rPr>
        <w:t xml:space="preserve">Complejidad técnica: </w:t>
      </w:r>
      <w:r>
        <w:rPr>
          <w:rFonts w:eastAsia="Lato" w:cs="Lato"/>
          <w:color w:val="111111"/>
          <w:sz w:val="22"/>
          <w:szCs w:val="22"/>
        </w:rPr>
        <w:t>el principal reto operativo no es el volumen sino la asimetría de esquemas. Madrid publica el objeto en texto libre; Barcelona, codificado con CPV. Reconciliar ambos exige el diccionario regex que se describe en la sección de metodología y que se publica como artefacto abierto.</w:t>
      </w:r>
    </w:p>
    <w:p>
      <w:pPr>
        <w:pStyle w:val="Normal"/>
        <w:spacing w:lineRule="auto" w:line="240" w:before="0" w:after="80"/>
        <w:jc w:val="both"/>
        <w:rPr/>
      </w:pPr>
      <w:r>
        <w:rPr>
          <w:rFonts w:eastAsia="Lato" w:cs="Lato"/>
          <w:b/>
          <w:bCs/>
          <w:color w:val="111111"/>
          <w:sz w:val="22"/>
          <w:szCs w:val="22"/>
        </w:rPr>
        <w:t xml:space="preserve">Frescura: </w:t>
      </w:r>
      <w:r>
        <w:rPr>
          <w:rFonts w:eastAsia="Lato" w:cs="Lato"/>
          <w:color w:val="111111"/>
          <w:sz w:val="22"/>
          <w:szCs w:val="22"/>
        </w:rPr>
        <w:t>el portal de Madrid actualiza mensualmente; el pipeline registra fecha de descarga y de inscripción del contrato, con un desfase típico inferior a 60 días. Las comparativas con Barcelona aplican un banner de "comparativa asimétrica" si la diferencia de frescura entre ciudades supera los 60 días.</w:t>
      </w:r>
    </w:p>
    <w:p>
      <w:pPr>
        <w:pStyle w:val="Heading1"/>
        <w:spacing w:lineRule="auto" w:line="240" w:before="200" w:after="100"/>
        <w:rPr/>
      </w:pPr>
      <w:r>
        <w:rPr>
          <w:rFonts w:eastAsia="Lato" w:cs="Lato" w:ascii="Lato" w:hAnsi="Lato"/>
          <w:b/>
          <w:bCs/>
          <w:color w:val="111111"/>
          <w:sz w:val="28"/>
          <w:szCs w:val="28"/>
        </w:rPr>
        <w:t>5. Metodología</w:t>
      </w:r>
    </w:p>
    <w:p>
      <w:pPr>
        <w:pStyle w:val="Normal"/>
        <w:spacing w:lineRule="auto" w:line="240" w:before="0" w:after="80"/>
        <w:jc w:val="both"/>
        <w:rPr/>
      </w:pPr>
      <w:r>
        <w:rPr>
          <w:rFonts w:eastAsia="Lato" w:cs="Lato"/>
          <w:color w:val="111111"/>
          <w:sz w:val="22"/>
          <w:szCs w:val="22"/>
        </w:rPr>
        <w:t xml:space="preserve">La metodología está diseñada para ser </w:t>
      </w:r>
      <w:r>
        <w:rPr>
          <w:rFonts w:eastAsia="Lato" w:cs="Lato"/>
          <w:b/>
          <w:bCs/>
          <w:color w:val="111111"/>
          <w:sz w:val="22"/>
          <w:szCs w:val="22"/>
        </w:rPr>
        <w:t>reproducible por terceros con un solo comando</w:t>
      </w:r>
      <w:r>
        <w:rPr>
          <w:rFonts w:eastAsia="Lato" w:cs="Lato"/>
          <w:color w:val="111111"/>
          <w:sz w:val="22"/>
          <w:szCs w:val="22"/>
        </w:rPr>
        <w:t>. El pipeline está escrito en Python 3.11 sobre pandas; cada paso registra el número de filas de entrada y de salida, lo que permite auditar cualquier divergencia entre dos ejecuciones. Los umbrales legales se citan en el código junto al tramo que los implementa.</w:t>
      </w:r>
    </w:p>
    <w:p>
      <w:pPr>
        <w:pStyle w:val="Heading2"/>
        <w:spacing w:lineRule="auto" w:line="240" w:before="140" w:after="60"/>
        <w:rPr/>
      </w:pPr>
      <w:r>
        <w:rPr>
          <w:rFonts w:eastAsia="Lato" w:cs="Lato" w:ascii="Lato" w:hAnsi="Lato"/>
          <w:b/>
          <w:bCs/>
          <w:color w:val="111111"/>
          <w:sz w:val="24"/>
          <w:szCs w:val="24"/>
        </w:rPr>
        <w:t>Paso 1 — Adquisición y normalización</w:t>
      </w:r>
    </w:p>
    <w:p>
      <w:pPr>
        <w:pStyle w:val="Normal"/>
        <w:spacing w:lineRule="auto" w:line="240" w:before="0" w:after="80"/>
        <w:jc w:val="both"/>
        <w:rPr/>
      </w:pPr>
      <w:r>
        <w:rPr>
          <w:rFonts w:eastAsia="Lato" w:cs="Lato"/>
          <w:color w:val="111111"/>
          <w:sz w:val="22"/>
          <w:szCs w:val="22"/>
        </w:rPr>
        <w:t>Descarga automática de los XLSX mensuales de Madrid (2023–2025) y de la API SQL de Barcelona filtrada por TIPUS_CONTRACTE = «menor». Conversión a un esquema común con seis campos: NIF, objeto, importe sin IVA, fecha, órgano contratante, ciudad. La normalización del importe a base imponible (sin IVA) corrige la asimetría fiscal entre ciudades y entre tipos de contrato (10 % obras, 21 % servicios y suministros).</w:t>
      </w:r>
    </w:p>
    <w:p>
      <w:pPr>
        <w:pStyle w:val="Heading2"/>
        <w:spacing w:lineRule="auto" w:line="240" w:before="140" w:after="60"/>
        <w:rPr/>
      </w:pPr>
      <w:r>
        <w:rPr>
          <w:rFonts w:eastAsia="Lato" w:cs="Lato" w:ascii="Lato" w:hAnsi="Lato"/>
          <w:b/>
          <w:bCs/>
          <w:color w:val="111111"/>
          <w:sz w:val="24"/>
          <w:szCs w:val="24"/>
        </w:rPr>
        <w:t>Paso 2 — Clasificación sectorial CPV</w:t>
      </w:r>
    </w:p>
    <w:p>
      <w:pPr>
        <w:pStyle w:val="Normal"/>
        <w:spacing w:lineRule="auto" w:line="240" w:before="0" w:after="80"/>
        <w:jc w:val="both"/>
        <w:rPr/>
      </w:pPr>
      <w:r>
        <w:rPr>
          <w:rFonts w:eastAsia="Lato" w:cs="Lato"/>
          <w:color w:val="111111"/>
          <w:sz w:val="22"/>
          <w:szCs w:val="22"/>
        </w:rPr>
        <w:t xml:space="preserve">Barcelona usa códigos CPV de forma nativa. Madrid no, así que se infieren con un diccionario de </w:t>
      </w:r>
      <w:r>
        <w:rPr>
          <w:rFonts w:eastAsia="Lato" w:cs="Lato"/>
          <w:b/>
          <w:bCs/>
          <w:color w:val="111111"/>
          <w:sz w:val="22"/>
          <w:szCs w:val="22"/>
        </w:rPr>
        <w:t>52 reglas regex</w:t>
      </w:r>
      <w:r>
        <w:rPr>
          <w:rFonts w:eastAsia="Lato" w:cs="Lato"/>
          <w:color w:val="111111"/>
          <w:sz w:val="22"/>
          <w:szCs w:val="22"/>
        </w:rPr>
        <w:t xml:space="preserve"> aplicadas al objeto del contrato, mapeando los grupos CPV de mayor frecuencia (limpieza, vigilancia, suministros deportivos, mantenimiento informático, comunicación, etc.). La cobertura actual es del 52 % de los contratos de Madrid; los no clasificados se etiquetan como «sin clasificar» y se mantienen en el análisis con HHI agregado por órgano. El diccionario se publica en el repositorio bajo licencia abierta.</w:t>
      </w:r>
    </w:p>
    <w:p>
      <w:pPr>
        <w:pStyle w:val="Heading2"/>
        <w:spacing w:lineRule="auto" w:line="240" w:before="140" w:after="60"/>
        <w:rPr/>
      </w:pPr>
      <w:r>
        <w:rPr>
          <w:rFonts w:eastAsia="Lato" w:cs="Lato" w:ascii="Lato" w:hAnsi="Lato"/>
          <w:b/>
          <w:bCs/>
          <w:color w:val="111111"/>
          <w:sz w:val="24"/>
          <w:szCs w:val="24"/>
        </w:rPr>
        <w:t>Paso 3 — Cálculo del HHI por órgano y sector</w:t>
      </w:r>
    </w:p>
    <w:p>
      <w:pPr>
        <w:pStyle w:val="Normal"/>
        <w:spacing w:lineRule="auto" w:line="240" w:before="0" w:after="80"/>
        <w:jc w:val="both"/>
        <w:rPr/>
      </w:pPr>
      <w:r>
        <w:rPr>
          <w:rFonts w:eastAsia="Lato" w:cs="Lato"/>
          <w:color w:val="111111"/>
          <w:sz w:val="22"/>
          <w:szCs w:val="22"/>
        </w:rPr>
        <w:t xml:space="preserve">Para cada combinación ciudad × órgano contratante × sector CPV × año, se calcula </w:t>
      </w:r>
      <w:r>
        <w:rPr>
          <w:rFonts w:eastAsia="Lato" w:cs="Lato"/>
          <w:b/>
          <w:bCs/>
          <w:color w:val="111111"/>
          <w:sz w:val="22"/>
          <w:szCs w:val="22"/>
        </w:rPr>
        <w:t>HHI = Σ (cuota_proveedor)²</w:t>
      </w:r>
      <w:r>
        <w:rPr>
          <w:rFonts w:eastAsia="Lato" w:cs="Lato"/>
          <w:color w:val="111111"/>
          <w:sz w:val="22"/>
          <w:szCs w:val="22"/>
        </w:rPr>
        <w:t>, donde la cuota es el importe agregado de cada NIF dividido entre el importe total del grupo. El índice toma valores entre 0 (competencia perfecta) y 1 (monopolio). Los umbrales utilizados son los de la doctrina de competencia internacional (US DOJ Horizontal Merger Guidelines y comunicación de la Comisión Europea):</w:t>
      </w:r>
    </w:p>
    <w:p>
      <w:pPr>
        <w:pStyle w:val="ListParagraph"/>
        <w:numPr>
          <w:ilvl w:val="0"/>
          <w:numId w:val="3"/>
        </w:numPr>
        <w:spacing w:lineRule="auto" w:line="240" w:before="0" w:after="40"/>
        <w:jc w:val="both"/>
        <w:rPr/>
      </w:pPr>
      <w:r>
        <w:rPr>
          <w:rFonts w:eastAsia="Lato" w:cs="Lato"/>
          <w:color w:val="111111"/>
          <w:sz w:val="22"/>
          <w:szCs w:val="22"/>
        </w:rPr>
        <w:t xml:space="preserve">HHI </w:t>
      </w:r>
      <w:r>
        <w:rPr>
          <w:rFonts w:eastAsia="Lato" w:cs="Lato"/>
          <w:b/>
          <w:bCs/>
          <w:color w:val="111111"/>
          <w:sz w:val="22"/>
          <w:szCs w:val="22"/>
        </w:rPr>
        <w:t>&lt; 0,15</w:t>
      </w:r>
      <w:r>
        <w:rPr>
          <w:rFonts w:eastAsia="Lato" w:cs="Lato"/>
          <w:color w:val="111111"/>
          <w:sz w:val="22"/>
          <w:szCs w:val="22"/>
        </w:rPr>
        <w:t xml:space="preserve"> → mercado competitivo</w:t>
      </w:r>
    </w:p>
    <w:p>
      <w:pPr>
        <w:pStyle w:val="ListParagraph"/>
        <w:numPr>
          <w:ilvl w:val="0"/>
          <w:numId w:val="1"/>
        </w:numPr>
        <w:spacing w:lineRule="auto" w:line="240" w:before="0" w:after="40"/>
        <w:jc w:val="both"/>
        <w:rPr/>
      </w:pPr>
      <w:r>
        <w:rPr>
          <w:rFonts w:eastAsia="Lato" w:cs="Lato"/>
          <w:color w:val="111111"/>
          <w:sz w:val="22"/>
          <w:szCs w:val="22"/>
        </w:rPr>
        <w:t xml:space="preserve">HHI </w:t>
      </w:r>
      <w:r>
        <w:rPr>
          <w:rFonts w:eastAsia="Lato" w:cs="Lato"/>
          <w:b/>
          <w:bCs/>
          <w:color w:val="111111"/>
          <w:sz w:val="22"/>
          <w:szCs w:val="22"/>
        </w:rPr>
        <w:t>0,15 a 0,25</w:t>
      </w:r>
      <w:r>
        <w:rPr>
          <w:rFonts w:eastAsia="Lato" w:cs="Lato"/>
          <w:color w:val="111111"/>
          <w:sz w:val="22"/>
          <w:szCs w:val="22"/>
        </w:rPr>
        <w:t xml:space="preserve"> → moderadamente concentrado</w:t>
      </w:r>
    </w:p>
    <w:p>
      <w:pPr>
        <w:pStyle w:val="ListParagraph"/>
        <w:numPr>
          <w:ilvl w:val="0"/>
          <w:numId w:val="1"/>
        </w:numPr>
        <w:spacing w:lineRule="auto" w:line="240" w:before="0" w:after="40"/>
        <w:jc w:val="both"/>
        <w:rPr/>
      </w:pPr>
      <w:r>
        <w:rPr>
          <w:rFonts w:eastAsia="Lato" w:cs="Lato"/>
          <w:color w:val="111111"/>
          <w:sz w:val="22"/>
          <w:szCs w:val="22"/>
        </w:rPr>
        <w:t xml:space="preserve">HHI </w:t>
      </w:r>
      <w:r>
        <w:rPr>
          <w:rFonts w:eastAsia="Lato" w:cs="Lato"/>
          <w:b/>
          <w:bCs/>
          <w:color w:val="111111"/>
          <w:sz w:val="22"/>
          <w:szCs w:val="22"/>
        </w:rPr>
        <w:t>&gt; 0,25</w:t>
      </w:r>
      <w:r>
        <w:rPr>
          <w:rFonts w:eastAsia="Lato" w:cs="Lato"/>
          <w:color w:val="111111"/>
          <w:sz w:val="22"/>
          <w:szCs w:val="22"/>
        </w:rPr>
        <w:t xml:space="preserve"> → altamente concentrado</w:t>
      </w:r>
    </w:p>
    <w:p>
      <w:pPr>
        <w:pStyle w:val="Heading2"/>
        <w:spacing w:lineRule="auto" w:line="240" w:before="140" w:after="60"/>
        <w:rPr/>
      </w:pPr>
      <w:r>
        <w:rPr>
          <w:rFonts w:eastAsia="Lato" w:cs="Lato" w:ascii="Lato" w:hAnsi="Lato"/>
          <w:b/>
          <w:bCs/>
          <w:color w:val="111111"/>
          <w:sz w:val="24"/>
          <w:szCs w:val="24"/>
        </w:rPr>
        <w:t>Paso 4 — Detección de outliers cross-ciudad</w:t>
      </w:r>
    </w:p>
    <w:p>
      <w:pPr>
        <w:pStyle w:val="Normal"/>
        <w:spacing w:lineRule="auto" w:line="240" w:before="0" w:after="80"/>
        <w:jc w:val="both"/>
        <w:rPr/>
      </w:pPr>
      <w:r>
        <w:rPr>
          <w:rFonts w:eastAsia="Lato" w:cs="Lato"/>
          <w:color w:val="111111"/>
          <w:sz w:val="22"/>
          <w:szCs w:val="22"/>
        </w:rPr>
        <w:t xml:space="preserve">Para cada sector CPV se calcula la distribución del HHI en Barcelona (mediana y desviación estándar). Se marcan como </w:t>
      </w:r>
      <w:r>
        <w:rPr>
          <w:rFonts w:eastAsia="Lato" w:cs="Lato"/>
          <w:b/>
          <w:bCs/>
          <w:color w:val="111111"/>
          <w:sz w:val="22"/>
          <w:szCs w:val="22"/>
        </w:rPr>
        <w:t>anómalos</w:t>
      </w:r>
      <w:r>
        <w:rPr>
          <w:rFonts w:eastAsia="Lato" w:cs="Lato"/>
          <w:color w:val="111111"/>
          <w:sz w:val="22"/>
          <w:szCs w:val="22"/>
        </w:rPr>
        <w:t xml:space="preserve"> los órganos de Madrid cuyo HHI supere la mediana de Barcelona en el mismo sector más dos desviaciones estándar. Esta normalización cross-ciudad convierte un «HHI alto» en un «HHI anómalo respecto a una ciudad comparable», descartando interpretaciones que sólo reflejan estructura de mercado sectorial.</w:t>
      </w:r>
    </w:p>
    <w:p>
      <w:pPr>
        <w:pStyle w:val="Heading2"/>
        <w:spacing w:lineRule="auto" w:line="240" w:before="140" w:after="60"/>
        <w:rPr/>
      </w:pPr>
      <w:r>
        <w:rPr>
          <w:rFonts w:eastAsia="Lato" w:cs="Lato" w:ascii="Lato" w:hAnsi="Lato"/>
          <w:b/>
          <w:bCs/>
          <w:color w:val="111111"/>
          <w:sz w:val="24"/>
          <w:szCs w:val="24"/>
        </w:rPr>
        <w:t>Paso 5 — Escáner de fraccionamiento (LCSP 99.2)</w:t>
      </w:r>
    </w:p>
    <w:p>
      <w:pPr>
        <w:pStyle w:val="Normal"/>
        <w:spacing w:lineRule="auto" w:line="240" w:before="0" w:after="80"/>
        <w:jc w:val="both"/>
        <w:rPr/>
      </w:pPr>
      <w:r>
        <w:rPr>
          <w:rFonts w:eastAsia="Lato" w:cs="Lato"/>
          <w:color w:val="111111"/>
          <w:sz w:val="22"/>
          <w:szCs w:val="22"/>
        </w:rPr>
        <w:t xml:space="preserve">Por cada par (NIF, sector CPV) se barre una ventana rodante de </w:t>
      </w:r>
      <w:r>
        <w:rPr>
          <w:rFonts w:eastAsia="Lato" w:cs="Lato"/>
          <w:b/>
          <w:bCs/>
          <w:color w:val="111111"/>
          <w:sz w:val="22"/>
          <w:szCs w:val="22"/>
        </w:rPr>
        <w:t>30 días</w:t>
      </w:r>
      <w:r>
        <w:rPr>
          <w:rFonts w:eastAsia="Lato" w:cs="Lato"/>
          <w:color w:val="111111"/>
          <w:sz w:val="22"/>
          <w:szCs w:val="22"/>
        </w:rPr>
        <w:t>. Si la suma de importes supera el umbral LCSP (15.000 € servicios y suministros, 40.000 € obras), se emite una alerta indexada por NIF, órgano y fecha. La alerta no implica irregularidad: el patrón requiere contraste con el expediente administrativo. El término empleado en todo el estudio es «Indicador de Riesgo» o «alerta», nunca «fraude».</w:t>
      </w:r>
    </w:p>
    <w:p>
      <w:pPr>
        <w:pStyle w:val="Heading2"/>
        <w:spacing w:lineRule="auto" w:line="240" w:before="140" w:after="60"/>
        <w:rPr/>
      </w:pPr>
      <w:r>
        <w:rPr>
          <w:rFonts w:eastAsia="Lato" w:cs="Lato" w:ascii="Lato" w:hAnsi="Lato"/>
          <w:b/>
          <w:bCs/>
          <w:color w:val="111111"/>
          <w:sz w:val="24"/>
          <w:szCs w:val="24"/>
        </w:rPr>
        <w:t>Limitaciones reconocidas</w:t>
      </w:r>
    </w:p>
    <w:tbl>
      <w:tblPr>
        <w:tblW w:w="9200" w:type="dxa"/>
        <w:jc w:val="left"/>
        <w:tblInd w:w="0" w:type="dxa"/>
        <w:tblLayout w:type="fixed"/>
        <w:tblCellMar>
          <w:top w:w="80" w:type="dxa"/>
          <w:left w:w="120" w:type="dxa"/>
          <w:bottom w:w="80" w:type="dxa"/>
          <w:right w:w="120" w:type="dxa"/>
        </w:tblCellMar>
      </w:tblPr>
      <w:tblGrid>
        <w:gridCol w:w="4400"/>
        <w:gridCol w:w="4799"/>
      </w:tblGrid>
      <w:tr>
        <w:trPr>
          <w:tblHeader w:val="true"/>
        </w:trPr>
        <w:tc>
          <w:tcPr>
            <w:tcW w:w="4400" w:type="dxa"/>
            <w:tcBorders>
              <w:top w:val="single" w:sz="4" w:space="0" w:color="CCCCCC"/>
              <w:left w:val="single" w:sz="4" w:space="0" w:color="CCCCCC"/>
              <w:bottom w:val="single" w:sz="4" w:space="0" w:color="CCCCCC"/>
              <w:right w:val="single" w:sz="4" w:space="0" w:color="CCCCCC"/>
            </w:tcBorders>
            <w:shd w:fill="F2F2F2" w:val="clear"/>
          </w:tcPr>
          <w:p>
            <w:pPr>
              <w:pStyle w:val="Normal"/>
              <w:widowControl w:val="false"/>
              <w:spacing w:lineRule="auto" w:line="240"/>
              <w:rPr/>
            </w:pPr>
            <w:r>
              <w:rPr>
                <w:rFonts w:eastAsia="Lato" w:cs="Lato"/>
                <w:b/>
                <w:bCs/>
                <w:color w:val="111111"/>
                <w:sz w:val="20"/>
                <w:szCs w:val="20"/>
              </w:rPr>
              <w:t>Limitación</w:t>
            </w:r>
          </w:p>
        </w:tc>
        <w:tc>
          <w:tcPr>
            <w:tcW w:w="4799" w:type="dxa"/>
            <w:tcBorders>
              <w:top w:val="single" w:sz="4" w:space="0" w:color="CCCCCC"/>
              <w:left w:val="single" w:sz="4" w:space="0" w:color="CCCCCC"/>
              <w:bottom w:val="single" w:sz="4" w:space="0" w:color="CCCCCC"/>
              <w:right w:val="single" w:sz="4" w:space="0" w:color="CCCCCC"/>
            </w:tcBorders>
            <w:shd w:fill="F2F2F2" w:val="clear"/>
          </w:tcPr>
          <w:p>
            <w:pPr>
              <w:pStyle w:val="Normal"/>
              <w:widowControl w:val="false"/>
              <w:spacing w:lineRule="auto" w:line="240"/>
              <w:rPr/>
            </w:pPr>
            <w:r>
              <w:rPr>
                <w:rFonts w:eastAsia="Lato" w:cs="Lato"/>
                <w:b/>
                <w:bCs/>
                <w:color w:val="111111"/>
                <w:sz w:val="20"/>
                <w:szCs w:val="20"/>
              </w:rPr>
              <w:t>Impacto</w:t>
            </w:r>
          </w:p>
        </w:tc>
      </w:tr>
      <w:tr>
        <w:trPr/>
        <w:tc>
          <w:tcPr>
            <w:tcW w:w="44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CPV inferido en Madrid (cobertura 52 %)</w:t>
            </w:r>
          </w:p>
        </w:tc>
        <w:tc>
          <w:tcPr>
            <w:tcW w:w="4799"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Sesgo en análisis sectorial. Mitigación: HHI agregado por órgano para los no clasificados.</w:t>
            </w:r>
          </w:p>
        </w:tc>
      </w:tr>
      <w:tr>
        <w:trPr/>
        <w:tc>
          <w:tcPr>
            <w:tcW w:w="44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Fecha Madrid = inscripción, no adjudicación</w:t>
            </w:r>
          </w:p>
        </w:tc>
        <w:tc>
          <w:tcPr>
            <w:tcW w:w="4799"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Posible distorsión de hasta 30 días en ventanas LCSP. Mitigación: aviso explícito en cada alerta.</w:t>
            </w:r>
          </w:p>
        </w:tc>
      </w:tr>
      <w:tr>
        <w:trPr/>
        <w:tc>
          <w:tcPr>
            <w:tcW w:w="4400"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Barcelona incluye Grupo Municipal</w:t>
            </w:r>
          </w:p>
        </w:tc>
        <w:tc>
          <w:tcPr>
            <w:tcW w:w="4799" w:type="dxa"/>
            <w:tcBorders>
              <w:top w:val="single" w:sz="4" w:space="0" w:color="CCCCCC"/>
              <w:left w:val="single" w:sz="4" w:space="0" w:color="CCCCCC"/>
              <w:bottom w:val="single" w:sz="4" w:space="0" w:color="CCCCCC"/>
              <w:right w:val="single" w:sz="4" w:space="0" w:color="CCCCCC"/>
            </w:tcBorders>
          </w:tcPr>
          <w:p>
            <w:pPr>
              <w:pStyle w:val="Normal"/>
              <w:widowControl w:val="false"/>
              <w:spacing w:lineRule="auto" w:line="240"/>
              <w:rPr/>
            </w:pPr>
            <w:r>
              <w:rPr>
                <w:rFonts w:eastAsia="Lato" w:cs="Lato"/>
                <w:b w:val="false"/>
                <w:bCs w:val="false"/>
                <w:color w:val="111111"/>
                <w:sz w:val="20"/>
                <w:szCs w:val="20"/>
              </w:rPr>
              <w:t>HHI de BCN naturalmente más bajo. Mitigación: comparativas relativas, no absolutas.</w:t>
            </w:r>
          </w:p>
        </w:tc>
      </w:tr>
    </w:tbl>
    <w:p>
      <w:pPr>
        <w:pStyle w:val="Heading1"/>
        <w:spacing w:lineRule="auto" w:line="240" w:before="200" w:after="100"/>
        <w:rPr/>
      </w:pPr>
      <w:r>
        <w:rPr>
          <w:rFonts w:eastAsia="Lato" w:cs="Lato" w:ascii="Lato" w:hAnsi="Lato"/>
          <w:b/>
          <w:bCs/>
          <w:color w:val="111111"/>
          <w:sz w:val="28"/>
          <w:szCs w:val="28"/>
        </w:rPr>
        <w:t>6. Resultados e impacto esperado</w:t>
      </w:r>
    </w:p>
    <w:p>
      <w:pPr>
        <w:pStyle w:val="Heading2"/>
        <w:spacing w:lineRule="auto" w:line="240" w:before="140" w:after="60"/>
        <w:rPr/>
      </w:pPr>
      <w:r>
        <w:rPr>
          <w:rFonts w:eastAsia="Lato" w:cs="Lato" w:ascii="Lato" w:hAnsi="Lato"/>
          <w:b/>
          <w:bCs/>
          <w:color w:val="111111"/>
          <w:sz w:val="24"/>
          <w:szCs w:val="24"/>
        </w:rPr>
        <w:t xml:space="preserve">Hallazgo central — Madrid </w:t>
      </w:r>
      <w:r>
        <w:rPr>
          <w:rFonts w:eastAsia="Lato" w:cs="Lato" w:ascii="Lato" w:hAnsi="Lato"/>
          <w:b/>
          <w:bCs/>
          <w:color w:val="111111"/>
          <w:sz w:val="24"/>
          <w:szCs w:val="24"/>
        </w:rPr>
        <w:t>tiene una concentracion</w:t>
      </w:r>
      <w:r>
        <w:rPr>
          <w:rFonts w:eastAsia="Lato" w:cs="Lato" w:ascii="Lato" w:hAnsi="Lato"/>
          <w:b/>
          <w:bCs/>
          <w:color w:val="111111"/>
          <w:sz w:val="24"/>
          <w:szCs w:val="24"/>
        </w:rPr>
        <w:t xml:space="preserve"> 3,6× </w:t>
      </w:r>
      <w:r>
        <w:rPr>
          <w:rFonts w:eastAsia="Lato" w:cs="Lato" w:ascii="Lato" w:hAnsi="Lato"/>
          <w:b/>
          <w:bCs/>
          <w:color w:val="111111"/>
          <w:sz w:val="24"/>
          <w:szCs w:val="24"/>
        </w:rPr>
        <w:t xml:space="preserve">mayor </w:t>
      </w:r>
      <w:r>
        <w:rPr>
          <w:rFonts w:eastAsia="Lato" w:cs="Lato" w:ascii="Lato" w:hAnsi="Lato"/>
          <w:b/>
          <w:bCs/>
          <w:color w:val="111111"/>
          <w:sz w:val="24"/>
          <w:szCs w:val="24"/>
        </w:rPr>
        <w:t>que Barcelona</w:t>
      </w:r>
    </w:p>
    <w:p>
      <w:pPr>
        <w:pStyle w:val="Normal"/>
        <w:spacing w:lineRule="auto" w:line="240" w:before="0" w:after="80"/>
        <w:jc w:val="both"/>
        <w:rPr/>
      </w:pPr>
      <w:r>
        <w:rPr>
          <w:rFonts w:eastAsia="Lato" w:cs="Lato"/>
          <w:color w:val="111111"/>
          <w:sz w:val="22"/>
          <w:szCs w:val="22"/>
        </w:rPr>
        <w:t xml:space="preserve">La mediana del HHI por órgano contratante es </w:t>
      </w:r>
      <w:r>
        <w:rPr>
          <w:rFonts w:eastAsia="Lato" w:cs="Lato"/>
          <w:b/>
          <w:bCs/>
          <w:color w:val="111111"/>
          <w:sz w:val="22"/>
          <w:szCs w:val="22"/>
        </w:rPr>
        <w:t>0,044 en Madrid</w:t>
      </w:r>
      <w:r>
        <w:rPr>
          <w:rFonts w:eastAsia="Lato" w:cs="Lato"/>
          <w:color w:val="111111"/>
          <w:sz w:val="22"/>
          <w:szCs w:val="22"/>
        </w:rPr>
        <w:t xml:space="preserve"> frente a </w:t>
      </w:r>
      <w:r>
        <w:rPr>
          <w:rFonts w:eastAsia="Lato" w:cs="Lato"/>
          <w:b/>
          <w:bCs/>
          <w:color w:val="111111"/>
          <w:sz w:val="22"/>
          <w:szCs w:val="22"/>
        </w:rPr>
        <w:t>0,012 en Barcelona</w:t>
      </w:r>
      <w:r>
        <w:rPr>
          <w:rFonts w:eastAsia="Lato" w:cs="Lato"/>
          <w:color w:val="111111"/>
          <w:sz w:val="22"/>
          <w:szCs w:val="22"/>
        </w:rPr>
        <w:t xml:space="preserve">. La media (más sensible a casos extremos) eleva la diferencia a 3× (0,075 frente a 0,025). El </w:t>
      </w:r>
      <w:r>
        <w:rPr>
          <w:rFonts w:eastAsia="Lato" w:cs="Lato"/>
          <w:b/>
          <w:bCs/>
          <w:color w:val="111111"/>
          <w:sz w:val="22"/>
          <w:szCs w:val="22"/>
        </w:rPr>
        <w:t>2,5 % de los órganos de Madrid</w:t>
      </w:r>
      <w:r>
        <w:rPr>
          <w:rFonts w:eastAsia="Lato" w:cs="Lato"/>
          <w:color w:val="111111"/>
          <w:sz w:val="22"/>
          <w:szCs w:val="22"/>
        </w:rPr>
        <w:t xml:space="preserve"> superan el umbral de concentración alta (HHI &gt; 0,25); en Barcelona ese porcentaje es del 0 %. El patrón se mantiene estable a lo largo de los tres ejercicios analizados.</w:t>
      </w:r>
    </w:p>
    <w:p>
      <w:pPr>
        <w:pStyle w:val="Heading2"/>
        <w:spacing w:lineRule="auto" w:line="240" w:before="140" w:after="60"/>
        <w:rPr/>
      </w:pPr>
      <w:r>
        <w:rPr>
          <w:rFonts w:eastAsia="Lato" w:cs="Lato" w:ascii="Lato" w:hAnsi="Lato"/>
          <w:b/>
          <w:bCs/>
          <w:color w:val="111111"/>
          <w:sz w:val="24"/>
          <w:szCs w:val="24"/>
        </w:rPr>
        <w:t>Caso 1 — Gartner: renovación sistemática sin licitación (+76 %)</w:t>
      </w:r>
    </w:p>
    <w:p>
      <w:pPr>
        <w:pStyle w:val="Normal"/>
        <w:spacing w:lineRule="auto" w:line="240" w:before="0" w:after="80"/>
        <w:jc w:val="both"/>
        <w:rPr/>
      </w:pPr>
      <w:r>
        <w:rPr>
          <w:rFonts w:eastAsia="Lato" w:cs="Lato"/>
          <w:color w:val="111111"/>
          <w:sz w:val="22"/>
          <w:szCs w:val="22"/>
        </w:rPr>
        <w:t xml:space="preserve">El Ayuntamiento renueva anualmente la suscripción a las bases de datos estratégicas de Gartner para IT y ciberseguridad mediante contratos menores sucesivos en lugar de una licitación formal. El importe acumulado de cuatro contratos en 2023–2025 asciende a </w:t>
      </w:r>
      <w:r>
        <w:rPr>
          <w:rFonts w:eastAsia="Lato" w:cs="Lato"/>
          <w:b/>
          <w:bCs/>
          <w:color w:val="111111"/>
          <w:sz w:val="22"/>
          <w:szCs w:val="22"/>
        </w:rPr>
        <w:t>527.651 €</w:t>
      </w:r>
      <w:r>
        <w:rPr>
          <w:rFonts w:eastAsia="Lato" w:cs="Lato"/>
          <w:color w:val="111111"/>
          <w:sz w:val="22"/>
          <w:szCs w:val="22"/>
        </w:rPr>
        <w:t xml:space="preserve">. La cifra anual ha crecido un </w:t>
      </w:r>
      <w:r>
        <w:rPr>
          <w:rFonts w:eastAsia="Lato" w:cs="Lato"/>
          <w:b/>
          <w:bCs/>
          <w:color w:val="111111"/>
          <w:sz w:val="22"/>
          <w:szCs w:val="22"/>
        </w:rPr>
        <w:t>76 % en tres años</w:t>
      </w:r>
      <w:r>
        <w:rPr>
          <w:rFonts w:eastAsia="Lato" w:cs="Lato"/>
          <w:color w:val="111111"/>
          <w:sz w:val="22"/>
          <w:szCs w:val="22"/>
        </w:rPr>
        <w:t xml:space="preserve"> (127.655 € en 2023 → 224.516 € en 2025) sin ningún proceso competitivo. La naturaleza continua del servicio (suscripción anual renovada) sugiere que debería articularse como contrato plurianual con concurso.</w:t>
      </w:r>
    </w:p>
    <w:p>
      <w:pPr>
        <w:pStyle w:val="Heading2"/>
        <w:spacing w:lineRule="auto" w:line="240" w:before="140" w:after="60"/>
        <w:rPr/>
      </w:pPr>
      <w:r>
        <w:rPr>
          <w:rFonts w:eastAsia="Lato" w:cs="Lato" w:ascii="Lato" w:hAnsi="Lato"/>
          <w:b/>
          <w:bCs/>
          <w:color w:val="111111"/>
          <w:sz w:val="24"/>
          <w:szCs w:val="24"/>
        </w:rPr>
        <w:t>Caso 2 — MOYPE Sport: proveedor preferente de 23 distritos</w:t>
      </w:r>
    </w:p>
    <w:p>
      <w:pPr>
        <w:pStyle w:val="Normal"/>
        <w:spacing w:lineRule="auto" w:line="240" w:before="0" w:after="80"/>
        <w:jc w:val="both"/>
        <w:rPr/>
      </w:pPr>
      <w:r>
        <w:rPr>
          <w:rFonts w:eastAsia="Lato" w:cs="Lato"/>
          <w:color w:val="111111"/>
          <w:sz w:val="22"/>
          <w:szCs w:val="22"/>
        </w:rPr>
        <w:t xml:space="preserve">MOYPE Sport SA suministra material deportivo a 23 distritos distintos mediante </w:t>
      </w:r>
      <w:r>
        <w:rPr>
          <w:rFonts w:eastAsia="Lato" w:cs="Lato"/>
          <w:b/>
          <w:bCs/>
          <w:color w:val="111111"/>
          <w:sz w:val="22"/>
          <w:szCs w:val="22"/>
        </w:rPr>
        <w:t>91 contratos menores y 711.115 €</w:t>
      </w:r>
      <w:r>
        <w:rPr>
          <w:rFonts w:eastAsia="Lato" w:cs="Lato"/>
          <w:color w:val="111111"/>
          <w:sz w:val="22"/>
          <w:szCs w:val="22"/>
        </w:rPr>
        <w:t xml:space="preserve"> en 2023–2025. Cada distrito actúa como comprador independiente, multiplicando contratos menores en lugar de centralizar la compra. A escala municipal, el gasto agregado justificaría con holgura un acuerdo marco con licitación abierta. No es fraccionamiento clásico —contrato dividido—, sino fragmentación orgánica: el mismo proveedor es de facto el suministrador municipal sin que ningún proceso competitivo lo haya validado.</w:t>
      </w:r>
    </w:p>
    <w:p>
      <w:pPr>
        <w:pStyle w:val="Heading2"/>
        <w:spacing w:lineRule="auto" w:line="240" w:before="140" w:after="60"/>
        <w:rPr/>
      </w:pPr>
      <w:r>
        <w:rPr>
          <w:rFonts w:eastAsia="Lato" w:cs="Lato" w:ascii="Lato" w:hAnsi="Lato"/>
          <w:b/>
          <w:bCs/>
          <w:color w:val="111111"/>
          <w:sz w:val="24"/>
          <w:szCs w:val="24"/>
        </w:rPr>
        <w:t>Caso 3 — SERINTCOM: 18 contratos por debajo del umbral</w:t>
      </w:r>
    </w:p>
    <w:p>
      <w:pPr>
        <w:pStyle w:val="Normal"/>
        <w:spacing w:lineRule="auto" w:line="240" w:before="0" w:after="80"/>
        <w:jc w:val="both"/>
        <w:rPr/>
      </w:pPr>
      <w:r>
        <w:rPr>
          <w:rFonts w:eastAsia="Lato" w:cs="Lato"/>
          <w:color w:val="111111"/>
          <w:sz w:val="22"/>
          <w:szCs w:val="22"/>
        </w:rPr>
        <w:t xml:space="preserve">Una persona física agrupa los servicios de comunicación digital de Madrid Salud durante tres años bajo la marca SERINTCOM con </w:t>
      </w:r>
      <w:r>
        <w:rPr>
          <w:rFonts w:eastAsia="Lato" w:cs="Lato"/>
          <w:b/>
          <w:bCs/>
          <w:color w:val="111111"/>
          <w:sz w:val="22"/>
          <w:szCs w:val="22"/>
        </w:rPr>
        <w:t>18 contratos por 262.701 €</w:t>
      </w:r>
      <w:r>
        <w:rPr>
          <w:rFonts w:eastAsia="Lato" w:cs="Lato"/>
          <w:color w:val="111111"/>
          <w:sz w:val="22"/>
          <w:szCs w:val="22"/>
        </w:rPr>
        <w:t xml:space="preserve">. El dato clave: el importe máximo de cualquier contrato es </w:t>
      </w:r>
      <w:r>
        <w:rPr>
          <w:rFonts w:eastAsia="Lato" w:cs="Lato"/>
          <w:b/>
          <w:bCs/>
          <w:color w:val="111111"/>
          <w:sz w:val="22"/>
          <w:szCs w:val="22"/>
        </w:rPr>
        <w:t>14.990 € sin IVA</w:t>
      </w:r>
      <w:r>
        <w:rPr>
          <w:rFonts w:eastAsia="Lato" w:cs="Lato"/>
          <w:color w:val="111111"/>
          <w:sz w:val="22"/>
          <w:szCs w:val="22"/>
        </w:rPr>
        <w:t xml:space="preserve"> —diez euros por debajo del umbral LCSP. Ningún contrato lo supera. La probabilidad de que ese patrón sea aleatorio es prácticamente nula. Sugiere que los contratos se dimensionan deliberadamente para no superar el umbral, convirtiendo una relación que debería ser un contrato continuado en una cadena de menores.</w:t>
      </w:r>
    </w:p>
    <w:p>
      <w:pPr>
        <w:pStyle w:val="Heading2"/>
        <w:spacing w:lineRule="auto" w:line="240" w:before="140" w:after="60"/>
        <w:rPr/>
      </w:pPr>
      <w:r>
        <w:rPr>
          <w:rFonts w:eastAsia="Lato" w:cs="Lato" w:ascii="Lato" w:hAnsi="Lato"/>
          <w:b/>
          <w:bCs/>
          <w:color w:val="111111"/>
          <w:sz w:val="24"/>
          <w:szCs w:val="24"/>
        </w:rPr>
        <w:t>Caso 4 — Tecnologías de la información: Madrid 31,9× más concentrado</w:t>
      </w:r>
    </w:p>
    <w:p>
      <w:pPr>
        <w:pStyle w:val="Normal"/>
        <w:spacing w:lineRule="auto" w:line="240" w:before="0" w:after="80"/>
        <w:jc w:val="both"/>
        <w:rPr/>
      </w:pPr>
      <w:r>
        <w:rPr>
          <w:rFonts w:eastAsia="Lato" w:cs="Lato"/>
          <w:color w:val="111111"/>
          <w:sz w:val="22"/>
          <w:szCs w:val="22"/>
        </w:rPr>
        <w:t xml:space="preserve">En el sector CPV 72000000 (servicios TI), el HHI de Madrid es </w:t>
      </w:r>
      <w:r>
        <w:rPr>
          <w:rFonts w:eastAsia="Lato" w:cs="Lato"/>
          <w:b/>
          <w:bCs/>
          <w:color w:val="111111"/>
          <w:sz w:val="22"/>
          <w:szCs w:val="22"/>
        </w:rPr>
        <w:t>0,1021</w:t>
      </w:r>
      <w:r>
        <w:rPr>
          <w:rFonts w:eastAsia="Lato" w:cs="Lato"/>
          <w:color w:val="111111"/>
          <w:sz w:val="22"/>
          <w:szCs w:val="22"/>
        </w:rPr>
        <w:t xml:space="preserve"> frente a </w:t>
      </w:r>
      <w:r>
        <w:rPr>
          <w:rFonts w:eastAsia="Lato" w:cs="Lato"/>
          <w:b/>
          <w:bCs/>
          <w:color w:val="111111"/>
          <w:sz w:val="22"/>
          <w:szCs w:val="22"/>
        </w:rPr>
        <w:t>0,0032 en Barcelona,</w:t>
      </w:r>
      <w:r>
        <w:rPr>
          <w:rFonts w:eastAsia="Lato" w:cs="Lato"/>
          <w:color w:val="111111"/>
          <w:sz w:val="22"/>
          <w:szCs w:val="22"/>
        </w:rPr>
        <w:t xml:space="preserve"> </w:t>
      </w:r>
      <w:r>
        <w:rPr>
          <w:rFonts w:eastAsia="Lato" w:cs="Lato"/>
          <w:color w:val="111111"/>
          <w:sz w:val="22"/>
          <w:szCs w:val="22"/>
        </w:rPr>
        <w:t xml:space="preserve">un </w:t>
      </w:r>
      <w:r>
        <w:rPr>
          <w:rFonts w:eastAsia="Lato" w:cs="Lato"/>
          <w:color w:val="111111"/>
          <w:sz w:val="22"/>
          <w:szCs w:val="22"/>
        </w:rPr>
        <w:t xml:space="preserve">ratio </w:t>
      </w:r>
      <w:r>
        <w:rPr>
          <w:rFonts w:eastAsia="Lato" w:cs="Lato"/>
          <w:b/>
          <w:bCs/>
          <w:color w:val="111111"/>
          <w:sz w:val="22"/>
          <w:szCs w:val="22"/>
        </w:rPr>
        <w:t>31,9×</w:t>
      </w:r>
      <w:r>
        <w:rPr>
          <w:rFonts w:eastAsia="Lato" w:cs="Lato"/>
          <w:color w:val="111111"/>
          <w:sz w:val="22"/>
          <w:szCs w:val="22"/>
        </w:rPr>
        <w:t>. Madrid adjudica TI a un grupo muy reducido de proveedores (Gartner, Geoblink, Aranzadi, La Ley); Barcelona, con 10 veces más contratos TI en el mismo período, muestra un mercado plural. La diferencia no es estructural del sector, que es común a ambas ciudades, sino de la institución compradora.</w:t>
      </w:r>
    </w:p>
    <w:p>
      <w:pPr>
        <w:pStyle w:val="Heading2"/>
        <w:spacing w:lineRule="auto" w:line="240" w:before="140" w:after="60"/>
        <w:rPr/>
      </w:pPr>
      <w:r>
        <w:rPr>
          <w:rFonts w:eastAsia="Lato" w:cs="Lato" w:ascii="Lato" w:hAnsi="Lato"/>
          <w:b/>
          <w:bCs/>
          <w:color w:val="111111"/>
          <w:sz w:val="24"/>
          <w:szCs w:val="24"/>
        </w:rPr>
        <w:t>Recomendación operativa al Ayuntamiento</w:t>
      </w:r>
    </w:p>
    <w:p>
      <w:pPr>
        <w:pStyle w:val="Normal"/>
        <w:spacing w:lineRule="auto" w:line="240" w:before="0" w:after="80"/>
        <w:jc w:val="both"/>
        <w:rPr/>
      </w:pPr>
      <w:r>
        <w:rPr>
          <w:rFonts w:eastAsia="Lato" w:cs="Lato"/>
          <w:color w:val="111111"/>
          <w:sz w:val="22"/>
          <w:szCs w:val="22"/>
        </w:rPr>
        <w:t xml:space="preserve">La principal barrera metodológica del estudio es la ausencia de códigos CPV en los contratos menores de Madrid. Barcelona los publica de forma nativa, lo que permite comparativas sectoriales directas. El estudio recomienda </w:t>
      </w:r>
      <w:r>
        <w:rPr>
          <w:rFonts w:eastAsia="Lato" w:cs="Lato"/>
          <w:b/>
          <w:bCs/>
          <w:color w:val="111111"/>
          <w:sz w:val="22"/>
          <w:szCs w:val="22"/>
        </w:rPr>
        <w:t>adoptar el vocabulario CPV de forma obligatoria en los contratos menores de Madrid</w:t>
      </w:r>
      <w:r>
        <w:rPr>
          <w:rFonts w:eastAsia="Lato" w:cs="Lato"/>
          <w:color w:val="111111"/>
          <w:sz w:val="22"/>
          <w:szCs w:val="22"/>
        </w:rPr>
        <w:t>, en línea con la práctica del resto de grandes administraciones europeas. La medida mejoraría la transparencia comparativa, facilitaría el control del fraccionamiento por sector y permitiría auditorías cruzadas con datos del PLCSP estatal sin coste analítico adicional.</w:t>
      </w:r>
    </w:p>
    <w:p>
      <w:pPr>
        <w:pStyle w:val="Heading2"/>
        <w:spacing w:lineRule="auto" w:line="240" w:before="140" w:after="60"/>
        <w:rPr/>
      </w:pPr>
      <w:r>
        <w:rPr>
          <w:rFonts w:eastAsia="Lato" w:cs="Lato" w:ascii="Lato" w:hAnsi="Lato"/>
          <w:b/>
          <w:bCs/>
          <w:color w:val="111111"/>
          <w:sz w:val="24"/>
          <w:szCs w:val="24"/>
        </w:rPr>
        <w:t>Impacto esperado</w:t>
      </w:r>
    </w:p>
    <w:p>
      <w:pPr>
        <w:pStyle w:val="Normal"/>
        <w:spacing w:lineRule="auto" w:line="240" w:before="0" w:after="80"/>
        <w:jc w:val="both"/>
        <w:rPr/>
      </w:pPr>
      <w:r>
        <w:rPr>
          <w:rFonts w:eastAsia="Lato" w:cs="Lato"/>
          <w:color w:val="111111"/>
          <w:sz w:val="22"/>
          <w:szCs w:val="22"/>
        </w:rPr>
        <w:t>El impacto se mide en tres dimensiones. Operativa: el tiempo necesario para identificar los cinco proveedores de mayor riesgo se reduce de horas de trabajo manual a menos de treinta segundos en el informe visual. Institucional: el estudio entrega al Ayuntamiento un autodiagnóstico sectorial que puede integrarse en los procesos internos de IGAM y en la planificación de acuerdos marco. Cívica: el repositorio público y el diccionario CPV abierto permiten que cualquier ayuntamiento, periodista u organización replique el método sobre sus propios datos sin licencias propietarias.</w:t>
      </w:r>
    </w:p>
    <w:p>
      <w:pPr>
        <w:pStyle w:val="Heading1"/>
        <w:spacing w:lineRule="auto" w:line="240" w:before="200" w:after="100"/>
        <w:rPr/>
      </w:pPr>
      <w:r>
        <w:rPr>
          <w:rFonts w:eastAsia="Lato" w:cs="Lato" w:ascii="Lato" w:hAnsi="Lato"/>
          <w:b/>
          <w:bCs/>
          <w:color w:val="111111"/>
          <w:sz w:val="28"/>
          <w:szCs w:val="28"/>
        </w:rPr>
        <w:t>7. Innovación</w:t>
      </w:r>
    </w:p>
    <w:p>
      <w:pPr>
        <w:pStyle w:val="Heading2"/>
        <w:spacing w:lineRule="auto" w:line="240" w:before="140" w:after="60"/>
        <w:rPr/>
      </w:pPr>
      <w:r>
        <w:rPr>
          <w:rFonts w:eastAsia="Lato" w:cs="Lato" w:ascii="Lato" w:hAnsi="Lato"/>
          <w:b/>
          <w:bCs/>
          <w:color w:val="111111"/>
          <w:sz w:val="24"/>
          <w:szCs w:val="24"/>
        </w:rPr>
        <w:t>Primer cruce sistemático Madrid–Barcelona con indicadores legales</w:t>
      </w:r>
    </w:p>
    <w:p>
      <w:pPr>
        <w:pStyle w:val="Normal"/>
        <w:spacing w:lineRule="auto" w:line="240" w:before="0" w:after="80"/>
        <w:jc w:val="both"/>
        <w:rPr/>
      </w:pPr>
      <w:r>
        <w:rPr>
          <w:rFonts w:eastAsia="Lato" w:cs="Lato"/>
          <w:color w:val="111111"/>
          <w:sz w:val="22"/>
          <w:szCs w:val="22"/>
        </w:rPr>
        <w:t xml:space="preserve">Hasta la fecha no existe una herramienta pública española que cruce los contratos menores de las dos mayores ciudades del país aplicando los mismos indicadores legales (LCSP) y económicos (HHI). Visualiza Madrid expone tablas de contratos sin analítica de riesgo. Civio y otros observatorios publican estudios puntuales pero no metodologías reproducibles aplicables a series históricas. El cruce comparativo funciona como </w:t>
      </w:r>
      <w:r>
        <w:rPr>
          <w:rFonts w:eastAsia="Lato" w:cs="Lato"/>
          <w:b/>
          <w:bCs/>
          <w:color w:val="111111"/>
          <w:sz w:val="22"/>
          <w:szCs w:val="22"/>
        </w:rPr>
        <w:t>experimento natural</w:t>
      </w:r>
      <w:r>
        <w:rPr>
          <w:rFonts w:eastAsia="Lato" w:cs="Lato"/>
          <w:color w:val="111111"/>
          <w:sz w:val="22"/>
          <w:szCs w:val="22"/>
        </w:rPr>
        <w:t>: si un sector aparece muy concentrado en Madrid pero no en Barcelona, la causa más probable no es la estructura del mercado, común a ambas ciudades, sino la institución compradora.</w:t>
      </w:r>
    </w:p>
    <w:p>
      <w:pPr>
        <w:pStyle w:val="Heading2"/>
        <w:spacing w:lineRule="auto" w:line="240" w:before="140" w:after="60"/>
        <w:rPr/>
      </w:pPr>
      <w:r>
        <w:rPr>
          <w:rFonts w:eastAsia="Lato" w:cs="Lato" w:ascii="Lato" w:hAnsi="Lato"/>
          <w:b/>
          <w:bCs/>
          <w:color w:val="111111"/>
          <w:sz w:val="24"/>
          <w:szCs w:val="24"/>
        </w:rPr>
        <w:t>Diccionario CPV español como artefacto abierto</w:t>
      </w:r>
    </w:p>
    <w:p>
      <w:pPr>
        <w:pStyle w:val="Normal"/>
        <w:spacing w:lineRule="auto" w:line="240" w:before="0" w:after="80"/>
        <w:jc w:val="both"/>
        <w:rPr/>
      </w:pPr>
      <w:r>
        <w:rPr>
          <w:rFonts w:eastAsia="Lato" w:cs="Lato"/>
          <w:color w:val="111111"/>
          <w:sz w:val="22"/>
          <w:szCs w:val="22"/>
        </w:rPr>
        <w:t xml:space="preserve">Madrid publica los objetos en texto libre. Para cualquier análisis sectorial homologable a escala europea hay que traducir esos textos al vocabulario CPV. El estudio publica </w:t>
      </w:r>
      <w:r>
        <w:rPr>
          <w:rFonts w:eastAsia="Lato" w:cs="Lato"/>
          <w:b/>
          <w:bCs/>
          <w:color w:val="111111"/>
          <w:sz w:val="22"/>
          <w:szCs w:val="22"/>
        </w:rPr>
        <w:t>52 reglas regex</w:t>
      </w:r>
      <w:r>
        <w:rPr>
          <w:rFonts w:eastAsia="Lato" w:cs="Lato"/>
          <w:color w:val="111111"/>
          <w:sz w:val="22"/>
          <w:szCs w:val="22"/>
        </w:rPr>
        <w:t xml:space="preserve"> que cubren el 52 % de los contratos de Madrid y son aplicables sin cambios a cualquier ayuntamiento que publique en el mismo formato. El diccionario se entrega bajo licencia abierta y constituye un recurso reutilizable independiente del propio estudio.</w:t>
      </w:r>
    </w:p>
    <w:p>
      <w:pPr>
        <w:pStyle w:val="Heading2"/>
        <w:spacing w:lineRule="auto" w:line="240" w:before="140" w:after="60"/>
        <w:rPr/>
      </w:pPr>
      <w:r>
        <w:rPr>
          <w:rFonts w:eastAsia="Lato" w:cs="Lato" w:ascii="Lato" w:hAnsi="Lato"/>
          <w:b/>
          <w:bCs/>
          <w:color w:val="111111"/>
          <w:sz w:val="24"/>
          <w:szCs w:val="24"/>
        </w:rPr>
        <w:t>Análisis determinístico y auditable, no caja negra</w:t>
      </w:r>
    </w:p>
    <w:p>
      <w:pPr>
        <w:pStyle w:val="Normal"/>
        <w:spacing w:lineRule="auto" w:line="240" w:before="0" w:after="80"/>
        <w:jc w:val="both"/>
        <w:rPr/>
      </w:pPr>
      <w:r>
        <w:rPr>
          <w:rFonts w:eastAsia="Lato" w:cs="Lato"/>
          <w:color w:val="111111"/>
          <w:sz w:val="22"/>
          <w:szCs w:val="22"/>
        </w:rPr>
        <w:t xml:space="preserve">Frente a la tendencia general de aplicar modelos de aprendizaje automático a la detección de fraude, este estudio mantiene una arquitectura </w:t>
      </w:r>
      <w:r>
        <w:rPr>
          <w:rFonts w:eastAsia="Lato" w:cs="Lato"/>
          <w:b/>
          <w:bCs/>
          <w:color w:val="111111"/>
          <w:sz w:val="22"/>
          <w:szCs w:val="22"/>
        </w:rPr>
        <w:t>determinística, explicable y trazable</w:t>
      </w:r>
      <w:r>
        <w:rPr>
          <w:rFonts w:eastAsia="Lato" w:cs="Lato"/>
          <w:color w:val="111111"/>
          <w:sz w:val="22"/>
          <w:szCs w:val="22"/>
        </w:rPr>
        <w:t xml:space="preserve">. Cada alerta </w:t>
      </w:r>
      <w:r>
        <w:rPr>
          <w:rFonts w:eastAsia="Lato" w:cs="Lato"/>
          <w:color w:val="111111"/>
          <w:sz w:val="22"/>
          <w:szCs w:val="22"/>
        </w:rPr>
        <w:t>o</w:t>
      </w:r>
      <w:r>
        <w:rPr>
          <w:rFonts w:eastAsia="Lato" w:cs="Lato"/>
          <w:color w:val="111111"/>
          <w:sz w:val="22"/>
          <w:szCs w:val="22"/>
        </w:rPr>
        <w:t xml:space="preserve"> Indicador de Riesgo se reduce a una operación aritmética sobre datos públicos: «este NIF acumuló X € en 30 días en este órgano, supera el umbral de Y €». El expediente concreto está enlazado en el portal oficial. Esta cualidad es la que permite que el estudio sea citable como evidencia y que sus alertas sean revisables por una intervención sin necesidad de auditar el modelo subyacente.</w:t>
      </w:r>
    </w:p>
    <w:p>
      <w:pPr>
        <w:pStyle w:val="Heading2"/>
        <w:spacing w:lineRule="auto" w:line="240" w:before="140" w:after="60"/>
        <w:rPr/>
      </w:pPr>
      <w:r>
        <w:rPr>
          <w:rFonts w:eastAsia="Lato" w:cs="Lato" w:ascii="Lato" w:hAnsi="Lato"/>
          <w:b/>
          <w:bCs/>
          <w:color w:val="111111"/>
          <w:sz w:val="24"/>
          <w:szCs w:val="24"/>
        </w:rPr>
        <w:t>Combinación multi-fuente</w:t>
      </w:r>
    </w:p>
    <w:p>
      <w:pPr>
        <w:pStyle w:val="Normal"/>
        <w:spacing w:lineRule="auto" w:line="240" w:before="0" w:after="80"/>
        <w:jc w:val="both"/>
        <w:rPr/>
      </w:pPr>
      <w:r>
        <w:rPr>
          <w:rFonts w:eastAsia="Lato" w:cs="Lato"/>
          <w:color w:val="111111"/>
          <w:sz w:val="22"/>
          <w:szCs w:val="22"/>
        </w:rPr>
        <w:t xml:space="preserve">La combinación de datos del Portal de Datos Abiertos de Madrid con otras fuentes públicas o privadas. El estudio combina cuatro fuentes, tres datasets de </w:t>
      </w:r>
      <w:r>
        <w:rPr>
          <w:rFonts w:eastAsia="Lato" w:cs="Lato"/>
          <w:b/>
          <w:bCs/>
          <w:color w:val="111111"/>
          <w:sz w:val="22"/>
          <w:szCs w:val="22"/>
        </w:rPr>
        <w:t>datos.madrid.es</w:t>
      </w:r>
      <w:r>
        <w:rPr>
          <w:rFonts w:eastAsia="Lato" w:cs="Lato"/>
          <w:color w:val="111111"/>
          <w:sz w:val="22"/>
          <w:szCs w:val="22"/>
        </w:rPr>
        <w:t xml:space="preserve"> y uno de Barcelona, y las cruza con dos bases doctrinales europeas (LCSP y umbrales de competencia HHI). La combinación no es ornamental: es la única manera de distinguir riesgo institucional de variabilidad estructural del mercado.</w:t>
      </w:r>
    </w:p>
    <w:p>
      <w:pPr>
        <w:pStyle w:val="Heading1"/>
        <w:spacing w:lineRule="auto" w:line="240" w:before="200" w:after="100"/>
        <w:rPr/>
      </w:pPr>
      <w:r>
        <w:rPr>
          <w:rFonts w:eastAsia="Lato" w:cs="Lato" w:ascii="Lato" w:hAnsi="Lato"/>
          <w:b/>
          <w:bCs/>
          <w:color w:val="111111"/>
          <w:sz w:val="28"/>
          <w:szCs w:val="28"/>
        </w:rPr>
        <w:t>8. Tecnología utilizada y entregables</w:t>
      </w:r>
    </w:p>
    <w:p>
      <w:pPr>
        <w:pStyle w:val="Heading2"/>
        <w:spacing w:lineRule="auto" w:line="240" w:before="140" w:after="60"/>
        <w:rPr/>
      </w:pPr>
      <w:r>
        <w:rPr>
          <w:rFonts w:eastAsia="Lato" w:cs="Lato" w:ascii="Lato" w:hAnsi="Lato"/>
          <w:b/>
          <w:bCs/>
          <w:color w:val="111111"/>
          <w:sz w:val="24"/>
          <w:szCs w:val="24"/>
        </w:rPr>
        <w:t>Stack técnico</w:t>
      </w:r>
    </w:p>
    <w:p>
      <w:pPr>
        <w:pStyle w:val="Normal"/>
        <w:spacing w:lineRule="auto" w:line="240" w:before="0" w:after="80"/>
        <w:jc w:val="both"/>
        <w:rPr/>
      </w:pPr>
      <w:r>
        <w:rPr>
          <w:rFonts w:eastAsia="Lato" w:cs="Lato"/>
          <w:color w:val="111111"/>
          <w:sz w:val="22"/>
          <w:szCs w:val="22"/>
        </w:rPr>
        <w:t xml:space="preserve">Pipeline en </w:t>
      </w:r>
      <w:r>
        <w:rPr>
          <w:rFonts w:eastAsia="Lato" w:cs="Lato"/>
          <w:b/>
          <w:bCs/>
          <w:color w:val="111111"/>
          <w:sz w:val="22"/>
          <w:szCs w:val="22"/>
        </w:rPr>
        <w:t>Python 3.11</w:t>
      </w:r>
      <w:r>
        <w:rPr>
          <w:rFonts w:eastAsia="Lato" w:cs="Lato"/>
          <w:color w:val="111111"/>
          <w:sz w:val="22"/>
          <w:szCs w:val="22"/>
        </w:rPr>
        <w:t xml:space="preserve"> con pandas, openpyxl y requests para la fase de adquisición y transformación. Visualización en </w:t>
      </w:r>
      <w:r>
        <w:rPr>
          <w:rFonts w:eastAsia="Lato" w:cs="Lato"/>
          <w:b/>
          <w:bCs/>
          <w:color w:val="111111"/>
          <w:sz w:val="22"/>
          <w:szCs w:val="22"/>
        </w:rPr>
        <w:t>D3.js v7</w:t>
      </w:r>
      <w:r>
        <w:rPr>
          <w:rFonts w:eastAsia="Lato" w:cs="Lato"/>
          <w:color w:val="111111"/>
          <w:sz w:val="22"/>
          <w:szCs w:val="22"/>
        </w:rPr>
        <w:t xml:space="preserve"> sobre HTML estático autocontenido, sin backend ni base de datos. El informe visual se publica como un único archivo HTML con datos JSON embebidos, lo que garantiza que el estudio sea consultable durante todo el año de la convocatoria sin depender de servicios de terceros. Tipografía Lato y paleta accesible (contraste WCAG 2.1 AA verificado).</w:t>
      </w:r>
    </w:p>
    <w:p>
      <w:pPr>
        <w:pStyle w:val="Heading2"/>
        <w:spacing w:lineRule="auto" w:line="240" w:before="140" w:after="60"/>
        <w:rPr/>
      </w:pPr>
      <w:r>
        <w:rPr>
          <w:rFonts w:eastAsia="Lato" w:cs="Lato" w:ascii="Lato" w:hAnsi="Lato"/>
          <w:b/>
          <w:bCs/>
          <w:color w:val="111111"/>
          <w:sz w:val="24"/>
          <w:szCs w:val="24"/>
        </w:rPr>
        <w:t>Reproducibilidad</w:t>
      </w:r>
    </w:p>
    <w:p>
      <w:pPr>
        <w:pStyle w:val="Normal"/>
        <w:spacing w:lineRule="auto" w:line="240" w:before="0" w:after="80"/>
        <w:jc w:val="both"/>
        <w:rPr/>
      </w:pPr>
      <w:r>
        <w:rPr>
          <w:rFonts w:eastAsia="Lato" w:cs="Lato"/>
          <w:color w:val="111111"/>
          <w:sz w:val="22"/>
          <w:szCs w:val="22"/>
        </w:rPr>
        <w:t xml:space="preserve">El repositorio incluye el pipeline ETL completo, el diccionario CPV, los datos procesados intermedios y la web final. Tres comandos: </w:t>
      </w:r>
      <w:r>
        <w:rPr>
          <w:rFonts w:eastAsia="Lato" w:cs="Lato"/>
          <w:color w:val="111111"/>
          <w:sz w:val="22"/>
          <w:szCs w:val="22"/>
        </w:rPr>
        <w:t>`</w:t>
      </w:r>
      <w:r>
        <w:rPr>
          <w:rFonts w:eastAsia="Lato" w:cs="Lato"/>
          <w:b/>
          <w:bCs/>
          <w:color w:val="111111"/>
          <w:sz w:val="22"/>
          <w:szCs w:val="22"/>
        </w:rPr>
        <w:t>git clone</w:t>
      </w:r>
      <w:r>
        <w:rPr>
          <w:rFonts w:eastAsia="Lato" w:cs="Lato"/>
          <w:b/>
          <w:bCs/>
          <w:color w:val="111111"/>
          <w:sz w:val="22"/>
          <w:szCs w:val="22"/>
        </w:rPr>
        <w:t>`</w:t>
      </w:r>
      <w:r>
        <w:rPr>
          <w:rFonts w:eastAsia="Lato" w:cs="Lato"/>
          <w:b/>
          <w:bCs/>
          <w:color w:val="111111"/>
          <w:sz w:val="22"/>
          <w:szCs w:val="22"/>
        </w:rPr>
        <w:t xml:space="preserve">, </w:t>
      </w:r>
      <w:r>
        <w:rPr>
          <w:rFonts w:eastAsia="Lato" w:cs="Lato"/>
          <w:b/>
          <w:bCs/>
          <w:color w:val="111111"/>
          <w:sz w:val="22"/>
          <w:szCs w:val="22"/>
        </w:rPr>
        <w:t>`</w:t>
      </w:r>
      <w:r>
        <w:rPr>
          <w:rFonts w:eastAsia="Lato" w:cs="Lato"/>
          <w:b/>
          <w:bCs/>
          <w:color w:val="111111"/>
          <w:sz w:val="22"/>
          <w:szCs w:val="22"/>
        </w:rPr>
        <w:t>pip install</w:t>
      </w:r>
      <w:r>
        <w:rPr>
          <w:rFonts w:eastAsia="Lato" w:cs="Lato"/>
          <w:b/>
          <w:bCs/>
          <w:color w:val="111111"/>
          <w:sz w:val="22"/>
          <w:szCs w:val="22"/>
        </w:rPr>
        <w:t>`</w:t>
      </w:r>
      <w:r>
        <w:rPr>
          <w:rFonts w:eastAsia="Lato" w:cs="Lato"/>
          <w:b/>
          <w:bCs/>
          <w:color w:val="111111"/>
          <w:sz w:val="22"/>
          <w:szCs w:val="22"/>
        </w:rPr>
        <w:t xml:space="preserve">, </w:t>
      </w:r>
      <w:r>
        <w:rPr>
          <w:rFonts w:eastAsia="Lato" w:cs="Lato"/>
          <w:b/>
          <w:bCs/>
          <w:color w:val="111111"/>
          <w:sz w:val="22"/>
          <w:szCs w:val="22"/>
        </w:rPr>
        <w:t>`</w:t>
      </w:r>
      <w:r>
        <w:rPr>
          <w:rFonts w:eastAsia="Lato" w:cs="Lato"/>
          <w:b/>
          <w:bCs/>
          <w:color w:val="111111"/>
          <w:sz w:val="22"/>
          <w:szCs w:val="22"/>
        </w:rPr>
        <w:t>python analysis/pipeline.py</w:t>
      </w:r>
      <w:r>
        <w:rPr>
          <w:rFonts w:eastAsia="Lato" w:cs="Lato"/>
          <w:b/>
          <w:bCs/>
          <w:color w:val="111111"/>
          <w:sz w:val="22"/>
          <w:szCs w:val="22"/>
        </w:rPr>
        <w:t>`</w:t>
      </w:r>
      <w:r>
        <w:rPr>
          <w:rFonts w:eastAsia="Lato" w:cs="Lato"/>
          <w:color w:val="111111"/>
          <w:sz w:val="22"/>
          <w:szCs w:val="22"/>
        </w:rPr>
        <w:t xml:space="preserve"> bastan para regenerar el estudio desde cero. El pipeline documenta en pantalla cada transformación con número de filas de entrada y salida, lo que permite auditar cualquier divergencia entre ejecuciones. El repositorio quedará público durante todo el año de la convocatoria, según exige el apartado 8.º de las bases.</w:t>
      </w:r>
    </w:p>
    <w:p>
      <w:pPr>
        <w:pStyle w:val="Heading2"/>
        <w:spacing w:lineRule="auto" w:line="240" w:before="140" w:after="60"/>
        <w:rPr/>
      </w:pPr>
      <w:r>
        <w:rPr>
          <w:rFonts w:eastAsia="Lato" w:cs="Lato" w:ascii="Lato" w:hAnsi="Lato"/>
          <w:b/>
          <w:bCs/>
          <w:color w:val="111111"/>
          <w:sz w:val="24"/>
          <w:szCs w:val="24"/>
        </w:rPr>
        <w:t>Entregables del estudio</w:t>
      </w:r>
    </w:p>
    <w:p>
      <w:pPr>
        <w:pStyle w:val="ListParagraph"/>
        <w:numPr>
          <w:ilvl w:val="0"/>
          <w:numId w:val="1"/>
        </w:numPr>
        <w:spacing w:lineRule="auto" w:line="240" w:before="0" w:after="40"/>
        <w:jc w:val="both"/>
        <w:rPr/>
      </w:pPr>
      <w:r>
        <w:rPr>
          <w:rFonts w:eastAsia="Lato" w:cs="Lato"/>
          <w:b/>
          <w:bCs/>
          <w:color w:val="111111"/>
          <w:sz w:val="22"/>
          <w:szCs w:val="22"/>
        </w:rPr>
        <w:t>Memoria del proyecto (este documento):</w:t>
      </w:r>
      <w:r>
        <w:rPr>
          <w:rFonts w:eastAsia="Lato" w:cs="Lato"/>
          <w:color w:val="111111"/>
          <w:sz w:val="22"/>
          <w:szCs w:val="22"/>
        </w:rPr>
        <w:t xml:space="preserve"> Anexo III, 10 páginas DIN A4.</w:t>
      </w:r>
    </w:p>
    <w:p>
      <w:pPr>
        <w:pStyle w:val="ListParagraph"/>
        <w:numPr>
          <w:ilvl w:val="0"/>
          <w:numId w:val="1"/>
        </w:numPr>
        <w:spacing w:lineRule="auto" w:line="240" w:before="0" w:after="40"/>
        <w:jc w:val="both"/>
        <w:rPr/>
      </w:pPr>
      <w:r>
        <w:rPr>
          <w:rFonts w:eastAsia="Lato" w:cs="Lato"/>
          <w:b/>
          <w:bCs/>
          <w:color w:val="111111"/>
          <w:sz w:val="22"/>
          <w:szCs w:val="22"/>
        </w:rPr>
        <w:t>Repositorio público:</w:t>
      </w:r>
      <w:r>
        <w:rPr>
          <w:rFonts w:eastAsia="Lato" w:cs="Lato"/>
          <w:color w:val="111111"/>
          <w:sz w:val="22"/>
          <w:szCs w:val="22"/>
        </w:rPr>
        <w:t xml:space="preserve"> </w:t>
      </w:r>
      <w:hyperlink r:id="rId3">
        <w:r>
          <w:rPr>
            <w:rFonts w:eastAsia="Lato" w:cs="Lato"/>
            <w:color w:val="0563C1"/>
            <w:sz w:val="22"/>
            <w:szCs w:val="22"/>
            <w:u w:val="single"/>
          </w:rPr>
          <w:t>github.com/GonxoMR/vigilante</w:t>
        </w:r>
      </w:hyperlink>
      <w:r>
        <w:rPr>
          <w:rFonts w:eastAsia="Lato" w:cs="Lato"/>
          <w:color w:val="111111"/>
          <w:sz w:val="22"/>
          <w:szCs w:val="22"/>
        </w:rPr>
        <w:t xml:space="preserve"> con código ETL, diccionario CPV abierto, datos procesados y licencia.</w:t>
      </w:r>
    </w:p>
    <w:p>
      <w:pPr>
        <w:pStyle w:val="ListParagraph"/>
        <w:numPr>
          <w:ilvl w:val="0"/>
          <w:numId w:val="1"/>
        </w:numPr>
        <w:spacing w:lineRule="auto" w:line="240" w:before="0" w:after="40"/>
        <w:jc w:val="both"/>
        <w:rPr/>
      </w:pPr>
      <w:r>
        <w:rPr>
          <w:rFonts w:eastAsia="Lato" w:cs="Lato"/>
          <w:b/>
          <w:bCs/>
          <w:color w:val="111111"/>
          <w:sz w:val="22"/>
          <w:szCs w:val="22"/>
        </w:rPr>
        <w:t>Informe visual scrollytelling:</w:t>
      </w:r>
      <w:r>
        <w:rPr>
          <w:rFonts w:eastAsia="Lato" w:cs="Lato"/>
          <w:color w:val="111111"/>
          <w:sz w:val="22"/>
          <w:szCs w:val="22"/>
        </w:rPr>
        <w:t xml:space="preserve"> archivo HTML autocontenido en el repositorio, abrible en cualquier navegador moderno sin instalación.</w:t>
      </w:r>
    </w:p>
    <w:p>
      <w:pPr>
        <w:pStyle w:val="ListParagraph"/>
        <w:numPr>
          <w:ilvl w:val="0"/>
          <w:numId w:val="1"/>
        </w:numPr>
        <w:spacing w:lineRule="auto" w:line="240" w:before="0" w:after="40"/>
        <w:jc w:val="both"/>
        <w:rPr/>
      </w:pPr>
      <w:r>
        <w:rPr>
          <w:rFonts w:eastAsia="Lato" w:cs="Lato"/>
          <w:b/>
          <w:bCs/>
          <w:color w:val="111111"/>
          <w:sz w:val="22"/>
          <w:szCs w:val="22"/>
        </w:rPr>
        <w:t>Vídeo demo ≤ 3 min</w:t>
      </w:r>
      <w:r>
        <w:rPr>
          <w:rFonts w:eastAsia="Lato" w:cs="Lato"/>
          <w:color w:val="111111"/>
          <w:sz w:val="22"/>
          <w:szCs w:val="22"/>
        </w:rPr>
        <w:t>: pendiente de grabación; URL definitiva se notificará al órgano instructor antes del cierre de presentación de solicitudes.</w:t>
      </w:r>
    </w:p>
    <w:p>
      <w:pPr>
        <w:pStyle w:val="ListParagraph"/>
        <w:numPr>
          <w:ilvl w:val="0"/>
          <w:numId w:val="1"/>
        </w:numPr>
        <w:spacing w:lineRule="auto" w:line="240" w:before="0" w:after="40"/>
        <w:jc w:val="both"/>
        <w:rPr/>
      </w:pPr>
      <w:r>
        <w:rPr>
          <w:rFonts w:eastAsia="Lato" w:cs="Lato"/>
          <w:b/>
          <w:bCs/>
          <w:color w:val="111111"/>
          <w:sz w:val="22"/>
          <w:szCs w:val="22"/>
        </w:rPr>
        <w:t>Diccionario CPV español:</w:t>
      </w:r>
      <w:r>
        <w:rPr>
          <w:rFonts w:eastAsia="Lato" w:cs="Lato"/>
          <w:color w:val="111111"/>
          <w:sz w:val="22"/>
          <w:szCs w:val="22"/>
        </w:rPr>
        <w:t xml:space="preserve"> artefacto independiente reutilizable, publicado en el repositorio bajo licencia abierta.</w:t>
      </w:r>
    </w:p>
    <w:p>
      <w:pPr>
        <w:pStyle w:val="Heading2"/>
        <w:spacing w:lineRule="auto" w:line="240" w:before="140" w:after="60"/>
        <w:rPr/>
      </w:pPr>
      <w:r>
        <w:rPr>
          <w:rFonts w:eastAsia="Lato" w:cs="Lato" w:ascii="Lato" w:hAnsi="Lato"/>
          <w:b/>
          <w:bCs/>
          <w:color w:val="111111"/>
          <w:sz w:val="24"/>
          <w:szCs w:val="24"/>
        </w:rPr>
        <w:t>Salvaguardas</w:t>
      </w:r>
    </w:p>
    <w:p>
      <w:pPr>
        <w:pStyle w:val="Normal"/>
        <w:spacing w:lineRule="auto" w:line="240" w:before="0" w:after="80"/>
        <w:jc w:val="both"/>
        <w:rPr/>
      </w:pPr>
      <w:r>
        <w:rPr>
          <w:rFonts w:eastAsia="Lato" w:cs="Lato"/>
          <w:color w:val="111111"/>
          <w:sz w:val="22"/>
          <w:szCs w:val="22"/>
        </w:rPr>
        <w:t xml:space="preserve">El estudio aplica de forma sistemática </w:t>
      </w:r>
      <w:r>
        <w:rPr>
          <w:rFonts w:eastAsia="Lato" w:cs="Lato"/>
          <w:b/>
          <w:bCs/>
          <w:color w:val="111111"/>
          <w:sz w:val="22"/>
          <w:szCs w:val="22"/>
        </w:rPr>
        <w:t>lenguaje legalmente neutro</w:t>
      </w:r>
      <w:r>
        <w:rPr>
          <w:rFonts w:eastAsia="Lato" w:cs="Lato"/>
          <w:color w:val="111111"/>
          <w:sz w:val="22"/>
          <w:szCs w:val="22"/>
        </w:rPr>
        <w:t>. El término "Indicador de Riesgo" sustituye en todos los casos a "fraude" o "irregularidad", siguiendo la doctrina de la LCSP. Los hallazgos cuantitativos no implican ilegalidad: requieren contraste con el expediente administrativo. La memoria, el informe visual y el repositorio incluyen este disclaimer en posición visible. Los NIFs personales (autónomos) se muestran tal como aparecen en la fuente oficial; las páginas de perfil del informe llevan etiqueta noindex para evitar reindexación por motores externos, según buenas prácticas GDPR.</w:t>
      </w:r>
    </w:p>
    <w:p>
      <w:pPr>
        <w:pStyle w:val="Heading1"/>
        <w:spacing w:lineRule="auto" w:line="240" w:before="200" w:after="100"/>
        <w:rPr/>
      </w:pPr>
      <w:r>
        <w:rPr>
          <w:rFonts w:eastAsia="Lato" w:cs="Lato" w:ascii="Lato" w:hAnsi="Lato"/>
          <w:b/>
          <w:bCs/>
          <w:color w:val="111111"/>
          <w:sz w:val="28"/>
          <w:szCs w:val="28"/>
        </w:rPr>
        <w:t>9. Referencias y enlaces</w:t>
      </w:r>
    </w:p>
    <w:p>
      <w:pPr>
        <w:pStyle w:val="ListParagraph"/>
        <w:numPr>
          <w:ilvl w:val="0"/>
          <w:numId w:val="1"/>
        </w:numPr>
        <w:spacing w:lineRule="auto" w:line="240" w:before="0" w:after="40"/>
        <w:jc w:val="both"/>
        <w:rPr/>
      </w:pPr>
      <w:r>
        <w:rPr>
          <w:rFonts w:eastAsia="Lato" w:cs="Lato"/>
          <w:b/>
          <w:bCs/>
          <w:color w:val="111111"/>
          <w:sz w:val="22"/>
          <w:szCs w:val="22"/>
        </w:rPr>
        <w:t>Ley 9/2017, de 8 de noviembre, de Contratos del Sector Público (LCSP)</w:t>
      </w:r>
      <w:r>
        <w:rPr>
          <w:rFonts w:eastAsia="Lato" w:cs="Lato"/>
          <w:color w:val="111111"/>
          <w:sz w:val="22"/>
          <w:szCs w:val="22"/>
        </w:rPr>
        <w:t>, artículo 99.2 — prohibición de fraccionamiento.</w:t>
      </w:r>
    </w:p>
    <w:p>
      <w:pPr>
        <w:pStyle w:val="ListParagraph"/>
        <w:numPr>
          <w:ilvl w:val="0"/>
          <w:numId w:val="1"/>
        </w:numPr>
        <w:spacing w:lineRule="auto" w:line="240" w:before="0" w:after="40"/>
        <w:jc w:val="both"/>
        <w:rPr/>
      </w:pPr>
      <w:r>
        <w:rPr>
          <w:rFonts w:eastAsia="Lato" w:cs="Lato"/>
          <w:b/>
          <w:bCs/>
          <w:color w:val="111111"/>
          <w:sz w:val="22"/>
          <w:szCs w:val="22"/>
        </w:rPr>
        <w:t>US DOJ y FTC</w:t>
      </w:r>
      <w:r>
        <w:rPr>
          <w:rFonts w:eastAsia="Lato" w:cs="Lato"/>
          <w:color w:val="111111"/>
          <w:sz w:val="22"/>
          <w:szCs w:val="22"/>
        </w:rPr>
        <w:t xml:space="preserve">, </w:t>
      </w:r>
      <w:r>
        <w:rPr>
          <w:rFonts w:eastAsia="Lato" w:cs="Lato"/>
          <w:i/>
          <w:iCs/>
          <w:color w:val="111111"/>
          <w:sz w:val="22"/>
          <w:szCs w:val="22"/>
        </w:rPr>
        <w:t>Horizontal Merger Guidelines</w:t>
      </w:r>
      <w:r>
        <w:rPr>
          <w:rFonts w:eastAsia="Lato" w:cs="Lato"/>
          <w:color w:val="111111"/>
          <w:sz w:val="22"/>
          <w:szCs w:val="22"/>
        </w:rPr>
        <w:t>, §5.3 — umbrales HHI 0,15 / 0,25.</w:t>
      </w:r>
    </w:p>
    <w:p>
      <w:pPr>
        <w:pStyle w:val="ListParagraph"/>
        <w:numPr>
          <w:ilvl w:val="0"/>
          <w:numId w:val="1"/>
        </w:numPr>
        <w:spacing w:lineRule="auto" w:line="240" w:before="0" w:after="40"/>
        <w:jc w:val="both"/>
        <w:rPr/>
      </w:pPr>
      <w:r>
        <w:rPr>
          <w:rFonts w:eastAsia="Lato" w:cs="Lato"/>
          <w:b/>
          <w:bCs/>
          <w:color w:val="111111"/>
          <w:sz w:val="22"/>
          <w:szCs w:val="22"/>
        </w:rPr>
        <w:t>Comisión Europea</w:t>
      </w:r>
      <w:r>
        <w:rPr>
          <w:rFonts w:eastAsia="Lato" w:cs="Lato"/>
          <w:color w:val="111111"/>
          <w:sz w:val="22"/>
          <w:szCs w:val="22"/>
        </w:rPr>
        <w:t xml:space="preserve">, </w:t>
      </w:r>
      <w:r>
        <w:rPr>
          <w:rFonts w:eastAsia="Lato" w:cs="Lato"/>
          <w:i/>
          <w:iCs/>
          <w:color w:val="111111"/>
          <w:sz w:val="22"/>
          <w:szCs w:val="22"/>
        </w:rPr>
        <w:t>Communication on the assessment of horizontal mergers</w:t>
      </w:r>
      <w:r>
        <w:rPr>
          <w:rFonts w:eastAsia="Lato" w:cs="Lato"/>
          <w:color w:val="111111"/>
          <w:sz w:val="22"/>
          <w:szCs w:val="22"/>
        </w:rPr>
        <w:t xml:space="preserve"> (2004/C 31/03) — criterios de concentración.</w:t>
      </w:r>
    </w:p>
    <w:p>
      <w:pPr>
        <w:pStyle w:val="ListParagraph"/>
        <w:numPr>
          <w:ilvl w:val="0"/>
          <w:numId w:val="1"/>
        </w:numPr>
        <w:spacing w:lineRule="auto" w:line="240" w:before="0" w:after="40"/>
        <w:jc w:val="both"/>
        <w:rPr/>
      </w:pPr>
      <w:r>
        <w:rPr>
          <w:rFonts w:eastAsia="Lato" w:cs="Lato"/>
          <w:b/>
          <w:bCs/>
          <w:color w:val="111111"/>
          <w:sz w:val="22"/>
          <w:szCs w:val="22"/>
        </w:rPr>
        <w:t>Reglamento (CE) 213/2008</w:t>
      </w:r>
      <w:r>
        <w:rPr>
          <w:rFonts w:eastAsia="Lato" w:cs="Lato"/>
          <w:color w:val="111111"/>
          <w:sz w:val="22"/>
          <w:szCs w:val="22"/>
        </w:rPr>
        <w:t xml:space="preserve"> del Parlamento Europeo y del Consejo — Vocabulario Común de Contratos Públicos (CPV).</w:t>
      </w:r>
    </w:p>
    <w:p>
      <w:pPr>
        <w:pStyle w:val="ListParagraph"/>
        <w:numPr>
          <w:ilvl w:val="0"/>
          <w:numId w:val="1"/>
        </w:numPr>
        <w:spacing w:lineRule="auto" w:line="240" w:before="0" w:after="40"/>
        <w:jc w:val="both"/>
        <w:rPr/>
      </w:pPr>
      <w:r>
        <w:rPr>
          <w:rFonts w:eastAsia="Lato" w:cs="Lato"/>
          <w:b/>
          <w:bCs/>
          <w:color w:val="111111"/>
          <w:sz w:val="22"/>
          <w:szCs w:val="22"/>
        </w:rPr>
        <w:t>Bases reguladoras del concurso</w:t>
      </w:r>
      <w:r>
        <w:rPr>
          <w:rFonts w:eastAsia="Lato" w:cs="Lato"/>
          <w:color w:val="111111"/>
          <w:sz w:val="22"/>
          <w:szCs w:val="22"/>
        </w:rPr>
        <w:t xml:space="preserve"> — </w:t>
      </w:r>
      <w:hyperlink r:id="rId4">
        <w:r>
          <w:rPr>
            <w:rFonts w:eastAsia="Lato" w:cs="Lato"/>
            <w:color w:val="0563C1"/>
            <w:sz w:val="22"/>
            <w:szCs w:val="22"/>
            <w:u w:val="single"/>
          </w:rPr>
          <w:t>Decreto 26-02-20, sede Madrid</w:t>
        </w:r>
      </w:hyperlink>
      <w:r>
        <w:rPr>
          <w:rFonts w:eastAsia="Lato" w:cs="Lato"/>
          <w:color w:val="111111"/>
          <w:sz w:val="22"/>
          <w:szCs w:val="22"/>
        </w:rPr>
        <w:t>.</w:t>
      </w:r>
    </w:p>
    <w:p>
      <w:pPr>
        <w:pStyle w:val="ListParagraph"/>
        <w:numPr>
          <w:ilvl w:val="0"/>
          <w:numId w:val="1"/>
        </w:numPr>
        <w:spacing w:lineRule="auto" w:line="240" w:before="0" w:after="40"/>
        <w:jc w:val="both"/>
        <w:rPr/>
      </w:pPr>
      <w:r>
        <w:rPr>
          <w:rFonts w:eastAsia="Lato" w:cs="Lato"/>
          <w:b/>
          <w:bCs/>
          <w:color w:val="111111"/>
          <w:sz w:val="22"/>
          <w:szCs w:val="22"/>
        </w:rPr>
        <w:t>Datos: Contratos menores Madrid</w:t>
      </w:r>
      <w:r>
        <w:rPr>
          <w:rFonts w:eastAsia="Lato" w:cs="Lato"/>
          <w:color w:val="111111"/>
          <w:sz w:val="22"/>
          <w:szCs w:val="22"/>
        </w:rPr>
        <w:t xml:space="preserve"> — </w:t>
      </w:r>
      <w:hyperlink r:id="rId5">
        <w:r>
          <w:rPr>
            <w:rFonts w:eastAsia="Lato" w:cs="Lato"/>
            <w:color w:val="0563C1"/>
            <w:sz w:val="22"/>
            <w:szCs w:val="22"/>
            <w:u w:val="single"/>
          </w:rPr>
          <w:t>datos.madrid.es/dataset/300253-0</w:t>
        </w:r>
      </w:hyperlink>
      <w:r>
        <w:rPr>
          <w:rFonts w:eastAsia="Lato" w:cs="Lato"/>
          <w:color w:val="111111"/>
          <w:sz w:val="22"/>
          <w:szCs w:val="22"/>
        </w:rPr>
        <w:t>.</w:t>
      </w:r>
    </w:p>
    <w:p>
      <w:pPr>
        <w:pStyle w:val="ListParagraph"/>
        <w:numPr>
          <w:ilvl w:val="0"/>
          <w:numId w:val="1"/>
        </w:numPr>
        <w:spacing w:lineRule="auto" w:line="240" w:before="0" w:after="40"/>
        <w:jc w:val="both"/>
        <w:rPr/>
      </w:pPr>
      <w:r>
        <w:rPr>
          <w:rFonts w:eastAsia="Lato" w:cs="Lato"/>
          <w:b/>
          <w:bCs/>
          <w:color w:val="111111"/>
          <w:sz w:val="22"/>
          <w:szCs w:val="22"/>
        </w:rPr>
        <w:t>Datos: Contratos actividad Madrid</w:t>
      </w:r>
      <w:r>
        <w:rPr>
          <w:rFonts w:eastAsia="Lato" w:cs="Lato"/>
          <w:color w:val="111111"/>
          <w:sz w:val="22"/>
          <w:szCs w:val="22"/>
        </w:rPr>
        <w:t xml:space="preserve"> — </w:t>
      </w:r>
      <w:hyperlink r:id="rId6">
        <w:r>
          <w:rPr>
            <w:rFonts w:eastAsia="Lato" w:cs="Lato"/>
            <w:color w:val="0563C1"/>
            <w:sz w:val="22"/>
            <w:szCs w:val="22"/>
            <w:u w:val="single"/>
          </w:rPr>
          <w:t>datos.madrid.es/dataset/216876-0</w:t>
        </w:r>
      </w:hyperlink>
      <w:r>
        <w:rPr>
          <w:rFonts w:eastAsia="Lato" w:cs="Lato"/>
          <w:color w:val="111111"/>
          <w:sz w:val="22"/>
          <w:szCs w:val="22"/>
        </w:rPr>
        <w:t>.</w:t>
      </w:r>
    </w:p>
    <w:p>
      <w:pPr>
        <w:pStyle w:val="ListParagraph"/>
        <w:numPr>
          <w:ilvl w:val="0"/>
          <w:numId w:val="1"/>
        </w:numPr>
        <w:spacing w:lineRule="auto" w:line="240" w:before="0" w:after="40"/>
        <w:jc w:val="both"/>
        <w:rPr/>
      </w:pPr>
      <w:r>
        <w:rPr>
          <w:rFonts w:eastAsia="Lato" w:cs="Lato"/>
          <w:b/>
          <w:bCs/>
          <w:color w:val="111111"/>
          <w:sz w:val="22"/>
          <w:szCs w:val="22"/>
        </w:rPr>
        <w:t>Datos: Ejecución presupuestaria Madrid</w:t>
      </w:r>
      <w:r>
        <w:rPr>
          <w:rFonts w:eastAsia="Lato" w:cs="Lato"/>
          <w:color w:val="111111"/>
          <w:sz w:val="22"/>
          <w:szCs w:val="22"/>
        </w:rPr>
        <w:t xml:space="preserve"> — </w:t>
      </w:r>
      <w:hyperlink r:id="rId7">
        <w:r>
          <w:rPr>
            <w:rFonts w:eastAsia="Lato" w:cs="Lato"/>
            <w:color w:val="0563C1"/>
            <w:sz w:val="22"/>
            <w:szCs w:val="22"/>
            <w:u w:val="single"/>
          </w:rPr>
          <w:t>datos.madrid.es/dataset/211496-0</w:t>
        </w:r>
      </w:hyperlink>
      <w:r>
        <w:rPr>
          <w:rFonts w:eastAsia="Lato" w:cs="Lato"/>
          <w:color w:val="111111"/>
          <w:sz w:val="22"/>
          <w:szCs w:val="22"/>
        </w:rPr>
        <w:t>.</w:t>
      </w:r>
    </w:p>
    <w:p>
      <w:pPr>
        <w:pStyle w:val="ListParagraph"/>
        <w:numPr>
          <w:ilvl w:val="0"/>
          <w:numId w:val="1"/>
        </w:numPr>
        <w:spacing w:lineRule="auto" w:line="240" w:before="0" w:after="40"/>
        <w:jc w:val="both"/>
        <w:rPr/>
      </w:pPr>
      <w:r>
        <w:rPr>
          <w:rFonts w:eastAsia="Lato" w:cs="Lato"/>
          <w:b/>
          <w:bCs/>
          <w:color w:val="111111"/>
          <w:sz w:val="22"/>
          <w:szCs w:val="22"/>
        </w:rPr>
        <w:t>Datos: Perfil Contractant Barcelona</w:t>
      </w:r>
      <w:r>
        <w:rPr>
          <w:rFonts w:eastAsia="Lato" w:cs="Lato"/>
          <w:color w:val="111111"/>
          <w:sz w:val="22"/>
          <w:szCs w:val="22"/>
        </w:rPr>
        <w:t xml:space="preserve"> — </w:t>
      </w:r>
      <w:hyperlink r:id="rId8">
        <w:r>
          <w:rPr>
            <w:rFonts w:eastAsia="Lato" w:cs="Lato"/>
            <w:color w:val="0563C1"/>
            <w:sz w:val="22"/>
            <w:szCs w:val="22"/>
            <w:u w:val="single"/>
          </w:rPr>
          <w:t>opendata-ajuntament.barcelona.cat</w:t>
        </w:r>
      </w:hyperlink>
      <w:r>
        <w:rPr>
          <w:rFonts w:eastAsia="Lato" w:cs="Lato"/>
          <w:color w:val="111111"/>
          <w:sz w:val="22"/>
          <w:szCs w:val="22"/>
        </w:rPr>
        <w:t>.</w:t>
      </w:r>
    </w:p>
    <w:p>
      <w:pPr>
        <w:pStyle w:val="ListParagraph"/>
        <w:numPr>
          <w:ilvl w:val="0"/>
          <w:numId w:val="1"/>
        </w:numPr>
        <w:spacing w:lineRule="auto" w:line="240" w:before="0" w:after="40"/>
        <w:jc w:val="both"/>
        <w:rPr/>
      </w:pPr>
      <w:r>
        <w:rPr>
          <w:rFonts w:eastAsia="Lato" w:cs="Lato"/>
          <w:b/>
          <w:bCs/>
          <w:color w:val="111111"/>
          <w:sz w:val="22"/>
          <w:szCs w:val="22"/>
        </w:rPr>
        <w:t>Repositorio del estudio</w:t>
      </w:r>
      <w:r>
        <w:rPr>
          <w:rFonts w:eastAsia="Lato" w:cs="Lato"/>
          <w:color w:val="111111"/>
          <w:sz w:val="22"/>
          <w:szCs w:val="22"/>
        </w:rPr>
        <w:t xml:space="preserve"> — </w:t>
      </w:r>
      <w:hyperlink r:id="rId9">
        <w:r>
          <w:rPr>
            <w:rFonts w:eastAsia="Lato" w:cs="Lato"/>
            <w:color w:val="0563C1"/>
            <w:sz w:val="22"/>
            <w:szCs w:val="22"/>
            <w:u w:val="single"/>
          </w:rPr>
          <w:t>github.com/GonxoMR/vigilante</w:t>
        </w:r>
      </w:hyperlink>
      <w:r>
        <w:rPr>
          <w:rFonts w:eastAsia="Lato" w:cs="Lato"/>
          <w:color w:val="111111"/>
          <w:sz w:val="22"/>
          <w:szCs w:val="22"/>
        </w:rPr>
        <w:t>.</w:t>
      </w:r>
    </w:p>
    <w:p>
      <w:pPr>
        <w:pStyle w:val="Normal"/>
        <w:spacing w:lineRule="auto" w:line="240" w:before="200" w:after="0"/>
        <w:rPr/>
      </w:pPr>
      <w:r>
        <w:rPr/>
      </w:r>
    </w:p>
    <w:p>
      <w:pPr>
        <w:pStyle w:val="Normal"/>
        <w:spacing w:lineRule="auto" w:line="240" w:before="100" w:after="100"/>
        <w:jc w:val="both"/>
        <w:rPr/>
      </w:pPr>
      <w:r>
        <w:rPr>
          <w:rFonts w:eastAsia="Lato" w:cs="Lato"/>
          <w:i/>
          <w:iCs/>
          <w:color w:val="555555"/>
          <w:sz w:val="22"/>
          <w:szCs w:val="22"/>
        </w:rPr>
        <w:t>Disclaimer legal: los términos «Indicador de Riesgo» y «alerta» empleados en este estudio no implican irregularidad confirmada. Los patrones detectados requieren contraste con la documentación del expediente administrativo correspondiente, en aplicación del artículo 99.2 de la LCSP.</w:t>
      </w:r>
    </w:p>
    <w:sectPr>
      <w:footerReference w:type="default" r:id="rId10"/>
      <w:type w:val="nextPage"/>
      <w:pgSz w:w="11906" w:h="16838"/>
      <w:pgMar w:left="1134" w:right="1134" w:gutter="0" w:header="0"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ato">
    <w:charset w:val="01"/>
    <w:family w:val="roman"/>
    <w:pitch w:val="variable"/>
  </w:font>
  <w:font w:name="Lato">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00" w:leader="none"/>
        <w:tab w:val="right" w:pos="9638" w:leader="none"/>
      </w:tabs>
      <w:spacing w:lineRule="auto" w:line="240"/>
      <w:rPr/>
    </w:pPr>
    <w:r>
      <w:rPr>
        <w:rFonts w:eastAsia="Lato" w:cs="Lato"/>
        <w:color w:val="555555"/>
        <w:sz w:val="18"/>
        <w:szCs w:val="18"/>
      </w:rPr>
      <w:t>Vigilante de Contratación Menor — Memoria</w:t>
    </w:r>
    <w:r>
      <w:rPr>
        <w:rFonts w:eastAsia="Lato" w:cs="Lato"/>
        <w:sz w:val="18"/>
        <w:szCs w:val="18"/>
      </w:rPr>
      <w:tab/>
    </w:r>
    <w:r>
      <w:rPr>
        <w:rFonts w:eastAsia="Lato" w:cs="Lato"/>
        <w:color w:val="555555"/>
        <w:sz w:val="18"/>
        <w:szCs w:val="18"/>
      </w:rPr>
      <w:t>Gonzalo Martín Roldán</w:t>
    </w:r>
    <w:r>
      <w:rPr>
        <w:rFonts w:eastAsia="Lato" w:cs="Lato"/>
        <w:sz w:val="18"/>
        <w:szCs w:val="18"/>
      </w:rPr>
      <w:tab/>
    </w:r>
    <w:r>
      <w:rPr>
        <w:rFonts w:eastAsia="Lato" w:cs="Lato"/>
        <w:color w:val="555555"/>
        <w:sz w:val="18"/>
        <w:szCs w:val="18"/>
      </w:rPr>
      <w:t xml:space="preserve">Página </w:t>
    </w:r>
    <w:r>
      <w:rPr/>
      <w:fldChar w:fldCharType="begin"/>
    </w:r>
    <w:r>
      <w:rPr/>
      <w:instrText xml:space="preserve"> PAGE </w:instrText>
    </w:r>
    <w:r>
      <w:rPr/>
      <w:fldChar w:fldCharType="separate"/>
    </w:r>
    <w:r>
      <w:rPr/>
      <w:t>7</w:t>
    </w:r>
    <w:r>
      <w:rPr/>
      <w:fldChar w:fldCharType="end"/>
    </w:r>
    <w:r>
      <w:rPr>
        <w:rFonts w:eastAsia="Lato" w:cs="Lato"/>
        <w:color w:val="555555"/>
        <w:sz w:val="18"/>
        <w:szCs w:val="18"/>
      </w:rPr>
      <w:t xml:space="preserve"> / </w:t>
    </w:r>
    <w:r>
      <w:rPr/>
      <w:fldChar w:fldCharType="begin"/>
    </w:r>
    <w:r>
      <w:rPr/>
      <w:instrText xml:space="preserve"> NUMPAGES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Lato" w:cs="Lato"/>
        <w:color w:val="111111"/>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Lato" w:hAnsi="Lato" w:eastAsia="Lato" w:cs="Lato"/>
      <w:color w:val="111111"/>
      <w:kern w:val="0"/>
      <w:sz w:val="22"/>
      <w:szCs w:val="22"/>
      <w:lang w:val="en-GB" w:eastAsia="zh-CN" w:bidi="hi-IN"/>
    </w:rPr>
  </w:style>
  <w:style w:type="paragraph" w:styleId="Heading1">
    <w:name w:val="Heading 1"/>
    <w:basedOn w:val="Heading"/>
    <w:qFormat/>
    <w:pPr>
      <w:spacing w:lineRule="auto" w:line="240" w:before="200" w:after="100"/>
      <w:outlineLvl w:val="0"/>
    </w:pPr>
    <w:rPr>
      <w:rFonts w:ascii="Lato" w:hAnsi="Lato" w:eastAsia="Lato" w:cs="Lato"/>
      <w:b/>
      <w:bCs/>
      <w:color w:val="111111"/>
      <w:sz w:val="28"/>
      <w:szCs w:val="28"/>
    </w:rPr>
  </w:style>
  <w:style w:type="paragraph" w:styleId="Heading2">
    <w:name w:val="Heading 2"/>
    <w:basedOn w:val="Heading"/>
    <w:qFormat/>
    <w:pPr>
      <w:spacing w:lineRule="auto" w:line="240" w:before="140" w:after="60"/>
      <w:outlineLvl w:val="1"/>
    </w:pPr>
    <w:rPr>
      <w:rFonts w:ascii="Lato" w:hAnsi="Lato" w:eastAsia="Lato" w:cs="Lato"/>
      <w:b/>
      <w:bCs/>
      <w:color w:val="111111"/>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Lato" w:hAnsi="Lato" w:eastAsia="Lato" w:cs="Lato"/>
      <w:b/>
      <w:bCs/>
      <w:color w:val="111111"/>
      <w:kern w:val="0"/>
      <w:sz w:val="22"/>
      <w:szCs w:val="22"/>
      <w:lang w:val="en-GB" w:eastAsia="zh-CN" w:bidi="hi-IN"/>
    </w:rPr>
  </w:style>
  <w:style w:type="paragraph" w:styleId="ListParagraph">
    <w:name w:val="List Paragraph"/>
    <w:qFormat/>
    <w:pPr>
      <w:widowControl/>
      <w:bidi w:val="0"/>
      <w:spacing w:before="0" w:after="0"/>
      <w:jc w:val="left"/>
    </w:pPr>
    <w:rPr>
      <w:rFonts w:ascii="Lato" w:hAnsi="Lato" w:eastAsia="Lato" w:cs="Lato"/>
      <w:color w:val="111111"/>
      <w:kern w:val="0"/>
      <w:sz w:val="22"/>
      <w:szCs w:val="22"/>
      <w:lang w:val="en-GB"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GonxoMR/vigilante" TargetMode="External"/><Relationship Id="rId3" Type="http://schemas.openxmlformats.org/officeDocument/2006/relationships/hyperlink" Target="https://github.com/GonxoMR/vigilante" TargetMode="External"/><Relationship Id="rId4" Type="http://schemas.openxmlformats.org/officeDocument/2006/relationships/hyperlink" Target="https://sede.madrid.es/UnidadesDescentralizadas/UDCBOAM/2023Junio/Areas/VicealcaldiaPortavSegEmerg/2026/SG Estudios y Calidad/26-02-20 Bases reguladoras.pdf" TargetMode="External"/><Relationship Id="rId5" Type="http://schemas.openxmlformats.org/officeDocument/2006/relationships/hyperlink" Target="https://datos.madrid.es/dataset/300253-0-contratos-actividad-menores" TargetMode="External"/><Relationship Id="rId6" Type="http://schemas.openxmlformats.org/officeDocument/2006/relationships/hyperlink" Target="https://datos.madrid.es/dataset/216876-0-contratos-actividad" TargetMode="External"/><Relationship Id="rId7" Type="http://schemas.openxmlformats.org/officeDocument/2006/relationships/hyperlink" Target="https://datos.madrid.es/dataset/211496-0-ejecucion-presupuestaria-histori" TargetMode="External"/><Relationship Id="rId8" Type="http://schemas.openxmlformats.org/officeDocument/2006/relationships/hyperlink" Target="https://opendata-ajuntament.barcelona.cat/data/es/dataset/perfil-contractant" TargetMode="External"/><Relationship Id="rId9" Type="http://schemas.openxmlformats.org/officeDocument/2006/relationships/hyperlink" Target="https://github.com/GonxoMR/vigilante" TargetMode="Externa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7</Pages>
  <Words>3330</Words>
  <Characters>18959</Characters>
  <CharactersWithSpaces>22143</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2026-05-01T08:37:34Z</dcterms:created>
  <dc:creator>Gonzalo Martín Roldán</dc:creator>
  <dc:description>Memoria del proyecto presentado a la II Edición de los Premios a la Reutilización de Datos Abiertos del Ayuntamiento de Madrid 2026, categoría Estudios, investigaciones e ideas.</dc:description>
  <dc:language>en-GB</dc:language>
  <cp:lastModifiedBy/>
  <dcterms:modified xsi:type="dcterms:W3CDTF">2026-05-01T11:29:45Z</dcterms:modified>
  <cp:revision>2</cp:revision>
  <dc:subject/>
  <dc:title>Memoria — Vigilante de Contratación Menor</dc:title>
</cp:coreProperties>
</file>