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Times New Roman" w:hAnsi="Times New Roman" w:eastAsia="바탕"/>
          <w:b/>
          <w:sz w:val="40"/>
        </w:rPr>
        <w:t>영 업 양 수 도 계 약 서</w:t>
      </w:r>
    </w:p>
    <w:p>
      <w:pPr>
        <w:spacing w:after="120"/>
        <w:jc w:val="center"/>
      </w:pPr>
      <w:r>
        <w:rPr>
          <w:rFonts w:ascii="Times New Roman" w:hAnsi="Times New Roman" w:eastAsia="바탕"/>
          <w:b w:val="0"/>
          <w:sz w:val="28"/>
        </w:rPr>
        <w:t>(Business Transfer Agreement)</w:t>
      </w:r>
    </w:p>
    <w:p>
      <w:r>
        <w:br w:type="page"/>
      </w:r>
    </w:p>
    <w:p>
      <w:pPr>
        <w:spacing w:after="80"/>
      </w:pPr>
      <w:r>
        <w:rPr>
          <w:rFonts w:ascii="Times New Roman" w:hAnsi="Times New Roman" w:eastAsia="바탕"/>
          <w:sz w:val="23"/>
        </w:rPr>
        <w:t>본 영업양수도계약(이하 "본 계약")은 {{ signing_date }}(이하 "본 계약 체결일") 아래 당사자들 사이에서 체결되었다.</w:t>
      </w:r>
    </w:p>
    <w:p>
      <w:pPr>
        <w:spacing w:after="80"/>
        <w:ind w:left="850"/>
      </w:pPr>
      <w:r>
        <w:rPr>
          <w:rFonts w:ascii="Times New Roman" w:hAnsi="Times New Roman" w:eastAsia="바탕"/>
          <w:sz w:val="23"/>
        </w:rPr>
        <w:t>{{ transferor_name }}(이하 "양도인")</w:t>
      </w:r>
    </w:p>
    <w:p>
      <w:pPr>
        <w:spacing w:after="80"/>
        <w:ind w:left="850"/>
      </w:pPr>
      <w:r>
        <w:rPr>
          <w:rFonts w:ascii="Times New Roman" w:hAnsi="Times New Roman" w:eastAsia="바탕"/>
          <w:sz w:val="23"/>
        </w:rPr>
        <w:t>{{ transferee_name }}(이하 "양수인", 양도인과 양수인을 총칭하여 "당사자들")</w:t>
      </w:r>
    </w:p>
    <w:p>
      <w:pPr>
        <w:spacing w:before="200" w:after="120"/>
        <w:jc w:val="center"/>
      </w:pPr>
      <w:r>
        <w:rPr>
          <w:rFonts w:ascii="Times New Roman" w:hAnsi="Times New Roman" w:eastAsia="바탕"/>
          <w:b/>
          <w:sz w:val="23"/>
        </w:rPr>
        <w:t>전     문</w:t>
      </w:r>
    </w:p>
    <w:p>
      <w:pPr>
        <w:spacing w:after="80"/>
      </w:pPr>
      <w:r>
        <w:rPr>
          <w:rFonts w:ascii="Times New Roman" w:hAnsi="Times New Roman" w:eastAsia="바탕"/>
          <w:sz w:val="23"/>
        </w:rPr>
        <w:t>양도인은 {{ business_description }}을(를) 영위하고 있으며, 양도인과 양수인은 본 계약에서 정하는 바에 따라 양도인이 양수인에게 양도대상 영업을 포괄적으로 양도하고, 양수인은 이를 양수하는 거래를 진행하기로 합의하였다.</w:t>
      </w:r>
    </w:p>
    <w:p>
      <w:pPr>
        <w:spacing w:after="80"/>
      </w:pPr>
      <w:r>
        <w:rPr>
          <w:rFonts w:ascii="Times New Roman" w:hAnsi="Times New Roman" w:eastAsia="바탕"/>
          <w:sz w:val="23"/>
        </w:rPr>
        <w:t>이에 당사자들은 아래와 같이 합의한다.</w:t>
      </w:r>
    </w:p>
    <w:p>
      <w:pPr>
        <w:spacing w:before="200" w:after="120"/>
        <w:jc w:val="center"/>
      </w:pPr>
      <w:r>
        <w:rPr>
          <w:rFonts w:ascii="Times New Roman" w:hAnsi="Times New Roman" w:eastAsia="바탕"/>
          <w:b/>
          <w:sz w:val="23"/>
        </w:rPr>
        <w:t>아     래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제1조 (정의)</w:t>
      </w:r>
    </w:p>
    <w:p>
      <w:pPr>
        <w:pStyle w:val="Heading2"/>
        <w:spacing w:before="160" w:after="80"/>
      </w:pPr>
      <w:r>
        <w:rPr>
          <w:rFonts w:ascii="Times New Roman" w:hAnsi="Times New Roman" w:eastAsia="바탕"/>
          <w:b/>
          <w:sz w:val="23"/>
        </w:rPr>
        <w:t>정의.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본 계약에서 사용되는 다음의 용어는 아래 규정된 의미를 가진다.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"양도대상 영업"이란 {{ business_description }}을 말한다.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"거래종결일"이란 {{ closing_date }}을 말한다.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"양도대금"이란 금 {{ total_consideration }}원을 말한다.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제2조 (양도대상 영업의 범위)</w:t>
      </w:r>
    </w:p>
    <w:p>
      <w:pPr>
        <w:pStyle w:val="Heading2"/>
        <w:spacing w:before="160" w:after="80"/>
      </w:pPr>
      <w:r>
        <w:rPr>
          <w:rFonts w:ascii="Times New Roman" w:hAnsi="Times New Roman" w:eastAsia="바탕"/>
          <w:b/>
          <w:sz w:val="23"/>
        </w:rPr>
        <w:t>이전 자산.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양도영업에 포함되는 자산(이하 "이전 자산")은 다음과 같다.</w:t>
      </w:r>
    </w:p>
    <w:p>
      <w:r>
        <w:rPr>
          <w:rFonts w:ascii="Times New Roman" w:hAnsi="Times New Roman" w:eastAsia="바탕"/>
          <w:sz w:val="23"/>
        </w:rPr>
        <w:t>{%p for asset in transferred_assets %}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· {{ asset }}</w:t>
      </w:r>
    </w:p>
    <w:p>
      <w:r>
        <w:rPr>
          <w:rFonts w:ascii="Times New Roman" w:hAnsi="Times New Roman" w:eastAsia="바탕"/>
          <w:sz w:val="23"/>
        </w:rPr>
        <w:t>{%p endfor %}</w:t>
      </w:r>
    </w:p>
    <w:p>
      <w:pPr>
        <w:pStyle w:val="Heading2"/>
        <w:spacing w:before="160" w:after="80"/>
      </w:pPr>
      <w:r>
        <w:rPr>
          <w:rFonts w:ascii="Times New Roman" w:hAnsi="Times New Roman" w:eastAsia="바탕"/>
          <w:b/>
          <w:sz w:val="23"/>
        </w:rPr>
        <w:t>제외 자산.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다음 자산은 양도 대상에서 제외한다.</w:t>
      </w:r>
    </w:p>
    <w:p>
      <w:r>
        <w:rPr>
          <w:rFonts w:ascii="Times New Roman" w:hAnsi="Times New Roman" w:eastAsia="바탕"/>
          <w:sz w:val="23"/>
        </w:rPr>
        <w:t>{%p for asset in excluded_assets %}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· {{ asset }}</w:t>
      </w:r>
    </w:p>
    <w:p>
      <w:r>
        <w:rPr>
          <w:rFonts w:ascii="Times New Roman" w:hAnsi="Times New Roman" w:eastAsia="바탕"/>
          <w:sz w:val="23"/>
        </w:rPr>
        <w:t>{%p endfor %}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제3조 (부채 및 의무의 인수)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양수인은 거래종결일에 다음의 부채 및 의무를 인수한다.</w:t>
      </w:r>
    </w:p>
    <w:p>
      <w:r>
        <w:rPr>
          <w:rFonts w:ascii="Times New Roman" w:hAnsi="Times New Roman" w:eastAsia="바탕"/>
          <w:sz w:val="23"/>
        </w:rPr>
        <w:t>{%p for liab in transferred_liabilities %}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· {{ liab }}</w:t>
      </w:r>
    </w:p>
    <w:p>
      <w:r>
        <w:rPr>
          <w:rFonts w:ascii="Times New Roman" w:hAnsi="Times New Roman" w:eastAsia="바탕"/>
          <w:sz w:val="23"/>
        </w:rPr>
        <w:t>{%p endfor %}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제4조 (양도대금)</w:t>
      </w:r>
    </w:p>
    <w:p>
      <w:pPr>
        <w:pStyle w:val="Heading2"/>
        <w:spacing w:before="160" w:after="80"/>
      </w:pPr>
      <w:r>
        <w:rPr>
          <w:rFonts w:ascii="Times New Roman" w:hAnsi="Times New Roman" w:eastAsia="바탕"/>
          <w:b/>
          <w:sz w:val="23"/>
        </w:rPr>
        <w:t>양도대금.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양도대상 영업의 대금은 금 {{ total_consideration }}원으로 한다.</w:t>
      </w:r>
    </w:p>
    <w:p>
      <w:pPr>
        <w:pStyle w:val="Heading2"/>
        <w:spacing w:before="160" w:after="80"/>
      </w:pPr>
      <w:r>
        <w:rPr>
          <w:rFonts w:ascii="Times New Roman" w:hAnsi="Times New Roman" w:eastAsia="바탕"/>
          <w:b/>
          <w:sz w:val="23"/>
        </w:rPr>
        <w:t>지급 방법.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양수인은 거래종결일에 양도인이 서면으로 지정하는 계좌로 양도대금 전액을 지급한다.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제5조 (직원 이전)</w:t>
      </w:r>
    </w:p>
    <w:p>
      <w:r>
        <w:rPr>
          <w:rFonts w:ascii="Times New Roman" w:hAnsi="Times New Roman" w:eastAsia="바탕"/>
          <w:sz w:val="23"/>
        </w:rPr>
        <w:t>{%p if employee_transfer %}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양도인 소속 직원 {{ employee_count }}명은 거래종결일 기준으로 양수인에게 이전하며, 이전 직원의 근속기간 및 퇴직금 승계에 관하여는 별도 합의로 정한다.</w:t>
      </w:r>
    </w:p>
    <w:p>
      <w:r>
        <w:rPr>
          <w:rFonts w:ascii="Times New Roman" w:hAnsi="Times New Roman" w:eastAsia="바탕"/>
          <w:sz w:val="23"/>
        </w:rPr>
        <w:t>{%p else %}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직원 이전 여부 및 조건은 별도 협의에 따른다.</w:t>
      </w:r>
    </w:p>
    <w:p>
      <w:r>
        <w:rPr>
          <w:rFonts w:ascii="Times New Roman" w:hAnsi="Times New Roman" w:eastAsia="바탕"/>
          <w:sz w:val="23"/>
        </w:rPr>
        <w:t>{%p endif %}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제6조 (선행조건)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거래종결은 아래 각 호의 선행조건이 모두 충족(또는 포기)됨을 전제로 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① 각 당사자의 진술 및 보장이 거래종결일을 기준으로 중요한 면에서 사실과 부합할 것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② 각 당사자가 본 계약상 의무를 중요한 면에서 이행하였을 것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③ 관련 인허가 및 제3자 동의 취득 완료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제7조 (진술 및 보장)</w:t>
      </w:r>
    </w:p>
    <w:p>
      <w:pPr>
        <w:pStyle w:val="Heading2"/>
        <w:spacing w:before="160" w:after="80"/>
      </w:pPr>
      <w:r>
        <w:rPr>
          <w:rFonts w:ascii="Times New Roman" w:hAnsi="Times New Roman" w:eastAsia="바탕"/>
          <w:b/>
          <w:sz w:val="23"/>
        </w:rPr>
        <w:t>양도인의 진술 및 보장.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양도인은 본 계약 체결일 및 거래종결일을 기준으로 다음 각 사항을 진술하고 보장한다.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① 양도인은 본 계약을 체결하고 이행할 완전한 권한을 보유한다.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② 양도대상 영업에는 별도 공시된 사항 외에 중요한 하자가 없다.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제8조 (준거법 및 관할)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본 계약은 {{ governing_law }} 법에 따라 해석되며, 분쟁은 서울중앙지방법원을 제1심 전속 관할법원으로 한다.</w:t>
      </w:r>
    </w:p>
    <w:p>
      <w:pPr>
        <w:spacing w:before="400" w:after="200"/>
        <w:jc w:val="center"/>
      </w:pPr>
      <w:r>
        <w:rPr>
          <w:rFonts w:ascii="Times New Roman" w:hAnsi="Times New Roman" w:eastAsia="바탕"/>
          <w:sz w:val="23"/>
        </w:rPr>
        <w:t>{{ signing_date }}</w:t>
      </w:r>
    </w:p>
    <w:p/>
    <w:p>
      <w:pPr>
        <w:jc w:val="center"/>
      </w:pPr>
      <w:r>
        <w:rPr>
          <w:rFonts w:ascii="Times New Roman" w:hAnsi="Times New Roman" w:eastAsia="바탕"/>
          <w:sz w:val="23"/>
        </w:rPr>
        <w:t>본 계약의 성립을 증명하기 위하여 아래에 서명 또는 기명날인한다.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w="0" w:type="auto"/>
          </w:tcPr>
          <w:p>
            <w:r>
              <w:rPr>
                <w:rFonts w:ascii="Times New Roman" w:hAnsi="Times New Roman" w:eastAsia="바탕"/>
                <w:b/>
                <w:sz w:val="22"/>
              </w:rPr>
              <w:t>양도인 (甲)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바탕"/>
                <w:sz w:val="22"/>
              </w:rPr>
              <w:t>{{ transferor_name }}</w:t>
              <w:br/>
            </w:r>
            <w:r>
              <w:rPr>
                <w:rFonts w:ascii="Times New Roman" w:hAnsi="Times New Roman" w:eastAsia="바탕"/>
                <w:sz w:val="22"/>
              </w:rPr>
              <w:t>대표이사 {{ transferor_representative }}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바탕"/>
                <w:b/>
                <w:sz w:val="22"/>
              </w:rPr>
              <w:t>양수인 (乙)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바탕"/>
                <w:sz w:val="22"/>
              </w:rPr>
              <w:t>{{ transferee_name }}</w:t>
              <w:br/>
            </w:r>
            <w:r>
              <w:rPr>
                <w:rFonts w:ascii="Times New Roman" w:hAnsi="Times New Roman" w:eastAsia="바탕"/>
                <w:sz w:val="22"/>
              </w:rPr>
              <w:t>대표이사 {{ transferee_representative 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701" w:right="1417" w:bottom="1701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- </w:t>
    </w:r>
    <w:r>
      <w:rPr>
        <w:rFonts w:ascii="Times New Roman" w:hAnsi="Times New Roman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Times New Roman" w:hAnsi="Times New Roman"/>
        <w:sz w:val="1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before="0" w:after="0"/>
      <w:jc w:val="both"/>
    </w:pPr>
    <w:rPr>
      <w:rFonts w:ascii="Times New Roman" w:hAnsi="Times New Roman" w:eastAsia="바탕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_L1">
    <w:name w:val="Contract_L1"/>
    <w:basedOn w:val="Normal"/>
    <w:pPr>
      <w:spacing w:line="312" w:lineRule="auto" w:before="360" w:after="240"/>
      <w:jc w:val="both"/>
    </w:pPr>
    <w:rPr>
      <w:rFonts w:ascii="Times New Roman" w:hAnsi="Times New Roman" w:eastAsia="바탕"/>
      <w:b/>
      <w:sz w:val="23"/>
    </w:rPr>
  </w:style>
  <w:style w:type="paragraph" w:customStyle="1" w:styleId="Contract_L2">
    <w:name w:val="Contract_L2"/>
    <w:basedOn w:val="Normal"/>
    <w:pPr>
      <w:spacing w:line="312" w:lineRule="auto" w:before="0" w:after="0"/>
      <w:ind w:left="737" w:hanging="737"/>
      <w:jc w:val="both"/>
    </w:pPr>
    <w:rPr>
      <w:rFonts w:ascii="Times New Roman" w:hAnsi="Times New Roman" w:eastAsia="바탕"/>
      <w:b w:val="0"/>
      <w:sz w:val="23"/>
    </w:rPr>
  </w:style>
  <w:style w:type="paragraph" w:customStyle="1" w:styleId="Contract_L3">
    <w:name w:val="Contract_L3"/>
    <w:basedOn w:val="Normal"/>
    <w:pPr>
      <w:spacing w:line="312" w:lineRule="auto" w:before="0" w:after="0"/>
      <w:ind w:left="1191" w:hanging="397"/>
      <w:jc w:val="both"/>
    </w:pPr>
    <w:rPr>
      <w:rFonts w:ascii="Times New Roman" w:hAnsi="Times New Roman" w:eastAsia="바탕"/>
      <w:b w:val="0"/>
      <w:sz w:val="23"/>
    </w:rPr>
  </w:style>
  <w:style w:type="paragraph" w:customStyle="1" w:styleId="Contract_L4">
    <w:name w:val="Contract_L4"/>
    <w:basedOn w:val="Normal"/>
    <w:pPr>
      <w:spacing w:line="312" w:lineRule="auto" w:before="0" w:after="0"/>
      <w:ind w:left="1587" w:hanging="397"/>
      <w:jc w:val="both"/>
    </w:pPr>
    <w:rPr>
      <w:rFonts w:ascii="Times New Roman" w:hAnsi="Times New Roman" w:eastAsia="바탕"/>
      <w:b w:val="0"/>
      <w:sz w:val="23"/>
    </w:rPr>
  </w:style>
  <w:style w:type="paragraph" w:customStyle="1" w:styleId="Contract_Body">
    <w:name w:val="Contract_Body"/>
    <w:basedOn w:val="Normal"/>
    <w:pPr>
      <w:spacing w:line="312" w:lineRule="auto" w:before="0" w:after="0"/>
      <w:jc w:val="both"/>
    </w:pPr>
    <w:rPr>
      <w:rFonts w:ascii="Times New Roman" w:hAnsi="Times New Roman" w:eastAsia="바탕"/>
      <w:b w:val="0"/>
      <w:sz w:val="23"/>
    </w:rPr>
  </w:style>
  <w:style w:type="paragraph" w:customStyle="1" w:styleId="Contract_Definition">
    <w:name w:val="Contract_Definition"/>
    <w:basedOn w:val="Normal"/>
    <w:pPr>
      <w:spacing w:line="312" w:lineRule="auto" w:before="0" w:after="0"/>
      <w:ind w:left="737"/>
      <w:jc w:val="both"/>
    </w:pPr>
    <w:rPr>
      <w:rFonts w:ascii="Times New Roman" w:hAnsi="Times New Roman" w:eastAsia="바탕"/>
      <w:b w:val="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